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版本号：JXRC-26061920260625001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数码显微无线互动系统采购项目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JXRC-260619</w:t>
      </w:r>
      <w:r>
        <w:br/>
      </w:r>
      <w:r>
        <w:br/>
      </w:r>
      <w:r>
        <w:br/>
      </w:r>
    </w:p>
    <w:p>
      <w:pPr>
        <w:pStyle w:val="null3"/>
        <w:jc w:val="center"/>
        <w:outlineLvl w:val="2"/>
      </w:pPr>
      <w:r>
        <w:rPr>
          <w:rFonts w:ascii="仿宋_GB2312" w:hAnsi="仿宋_GB2312" w:cs="仿宋_GB2312" w:eastAsia="仿宋_GB2312"/>
          <w:sz w:val="28"/>
          <w:b/>
        </w:rPr>
        <w:t>西北大学</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西北大学</w:t>
      </w:r>
      <w:r>
        <w:rPr>
          <w:rFonts w:ascii="仿宋_GB2312" w:hAnsi="仿宋_GB2312" w:cs="仿宋_GB2312" w:eastAsia="仿宋_GB2312"/>
        </w:rPr>
        <w:t>委托，拟对</w:t>
      </w:r>
      <w:r>
        <w:rPr>
          <w:rFonts w:ascii="仿宋_GB2312" w:hAnsi="仿宋_GB2312" w:cs="仿宋_GB2312" w:eastAsia="仿宋_GB2312"/>
        </w:rPr>
        <w:t>数码显微无线互动系统采购项目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JXRC-260619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数码显微无线互动系统采购项目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采购数码显微无线互动系统，搭载2000万像素1英寸大靶面CMOS传感器，保障显微样本高清成像。系统需支持屏幕广播、批注标注、视频播放、白板共享、视频直播、学生演示、分组教学、多模式师生讨论等功能，全面满足数字化实验互动教学需求，提升课堂教学实效。</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1、供应商为具有独立承担民事责任能力的法人、其他组织或自然人：供应商为具有独立承担民事责任能力的法人、其他组织或自然人</w:t>
      </w:r>
    </w:p>
    <w:p>
      <w:pPr>
        <w:pStyle w:val="null3"/>
      </w:pPr>
      <w:r>
        <w:rPr>
          <w:rFonts w:ascii="仿宋_GB2312" w:hAnsi="仿宋_GB2312" w:cs="仿宋_GB2312" w:eastAsia="仿宋_GB2312"/>
        </w:rPr>
        <w:t>2、供应商应有良好的财务状况：法人提供会计师事务所出具的完整的2024年度或2025年度审计报告（成立时间至提交投标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3、供应商应有依法缴纳税收的良好记录：法人提供自2026年1月1日以来至少一个月的纳税证明或完税证明（任意税种），纳税证明或完税证明上应有代收机构或税务机关的公章或业务专用章；其他组织和自然人提供自2026年1月1日以来至少一个月缴纳税收的凭据；依法免税的供应商应提供相关文件证明。</w:t>
      </w:r>
    </w:p>
    <w:p>
      <w:pPr>
        <w:pStyle w:val="null3"/>
      </w:pPr>
      <w:r>
        <w:rPr>
          <w:rFonts w:ascii="仿宋_GB2312" w:hAnsi="仿宋_GB2312" w:cs="仿宋_GB2312" w:eastAsia="仿宋_GB2312"/>
        </w:rPr>
        <w:t>4、供应商应有依法缴纳社会保障资金的良好记录：提供自2026年1月1日以来至少一个月已缴纳的社会保障资金的证明（社会保障资金缴存单据或社保机构开具的社会保险参保缴费情况证明等)；依法不需要缴纳社会保障资金的供应商应提供相关证明文件。</w:t>
      </w:r>
    </w:p>
    <w:p>
      <w:pPr>
        <w:pStyle w:val="null3"/>
      </w:pPr>
      <w:r>
        <w:rPr>
          <w:rFonts w:ascii="仿宋_GB2312" w:hAnsi="仿宋_GB2312" w:cs="仿宋_GB2312" w:eastAsia="仿宋_GB2312"/>
        </w:rPr>
        <w:t>5、法定代表授权书：法定代表人/负责人直接参加的，只须递交《法定代表人/负责人身份证明》；法定代表人/负责人授权代表参加的，须递交《法定代表人/负责人授权书》。</w:t>
      </w:r>
    </w:p>
    <w:p>
      <w:pPr>
        <w:pStyle w:val="null3"/>
      </w:pPr>
      <w:r>
        <w:rPr>
          <w:rFonts w:ascii="仿宋_GB2312" w:hAnsi="仿宋_GB2312" w:cs="仿宋_GB2312" w:eastAsia="仿宋_GB2312"/>
        </w:rPr>
        <w:t>6、参加本次政府采购活动前三年内，在经营活动中没有重大违法记录：供应商参加本次政府采购活动前三年内，在经营活动中没有重大违法记录，提供《无重大违法记录声明》。</w:t>
      </w:r>
    </w:p>
    <w:p>
      <w:pPr>
        <w:pStyle w:val="null3"/>
      </w:pPr>
      <w:r>
        <w:rPr>
          <w:rFonts w:ascii="仿宋_GB2312" w:hAnsi="仿宋_GB2312" w:cs="仿宋_GB2312" w:eastAsia="仿宋_GB2312"/>
        </w:rPr>
        <w:t>7、供应商应具有履行合同所必需的设备和专业技术能力：供应商须提供《具有履行合同所必需的设备和专业技术能力的承诺书》。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西北大学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西安市长安区郭杜教育科技产业区学府大道1号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029-88302565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西安市南稍门十字东南角大话南门壹中心18层1806室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学生端电脑</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开户名称：陕西嘉信瑞诚招标有限公司</w:t>
            </w:r>
          </w:p>
          <w:p>
            <w:pPr>
              <w:pStyle w:val="null3"/>
            </w:pPr>
            <w:r>
              <w:rPr>
                <w:rFonts w:ascii="仿宋_GB2312" w:hAnsi="仿宋_GB2312" w:cs="仿宋_GB2312" w:eastAsia="仿宋_GB2312"/>
              </w:rPr>
              <w:t>开户银行：民生银行西安分行营业部（备注：转账时须附言“260619投标保证金”）</w:t>
            </w:r>
          </w:p>
          <w:p>
            <w:pPr>
              <w:pStyle w:val="null3"/>
            </w:pPr>
            <w:r>
              <w:rPr>
                <w:rFonts w:ascii="仿宋_GB2312" w:hAnsi="仿宋_GB2312" w:cs="仿宋_GB2312" w:eastAsia="仿宋_GB2312"/>
              </w:rPr>
              <w:t>银行账号：632043869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成交金额的5%，转账金额到账后，可持银行回执到西北大学(西安市长安区居安路899号万科城润园27幢10107、10203、10204室)换取收据。待合同执行完毕、设备验收合格后凭验收单和缴款收据，合同履约保证金予以退还。 转账账号：西北大学 611301015018001145006交通银行西安学府大街支行 如遇下列情况之一者，合同履约保证金不予退还，作为对采购人的赔偿：（1）合同签订后不能按合同时限要求供货或安装调试的；（2）所供设备与合同不符或验收不合格的；（3）不能按合同履约的。</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照国家计委关于印发《采购代理服务收费管理暂行办法的通知》（计价格[2002]1980号）及《国家发展改革委办公厅关于招标代理服务收费有关问题的通知》（发改办价格[2003]857号）规定的收费标准下浮20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西北大学</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西北大学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西北大学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（1）验收分初次开箱验收和学校最终验收两个阶段，以最终验收为准； （2）货物到货后，甲、乙双方共同开箱验收。如属于检验检疫法检目录内货物，由甲乙双方会同海关共同开箱验收。在检查货物原产地、型号、规格、配置符合合同要求后，由乙方负责安装调试、甲方负责技术验收（乙方协助），验收以国内行业标准或合同文本货物供货配置清单中描述的有关技术要求为准； （3）在货物安装调试运行正常后，甲方（采购单位）按学校相关业务部门规定提交验收申请，学校根据采购单位技术验收结果，组织有关专家进行货物的最终验收。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联系人：曲慧、张海</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地址：西安市南稍门十字东南角大话南门壹中心18层1806室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采购数码显微无线互动系统，搭载2000万像素1英寸大靶面CMOS传感器，保障显微样本高清成像。系统需支持屏幕广播、批注标注、视频播放、白板共享、视频直播、学生演示、分组教学、多模式师生讨论等功能，全面满足数字化实验互动教学需求，提升课堂教学实效。</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数码显微无线互动系统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标的名称：数码显微无线互动系统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互动系统（1套）</w:t>
            </w:r>
          </w:p>
          <w:p>
            <w:pPr>
              <w:pStyle w:val="null3"/>
            </w:pPr>
            <w:r>
              <w:rPr>
                <w:rFonts w:ascii="仿宋_GB2312" w:hAnsi="仿宋_GB2312" w:cs="仿宋_GB2312" w:eastAsia="仿宋_GB2312"/>
              </w:rPr>
              <w:t>一、技术要求</w:t>
            </w:r>
          </w:p>
          <w:p>
            <w:pPr>
              <w:pStyle w:val="null3"/>
            </w:pPr>
            <w:r>
              <w:rPr>
                <w:rFonts w:ascii="仿宋_GB2312" w:hAnsi="仿宋_GB2312" w:cs="仿宋_GB2312" w:eastAsia="仿宋_GB2312"/>
              </w:rPr>
              <w:t>1.要求在无线网络和有线网络的环境下均可顺利运行，可进行无线网络和有线网络的任意切换。</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▲2.在无线网络环境下最多可以支持60个用户，并且可以达到和有线网络环境相同的效果。</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▲3.系统使用的软件必须为正版软件，具有软件著作权登记证书。</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4.安装部署快捷，升级简易方便，全中文人性化界面设计，支持主窗口功能按钮、浮动工具条、右键菜单、快捷键多项操作方式。</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5.采用动态局部截屏及实时压缩技术，在网络条件较差时亦能体现良好的性能；可根据网络条件调节网络补偿强度，根据广播内容调节广播及录制效率，可达到实时流畅的效果，支持DirectDraw、Direct3D、Overlay、OpenGL等特殊显示方式。屏幕广播响应时间&lt;0.4秒。</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6.采用流媒体技术，流畅无延时，支持几乎所有常见的媒体音视频格式，Windows Media文件，VCD文件，DVD文件， AVI文件，MP3等主流文件格式，支持720p、1080p的高清视频。具有屏幕广播速度增强功能：屏幕广播时调节多种画面质量，根据网络的不同选择最好的效果进行教学。</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7.具有防杀进程、断线保护、卸载密码保护等辅助功能维护教学秩序。</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8.文件分发和提交必须可以拖拽添加文件，可添加不同目录下的文件或文件目录。</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9.学生端可同时兼容Windows系统和Android系统，满足灵活教学。</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二、功能要求：</w:t>
            </w:r>
          </w:p>
          <w:p>
            <w:pPr>
              <w:pStyle w:val="null3"/>
            </w:pPr>
            <w:r>
              <w:rPr>
                <w:rFonts w:ascii="仿宋_GB2312" w:hAnsi="仿宋_GB2312" w:cs="仿宋_GB2312" w:eastAsia="仿宋_GB2312"/>
              </w:rPr>
              <w:t>▲1.IP地址：学生端IP地址分配要求从192.168.100.1—192.168.100.42按序增加，教师端IP地址分配要求192.168.100.100。</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2.课堂教学</w:t>
            </w:r>
          </w:p>
          <w:p>
            <w:pPr>
              <w:pStyle w:val="null3"/>
            </w:pPr>
            <w:r>
              <w:rPr>
                <w:rFonts w:ascii="仿宋_GB2312" w:hAnsi="仿宋_GB2312" w:cs="仿宋_GB2312" w:eastAsia="仿宋_GB2312"/>
              </w:rPr>
              <w:t>2.1屏幕广播：将教师机屏幕和教师讲话实时广播给单一、部分或全体学生，可选择全屏或窗口方式。窗口模式下或教师机与学生机分辨率不同情况下，学生机可以以不同的窗口方式接收广播。</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2.2屏幕笔：教师教学使用的辅助工具，突出显示项目、添加注释，添加批注等等。</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2.3网络影院：实现教师机播放的视频同步广播到学生机。</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2.4共享白板：教师可共享白板、桌面或图片与选定的学生共同完成相同的学习任务或绘画作品，学生也可以单独完成。</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2.5视频直播：通过USB摄像头将教师的画面实时广播到学生机，达到更形象的教学效果，具有引导客户选择视频设备的提示画面，以便客户快速完成摄像头设备的设置。</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2.6学生演示：教师选定一台学生机作为示范，由此学生代替教师进行示范教学。</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2.7分组教学：通过分组教学，将学生分成几个组进行合作学习。小组长可使用多种功能来辅导同伴，例如：监视、远程控制、远程设置、文件分发、远程命令和网络影院。</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2.8讨论：教师可能组织学生使用文字、图片、手写板等多种方式开展讨论，可进行分组讨论或主题讨论，分组讨论允许教师将学生分成若干组，同组的组员之间可以相互讨论，教师可以参加任意组的讨论；主题讨论是由教师建立若干个主题，学生选择自己感兴趣的主题开展讨论。</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2.9文件分发：教师将教师机不同盘符中的目录或文件一起发送至生机的某目录下。目录不存在自动新建此目录；盘符不存在或路径非法不允许分发；文件已存在选择自动覆盖或保留原始文件。</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2.10作业提交：学生把做好的作业直接提交到教师机，方便教师批改作业要收取的麻烦。通过特殊设置，学生提交作业时必需经过教师审批通过后才可提交，教师可以选择接收和拒绝学生提交的文件。并且教师可以限制学生提交文件的数目和大小。</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2.11网络快照：教师可以在监控学生的时候，对学生画面拍快照，保存学生画面的截图。</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2.12屏幕监视：教师机可以监视单一、部分、全体学生机的屏幕，教师机每屏可监视多个学生屏幕。可以控制教师机监控的同屏幕各窗口间、屏幕与屏幕间的切换速度。可手动或自动循环监视。</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3.教学评测</w:t>
            </w:r>
          </w:p>
          <w:p>
            <w:pPr>
              <w:pStyle w:val="null3"/>
            </w:pPr>
            <w:r>
              <w:rPr>
                <w:rFonts w:ascii="仿宋_GB2312" w:hAnsi="仿宋_GB2312" w:cs="仿宋_GB2312" w:eastAsia="仿宋_GB2312"/>
              </w:rPr>
              <w:t>3.1试卷编辑：教师能够在家中编辑试题，试题类型支持单选、多选、判断、自由发挥，可插入图片，设置试卷名称、教师名称、班级、考试时间和总分。允许用户从 Word 文件导入试题，可通过导入 Word 文件添加试题。</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3.2开始考试：教师将试卷分发给学生即可开始考试，考试过程中可以教师如有问题补充，可暂停考试，在特殊情况下，可以暂挂考试，下次启动系统后可继续考试；考试过程中如有断电、关机等意外情况学生机可断线重连，考试结束后学生可提交或时间到自动提交。</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3.3阅卷评分：收取的试卷系统可自动评分，教师添加批注，查看柱状图显示的考试统计结果，并能够将评分结果以网页形式发送给相应的学生。</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3.4随堂小考：教师启动快速的单题考试（可在试题中添加图片）或随堂调查，限定考试时间，学生答题后立即给出结果，结果显示学生答案柱状图分析和答题时间，可作为抢答依据。</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rPr>
              <w:t>3.5答题卡考试：教师导入word、ppt、excel、pdf等文档类型的考试内容共享给学生，直接生成答题卡用于学生作答，包含多种不同的题型：多选题，判断题，填空题和论述题等。</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rPr>
              <w:t>3.6抢答竞赛：教师可以出任意题目请学生作答，学生抢答时只需按下按钮即可，作答正确“星星”奖励，并可升级为月亮和太阳，吸引学生注意力，主动参与活动。竞赛支持同一小组内排名。</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4.课堂管理</w:t>
            </w:r>
          </w:p>
          <w:p>
            <w:pPr>
              <w:pStyle w:val="null3"/>
            </w:pPr>
            <w:r>
              <w:rPr>
                <w:rFonts w:ascii="仿宋_GB2312" w:hAnsi="仿宋_GB2312" w:cs="仿宋_GB2312" w:eastAsia="仿宋_GB2312"/>
              </w:rPr>
              <w:t>4.1电子点名：通过电子点名教师机的主界面的学生机的名称将会变成学生签到的姓名。电子点名列表可被保存，备以后查看。</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rPr>
              <w:t>4.2班级模型：有单独的管理界面，实现对班级模型的统一管理，并能够导入、导出，调用不同网络教室中的班级模型。</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rPr>
              <w:t>4.3签到：提供学生名单管理工具，为软件和考试模块提供实名验证。提供点名功能，支持保留学生多次登录记录、考勤统计、签到信息的导出与对比。</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rPr>
              <w:t>4.4学生端属性查看：教师可以获取学生端计算机的名称、登录名和其它常用信息，并可以列出学生端的应用程序、进程和进程 ID，教师还可以远程终止学生端的进程。</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rPr>
              <w:t>4.5系统日志：显示和自动保存系统运行过程中的关键事件，包括学生登录登出，资源不足，提交文件等。</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rPr>
              <w:t>4.6黑屏肃静：教师可以对单一、部分、全体学生执行黑屏肃静来禁止其进行任何操作，达到专心听课目的，教师可自定义黑屏的内容与图片。</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pPr>
            <w:r>
              <w:rPr>
                <w:rFonts w:ascii="仿宋_GB2312" w:hAnsi="仿宋_GB2312" w:cs="仿宋_GB2312" w:eastAsia="仿宋_GB2312"/>
              </w:rPr>
              <w:t>4.7远程命令：可以进行远程开机、关机、重启等操作，远程打开或关闭学生的应用程序功能。</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pPr>
            <w:r>
              <w:rPr>
                <w:rFonts w:ascii="仿宋_GB2312" w:hAnsi="仿宋_GB2312" w:cs="仿宋_GB2312" w:eastAsia="仿宋_GB2312"/>
              </w:rPr>
              <w:t>4.8分组管理：教师可以新建，删除，重命名分组，添加和删除分组中的成员，设置小组长。分组信息随班级模型永久保存，下次上课可以直接使用保存的分组。</w:t>
            </w:r>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p>
            <w:pPr>
              <w:pStyle w:val="null3"/>
            </w:pPr>
            <w:r>
              <w:rPr>
                <w:rFonts w:ascii="仿宋_GB2312" w:hAnsi="仿宋_GB2312" w:cs="仿宋_GB2312" w:eastAsia="仿宋_GB2312"/>
              </w:rPr>
              <w:t>4.9图标监看：班级模型中可以显示学生机桌面的缩图。可以定期更新，更新的快慢可由教师机程序定制，可更改显示的大小。</w:t>
            </w:r>
          </w:p>
        </w:tc>
      </w:tr>
      <w:tr>
        <w:tc>
          <w:tcPr>
            <w:tcW w:type="dxa" w:w="2769"/>
          </w:tcPr>
          <w:p>
            <w:pPr>
              <w:pStyle w:val="null3"/>
            </w:pPr>
            <w:r>
              <w:rPr>
                <w:rFonts w:ascii="仿宋_GB2312" w:hAnsi="仿宋_GB2312" w:cs="仿宋_GB2312" w:eastAsia="仿宋_GB2312"/>
              </w:rPr>
              <w:t>38</w:t>
            </w:r>
          </w:p>
        </w:tc>
        <w:tc>
          <w:tcPr>
            <w:tcW w:type="dxa" w:w="2769"/>
          </w:tcPr>
          <w:p/>
        </w:tc>
        <w:tc>
          <w:tcPr>
            <w:tcW w:type="dxa" w:w="2769"/>
          </w:tcPr>
          <w:p>
            <w:pPr>
              <w:pStyle w:val="null3"/>
            </w:pPr>
            <w:r>
              <w:rPr>
                <w:rFonts w:ascii="仿宋_GB2312" w:hAnsi="仿宋_GB2312" w:cs="仿宋_GB2312" w:eastAsia="仿宋_GB2312"/>
              </w:rPr>
              <w:t>4.10断线锁屏：独有的断线保护自动锁屏技术，通过网卡的是否激活来锁定屏幕，避免学生拔掉网线违反纪律（设置有线时）</w:t>
            </w:r>
          </w:p>
        </w:tc>
      </w:tr>
      <w:tr>
        <w:tc>
          <w:tcPr>
            <w:tcW w:type="dxa" w:w="2769"/>
          </w:tcPr>
          <w:p>
            <w:pPr>
              <w:pStyle w:val="null3"/>
            </w:pPr>
            <w:r>
              <w:rPr>
                <w:rFonts w:ascii="仿宋_GB2312" w:hAnsi="仿宋_GB2312" w:cs="仿宋_GB2312" w:eastAsia="仿宋_GB2312"/>
              </w:rPr>
              <w:t>39</w:t>
            </w:r>
          </w:p>
        </w:tc>
        <w:tc>
          <w:tcPr>
            <w:tcW w:type="dxa" w:w="2769"/>
          </w:tcPr>
          <w:p/>
        </w:tc>
        <w:tc>
          <w:tcPr>
            <w:tcW w:type="dxa" w:w="2769"/>
          </w:tcPr>
          <w:p>
            <w:pPr>
              <w:pStyle w:val="null3"/>
            </w:pPr>
            <w:r>
              <w:rPr>
                <w:rFonts w:ascii="仿宋_GB2312" w:hAnsi="仿宋_GB2312" w:cs="仿宋_GB2312" w:eastAsia="仿宋_GB2312"/>
              </w:rPr>
              <w:t>4.11自动锁屏：独有的断线保护自动锁屏技术，通过网卡的是否激活来锁定屏幕，避免学生拔掉网线违反纪律。</w:t>
            </w:r>
          </w:p>
        </w:tc>
      </w:tr>
      <w:tr>
        <w:tc>
          <w:tcPr>
            <w:tcW w:type="dxa" w:w="2769"/>
          </w:tcPr>
          <w:p>
            <w:pPr>
              <w:pStyle w:val="null3"/>
            </w:pPr>
            <w:r>
              <w:rPr>
                <w:rFonts w:ascii="仿宋_GB2312" w:hAnsi="仿宋_GB2312" w:cs="仿宋_GB2312" w:eastAsia="仿宋_GB2312"/>
              </w:rPr>
              <w:t>40</w:t>
            </w:r>
          </w:p>
        </w:tc>
        <w:tc>
          <w:tcPr>
            <w:tcW w:type="dxa" w:w="2769"/>
          </w:tcPr>
          <w:p/>
        </w:tc>
        <w:tc>
          <w:tcPr>
            <w:tcW w:type="dxa" w:w="2769"/>
          </w:tcPr>
          <w:p>
            <w:pPr>
              <w:pStyle w:val="null3"/>
            </w:pPr>
            <w:r>
              <w:rPr>
                <w:rFonts w:ascii="仿宋_GB2312" w:hAnsi="仿宋_GB2312" w:cs="仿宋_GB2312" w:eastAsia="仿宋_GB2312"/>
              </w:rPr>
              <w:t>4.12防杀进程：为安全起见，学生端程序运行后，防止学生通过任务管理器结束学生端程序进程来逃脱教师控制。</w:t>
            </w:r>
          </w:p>
        </w:tc>
      </w:tr>
      <w:tr>
        <w:tc>
          <w:tcPr>
            <w:tcW w:type="dxa" w:w="2769"/>
          </w:tcPr>
          <w:p>
            <w:pPr>
              <w:pStyle w:val="null3"/>
            </w:pPr>
            <w:r>
              <w:rPr>
                <w:rFonts w:ascii="仿宋_GB2312" w:hAnsi="仿宋_GB2312" w:cs="仿宋_GB2312" w:eastAsia="仿宋_GB2312"/>
              </w:rPr>
              <w:t>41</w:t>
            </w:r>
          </w:p>
        </w:tc>
        <w:tc>
          <w:tcPr>
            <w:tcW w:type="dxa" w:w="2769"/>
          </w:tcPr>
          <w:p/>
        </w:tc>
        <w:tc>
          <w:tcPr>
            <w:tcW w:type="dxa" w:w="2769"/>
          </w:tcPr>
          <w:p>
            <w:pPr>
              <w:pStyle w:val="null3"/>
            </w:pPr>
            <w:r>
              <w:rPr>
                <w:rFonts w:ascii="仿宋_GB2312" w:hAnsi="仿宋_GB2312" w:cs="仿宋_GB2312" w:eastAsia="仿宋_GB2312"/>
              </w:rPr>
              <w:t>4.13远程登录：支持Windows所有操作系统的远程登录功能。</w:t>
            </w:r>
          </w:p>
        </w:tc>
      </w:tr>
      <w:tr>
        <w:tc>
          <w:tcPr>
            <w:tcW w:type="dxa" w:w="2769"/>
          </w:tcPr>
          <w:p>
            <w:pPr>
              <w:pStyle w:val="null3"/>
            </w:pPr>
            <w:r>
              <w:rPr>
                <w:rFonts w:ascii="仿宋_GB2312" w:hAnsi="仿宋_GB2312" w:cs="仿宋_GB2312" w:eastAsia="仿宋_GB2312"/>
              </w:rPr>
              <w:t>42</w:t>
            </w:r>
          </w:p>
        </w:tc>
        <w:tc>
          <w:tcPr>
            <w:tcW w:type="dxa" w:w="2769"/>
          </w:tcPr>
          <w:p/>
        </w:tc>
        <w:tc>
          <w:tcPr>
            <w:tcW w:type="dxa" w:w="2769"/>
          </w:tcPr>
          <w:p>
            <w:pPr>
              <w:pStyle w:val="null3"/>
            </w:pPr>
            <w:r>
              <w:rPr>
                <w:rFonts w:ascii="仿宋_GB2312" w:hAnsi="仿宋_GB2312" w:cs="仿宋_GB2312" w:eastAsia="仿宋_GB2312"/>
              </w:rPr>
              <w:t>4.14 U盘限制：对U盘访问权限的设定（完全开放、只读、只写、完全限制），有效控制学生使用U盘，防止资料的流失和病毒的引入。</w:t>
            </w:r>
          </w:p>
        </w:tc>
      </w:tr>
      <w:tr>
        <w:tc>
          <w:tcPr>
            <w:tcW w:type="dxa" w:w="2769"/>
          </w:tcPr>
          <w:p>
            <w:pPr>
              <w:pStyle w:val="null3"/>
            </w:pPr>
            <w:r>
              <w:rPr>
                <w:rFonts w:ascii="仿宋_GB2312" w:hAnsi="仿宋_GB2312" w:cs="仿宋_GB2312" w:eastAsia="仿宋_GB2312"/>
              </w:rPr>
              <w:t>43</w:t>
            </w:r>
          </w:p>
        </w:tc>
        <w:tc>
          <w:tcPr>
            <w:tcW w:type="dxa" w:w="2769"/>
          </w:tcPr>
          <w:p/>
        </w:tc>
        <w:tc>
          <w:tcPr>
            <w:tcW w:type="dxa" w:w="2769"/>
          </w:tcPr>
          <w:p>
            <w:pPr>
              <w:pStyle w:val="null3"/>
            </w:pPr>
            <w:r>
              <w:rPr>
                <w:rFonts w:ascii="仿宋_GB2312" w:hAnsi="仿宋_GB2312" w:cs="仿宋_GB2312" w:eastAsia="仿宋_GB2312"/>
              </w:rPr>
              <w:t>4.15上网限制：设定学生访问网站的黑名单或白名单，对学生可以访问的Internet站点进行管理。支持多浏览器限制，如QQ、IE、谷歌、360、遨游等浏览器。</w:t>
            </w:r>
          </w:p>
        </w:tc>
      </w:tr>
      <w:tr>
        <w:tc>
          <w:tcPr>
            <w:tcW w:type="dxa" w:w="2769"/>
          </w:tcPr>
          <w:p>
            <w:pPr>
              <w:pStyle w:val="null3"/>
            </w:pPr>
            <w:r>
              <w:rPr>
                <w:rFonts w:ascii="仿宋_GB2312" w:hAnsi="仿宋_GB2312" w:cs="仿宋_GB2312" w:eastAsia="仿宋_GB2312"/>
              </w:rPr>
              <w:t>44</w:t>
            </w:r>
          </w:p>
        </w:tc>
        <w:tc>
          <w:tcPr>
            <w:tcW w:type="dxa" w:w="2769"/>
          </w:tcPr>
          <w:p/>
        </w:tc>
        <w:tc>
          <w:tcPr>
            <w:tcW w:type="dxa" w:w="2769"/>
          </w:tcPr>
          <w:p>
            <w:pPr>
              <w:pStyle w:val="null3"/>
            </w:pPr>
            <w:r>
              <w:rPr>
                <w:rFonts w:ascii="仿宋_GB2312" w:hAnsi="仿宋_GB2312" w:cs="仿宋_GB2312" w:eastAsia="仿宋_GB2312"/>
              </w:rPr>
              <w:t>4.16程序限制：通过各种策略的应用，可防止学生在教学过程中打游戏，或使用QQ，MSN等聊天工具，支持限制 U 盘，网络映射盘，硬盘虚拟盘，虚拟光盘，内存虚拟盘里的程序。</w:t>
            </w:r>
          </w:p>
        </w:tc>
      </w:tr>
      <w:tr>
        <w:tc>
          <w:tcPr>
            <w:tcW w:type="dxa" w:w="2769"/>
          </w:tcPr>
          <w:p>
            <w:pPr>
              <w:pStyle w:val="null3"/>
            </w:pPr>
            <w:r>
              <w:rPr>
                <w:rFonts w:ascii="仿宋_GB2312" w:hAnsi="仿宋_GB2312" w:cs="仿宋_GB2312" w:eastAsia="仿宋_GB2312"/>
              </w:rPr>
              <w:t>45</w:t>
            </w:r>
          </w:p>
        </w:tc>
        <w:tc>
          <w:tcPr>
            <w:tcW w:type="dxa" w:w="2769"/>
          </w:tcPr>
          <w:p/>
        </w:tc>
        <w:tc>
          <w:tcPr>
            <w:tcW w:type="dxa" w:w="2769"/>
          </w:tcPr>
          <w:p>
            <w:pPr>
              <w:pStyle w:val="null3"/>
            </w:pPr>
            <w:r>
              <w:rPr>
                <w:rFonts w:ascii="仿宋_GB2312" w:hAnsi="仿宋_GB2312" w:cs="仿宋_GB2312" w:eastAsia="仿宋_GB2312"/>
              </w:rPr>
              <w:t>4.17打印限制：可限制打印数量。</w:t>
            </w:r>
          </w:p>
        </w:tc>
      </w:tr>
      <w:tr>
        <w:tc>
          <w:tcPr>
            <w:tcW w:type="dxa" w:w="2769"/>
          </w:tcPr>
          <w:p>
            <w:pPr>
              <w:pStyle w:val="null3"/>
            </w:pPr>
            <w:r>
              <w:rPr>
                <w:rFonts w:ascii="仿宋_GB2312" w:hAnsi="仿宋_GB2312" w:cs="仿宋_GB2312" w:eastAsia="仿宋_GB2312"/>
              </w:rPr>
              <w:t>46</w:t>
            </w:r>
          </w:p>
        </w:tc>
        <w:tc>
          <w:tcPr>
            <w:tcW w:type="dxa" w:w="2769"/>
          </w:tcPr>
          <w:p/>
        </w:tc>
        <w:tc>
          <w:tcPr>
            <w:tcW w:type="dxa" w:w="2769"/>
          </w:tcPr>
          <w:p>
            <w:pPr>
              <w:pStyle w:val="null3"/>
            </w:pPr>
            <w:r>
              <w:rPr>
                <w:rFonts w:ascii="仿宋_GB2312" w:hAnsi="仿宋_GB2312" w:cs="仿宋_GB2312" w:eastAsia="仿宋_GB2312"/>
              </w:rPr>
              <w:t>4.18光盘限制：可限制是否允许使用光盘播放。</w:t>
            </w:r>
          </w:p>
        </w:tc>
      </w:tr>
      <w:tr>
        <w:tc>
          <w:tcPr>
            <w:tcW w:type="dxa" w:w="2769"/>
          </w:tcPr>
          <w:p>
            <w:pPr>
              <w:pStyle w:val="null3"/>
            </w:pPr>
            <w:r>
              <w:rPr>
                <w:rFonts w:ascii="仿宋_GB2312" w:hAnsi="仿宋_GB2312" w:cs="仿宋_GB2312" w:eastAsia="仿宋_GB2312"/>
              </w:rPr>
              <w:t>47</w:t>
            </w:r>
          </w:p>
        </w:tc>
        <w:tc>
          <w:tcPr>
            <w:tcW w:type="dxa" w:w="2769"/>
          </w:tcPr>
          <w:p/>
        </w:tc>
        <w:tc>
          <w:tcPr>
            <w:tcW w:type="dxa" w:w="2769"/>
          </w:tcPr>
          <w:p>
            <w:pPr>
              <w:pStyle w:val="null3"/>
            </w:pPr>
            <w:r>
              <w:rPr>
                <w:rFonts w:ascii="仿宋_GB2312" w:hAnsi="仿宋_GB2312" w:cs="仿宋_GB2312" w:eastAsia="仿宋_GB2312"/>
              </w:rPr>
              <w:t>4.19请求帮助：学生端遇到问题可请求帮助，教师端通过语音对讲、远程遥控、讨论帮助学生解决问题。</w:t>
            </w:r>
          </w:p>
        </w:tc>
      </w:tr>
      <w:tr>
        <w:tc>
          <w:tcPr>
            <w:tcW w:type="dxa" w:w="2769"/>
          </w:tcPr>
          <w:p>
            <w:pPr>
              <w:pStyle w:val="null3"/>
            </w:pPr>
            <w:r>
              <w:rPr>
                <w:rFonts w:ascii="仿宋_GB2312" w:hAnsi="仿宋_GB2312" w:cs="仿宋_GB2312" w:eastAsia="仿宋_GB2312"/>
              </w:rPr>
              <w:t>48</w:t>
            </w:r>
          </w:p>
        </w:tc>
        <w:tc>
          <w:tcPr>
            <w:tcW w:type="dxa" w:w="2769"/>
          </w:tcPr>
          <w:p/>
        </w:tc>
        <w:tc>
          <w:tcPr>
            <w:tcW w:type="dxa" w:w="2769"/>
          </w:tcPr>
          <w:p>
            <w:pPr>
              <w:pStyle w:val="null3"/>
            </w:pPr>
            <w:r>
              <w:rPr>
                <w:rFonts w:ascii="仿宋_GB2312" w:hAnsi="仿宋_GB2312" w:cs="仿宋_GB2312" w:eastAsia="仿宋_GB2312"/>
              </w:rPr>
              <w:t>4.20远程消息：教师与学生能够使用远程消息进行交流，并可以允许和阻止学生发送文字消息。</w:t>
            </w:r>
          </w:p>
        </w:tc>
      </w:tr>
      <w:tr>
        <w:tc>
          <w:tcPr>
            <w:tcW w:type="dxa" w:w="2769"/>
          </w:tcPr>
          <w:p>
            <w:pPr>
              <w:pStyle w:val="null3"/>
            </w:pPr>
            <w:r>
              <w:rPr>
                <w:rFonts w:ascii="仿宋_GB2312" w:hAnsi="仿宋_GB2312" w:cs="仿宋_GB2312" w:eastAsia="仿宋_GB2312"/>
              </w:rPr>
              <w:t>49</w:t>
            </w:r>
          </w:p>
        </w:tc>
        <w:tc>
          <w:tcPr>
            <w:tcW w:type="dxa" w:w="2769"/>
          </w:tcPr>
          <w:p/>
        </w:tc>
        <w:tc>
          <w:tcPr>
            <w:tcW w:type="dxa" w:w="2769"/>
          </w:tcPr>
          <w:p>
            <w:pPr>
              <w:pStyle w:val="null3"/>
            </w:pPr>
            <w:r>
              <w:rPr>
                <w:rFonts w:ascii="仿宋_GB2312" w:hAnsi="仿宋_GB2312" w:cs="仿宋_GB2312" w:eastAsia="仿宋_GB2312"/>
              </w:rPr>
              <w:t>4.21远程设置：远程设置学生桌面背景、屏幕保护方案、学生的频道号、学生的卸载密码，是否启用进程保护，断线锁屏，热键退出等。</w:t>
            </w:r>
          </w:p>
        </w:tc>
      </w:tr>
      <w:tr>
        <w:tc>
          <w:tcPr>
            <w:tcW w:type="dxa" w:w="2769"/>
          </w:tcPr>
          <w:p>
            <w:pPr>
              <w:pStyle w:val="null3"/>
            </w:pPr>
            <w:r>
              <w:rPr>
                <w:rFonts w:ascii="仿宋_GB2312" w:hAnsi="仿宋_GB2312" w:cs="仿宋_GB2312" w:eastAsia="仿宋_GB2312"/>
              </w:rPr>
              <w:t>50</w:t>
            </w:r>
          </w:p>
        </w:tc>
        <w:tc>
          <w:tcPr>
            <w:tcW w:type="dxa" w:w="2769"/>
          </w:tcPr>
          <w:p/>
        </w:tc>
        <w:tc>
          <w:tcPr>
            <w:tcW w:type="dxa" w:w="2769"/>
          </w:tcPr>
          <w:p>
            <w:pPr>
              <w:pStyle w:val="null3"/>
            </w:pPr>
            <w:r>
              <w:rPr>
                <w:rFonts w:ascii="仿宋_GB2312" w:hAnsi="仿宋_GB2312" w:cs="仿宋_GB2312" w:eastAsia="仿宋_GB2312"/>
              </w:rPr>
              <w:t>无线AP（1套）</w:t>
            </w:r>
          </w:p>
          <w:p>
            <w:pPr>
              <w:pStyle w:val="null3"/>
            </w:pPr>
            <w:r>
              <w:rPr>
                <w:rFonts w:ascii="仿宋_GB2312" w:hAnsi="仿宋_GB2312" w:cs="仿宋_GB2312" w:eastAsia="仿宋_GB2312"/>
              </w:rPr>
              <w:t>1.无线网络环境下，30个学生端必须一个无线AP接口，传输速度快、稳定、可靠。</w:t>
            </w:r>
          </w:p>
        </w:tc>
      </w:tr>
      <w:tr>
        <w:tc>
          <w:tcPr>
            <w:tcW w:type="dxa" w:w="2769"/>
          </w:tcPr>
          <w:p>
            <w:pPr>
              <w:pStyle w:val="null3"/>
            </w:pPr>
            <w:r>
              <w:rPr>
                <w:rFonts w:ascii="仿宋_GB2312" w:hAnsi="仿宋_GB2312" w:cs="仿宋_GB2312" w:eastAsia="仿宋_GB2312"/>
              </w:rPr>
              <w:t>51</w:t>
            </w:r>
          </w:p>
        </w:tc>
        <w:tc>
          <w:tcPr>
            <w:tcW w:type="dxa" w:w="2769"/>
          </w:tcPr>
          <w:p/>
        </w:tc>
        <w:tc>
          <w:tcPr>
            <w:tcW w:type="dxa" w:w="2769"/>
          </w:tcPr>
          <w:p>
            <w:pPr>
              <w:pStyle w:val="null3"/>
            </w:pPr>
            <w:r>
              <w:rPr>
                <w:rFonts w:ascii="仿宋_GB2312" w:hAnsi="仿宋_GB2312" w:cs="仿宋_GB2312" w:eastAsia="仿宋_GB2312"/>
              </w:rPr>
              <w:t>2.无线网络和有线网络均可顺利运行，可任意切换。</w:t>
            </w:r>
          </w:p>
        </w:tc>
      </w:tr>
      <w:tr>
        <w:tc>
          <w:tcPr>
            <w:tcW w:type="dxa" w:w="2769"/>
          </w:tcPr>
          <w:p>
            <w:pPr>
              <w:pStyle w:val="null3"/>
            </w:pPr>
            <w:r>
              <w:rPr>
                <w:rFonts w:ascii="仿宋_GB2312" w:hAnsi="仿宋_GB2312" w:cs="仿宋_GB2312" w:eastAsia="仿宋_GB2312"/>
              </w:rPr>
              <w:t>52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相机（30台）</w:t>
            </w:r>
          </w:p>
          <w:p>
            <w:pPr>
              <w:pStyle w:val="null3"/>
            </w:pPr>
            <w:r>
              <w:rPr>
                <w:rFonts w:ascii="仿宋_GB2312" w:hAnsi="仿宋_GB2312" w:cs="仿宋_GB2312" w:eastAsia="仿宋_GB2312"/>
              </w:rPr>
              <w:t>▲1.2000万像素相机，高清CMOS光电传感器,CMOS靶面尺寸≥1英寸, 有效像素2000万以上。</w:t>
            </w:r>
          </w:p>
        </w:tc>
      </w:tr>
      <w:tr>
        <w:tc>
          <w:tcPr>
            <w:tcW w:type="dxa" w:w="2769"/>
          </w:tcPr>
          <w:p>
            <w:pPr>
              <w:pStyle w:val="null3"/>
            </w:pPr>
            <w:r>
              <w:rPr>
                <w:rFonts w:ascii="仿宋_GB2312" w:hAnsi="仿宋_GB2312" w:cs="仿宋_GB2312" w:eastAsia="仿宋_GB2312"/>
              </w:rPr>
              <w:t>53</w:t>
            </w:r>
          </w:p>
        </w:tc>
        <w:tc>
          <w:tcPr>
            <w:tcW w:type="dxa" w:w="2769"/>
          </w:tcPr>
          <w:p/>
        </w:tc>
        <w:tc>
          <w:tcPr>
            <w:tcW w:type="dxa" w:w="2769"/>
          </w:tcPr>
          <w:p>
            <w:pPr>
              <w:pStyle w:val="null3"/>
            </w:pPr>
            <w:r>
              <w:rPr>
                <w:rFonts w:ascii="仿宋_GB2312" w:hAnsi="仿宋_GB2312" w:cs="仿宋_GB2312" w:eastAsia="仿宋_GB2312"/>
              </w:rPr>
              <w:t>2.图像分析软件功能：可进行单帧图像、序列图像采集，动态图像录像。支持 BMP、JPG、ICO、PNG、TIF、GIF 等各种 图像格式；具有强大的图像编辑功能，可以调节亮度、对比度，还具有图像复制、剪切、旋转、滤色等处理功能；可以 测定两点距离、三点弧长、三点圆半径、多边形面积、三点夹角、两线夹角、周长、等效直径、最大直径、平均灰度等 数十种形态参数；测量数据可以标注在图像上，也可以传到EXCEL，或直接打印输出，定制同品牌显微镜配套数码接口，保证高清图像质量。</w:t>
            </w:r>
          </w:p>
        </w:tc>
      </w:tr>
      <w:tr>
        <w:tc>
          <w:tcPr>
            <w:tcW w:type="dxa" w:w="2769"/>
          </w:tcPr>
          <w:p>
            <w:pPr>
              <w:pStyle w:val="null3"/>
            </w:pPr>
            <w:r>
              <w:rPr>
                <w:rFonts w:ascii="仿宋_GB2312" w:hAnsi="仿宋_GB2312" w:cs="仿宋_GB2312" w:eastAsia="仿宋_GB2312"/>
              </w:rPr>
              <w:t>54</w:t>
            </w:r>
          </w:p>
        </w:tc>
        <w:tc>
          <w:tcPr>
            <w:tcW w:type="dxa" w:w="2769"/>
          </w:tcPr>
          <w:p/>
        </w:tc>
        <w:tc>
          <w:tcPr>
            <w:tcW w:type="dxa" w:w="2769"/>
          </w:tcPr>
          <w:p>
            <w:pPr>
              <w:pStyle w:val="null3"/>
            </w:pPr>
            <w:r>
              <w:rPr>
                <w:rFonts w:ascii="仿宋_GB2312" w:hAnsi="仿宋_GB2312" w:cs="仿宋_GB2312" w:eastAsia="仿宋_GB2312"/>
              </w:rPr>
              <w:t>3.智慧教学助手:可方便的让学生通过手机NFC功能获得显微镜的使用操作，后续保养等内容。</w:t>
            </w:r>
          </w:p>
        </w:tc>
      </w:tr>
      <w:tr>
        <w:tc>
          <w:tcPr>
            <w:tcW w:type="dxa" w:w="2769"/>
          </w:tcPr>
          <w:p>
            <w:pPr>
              <w:pStyle w:val="null3"/>
            </w:pPr>
            <w:r>
              <w:rPr>
                <w:rFonts w:ascii="仿宋_GB2312" w:hAnsi="仿宋_GB2312" w:cs="仿宋_GB2312" w:eastAsia="仿宋_GB2312"/>
              </w:rPr>
              <w:t>55</w:t>
            </w:r>
          </w:p>
        </w:tc>
        <w:tc>
          <w:tcPr>
            <w:tcW w:type="dxa" w:w="2769"/>
          </w:tcPr>
          <w:p/>
        </w:tc>
        <w:tc>
          <w:tcPr>
            <w:tcW w:type="dxa" w:w="2769"/>
          </w:tcPr>
          <w:p>
            <w:pPr>
              <w:pStyle w:val="null3"/>
            </w:pPr>
            <w:r>
              <w:rPr>
                <w:rFonts w:ascii="仿宋_GB2312" w:hAnsi="仿宋_GB2312" w:cs="仿宋_GB2312" w:eastAsia="仿宋_GB2312"/>
              </w:rPr>
              <w:t>学生端电脑（15台）</w:t>
            </w:r>
          </w:p>
          <w:p>
            <w:pPr>
              <w:pStyle w:val="null3"/>
            </w:pPr>
            <w:r>
              <w:rPr>
                <w:rFonts w:ascii="仿宋_GB2312" w:hAnsi="仿宋_GB2312" w:cs="仿宋_GB2312" w:eastAsia="仿宋_GB2312"/>
              </w:rPr>
              <w:t>1.商用分体台式机，主机处理器i5-12450H 及以上，电脑硬盘≥512G，运行内存≥16G，具备wifi模块。</w:t>
            </w:r>
          </w:p>
        </w:tc>
      </w:tr>
      <w:tr>
        <w:tc>
          <w:tcPr>
            <w:tcW w:type="dxa" w:w="2769"/>
          </w:tcPr>
          <w:p>
            <w:pPr>
              <w:pStyle w:val="null3"/>
            </w:pPr>
            <w:r>
              <w:rPr>
                <w:rFonts w:ascii="仿宋_GB2312" w:hAnsi="仿宋_GB2312" w:cs="仿宋_GB2312" w:eastAsia="仿宋_GB2312"/>
              </w:rPr>
              <w:t>56</w:t>
            </w:r>
          </w:p>
        </w:tc>
        <w:tc>
          <w:tcPr>
            <w:tcW w:type="dxa" w:w="2769"/>
          </w:tcPr>
          <w:p/>
        </w:tc>
        <w:tc>
          <w:tcPr>
            <w:tcW w:type="dxa" w:w="2769"/>
          </w:tcPr>
          <w:p>
            <w:pPr>
              <w:pStyle w:val="null3"/>
            </w:pPr>
            <w:r>
              <w:rPr>
                <w:rFonts w:ascii="仿宋_GB2312" w:hAnsi="仿宋_GB2312" w:cs="仿宋_GB2312" w:eastAsia="仿宋_GB2312"/>
              </w:rPr>
              <w:t>2.显示器尺寸≥23.8英寸。</w:t>
            </w:r>
          </w:p>
        </w:tc>
      </w:tr>
      <w:tr>
        <w:tc>
          <w:tcPr>
            <w:tcW w:type="dxa" w:w="2769"/>
          </w:tcPr>
          <w:p>
            <w:pPr>
              <w:pStyle w:val="null3"/>
            </w:pPr>
            <w:r>
              <w:rPr>
                <w:rFonts w:ascii="仿宋_GB2312" w:hAnsi="仿宋_GB2312" w:cs="仿宋_GB2312" w:eastAsia="仿宋_GB2312"/>
              </w:rPr>
              <w:t>57</w:t>
            </w:r>
          </w:p>
        </w:tc>
        <w:tc>
          <w:tcPr>
            <w:tcW w:type="dxa" w:w="2769"/>
          </w:tcPr>
          <w:p/>
        </w:tc>
        <w:tc>
          <w:tcPr>
            <w:tcW w:type="dxa" w:w="2769"/>
          </w:tcPr>
          <w:p>
            <w:pPr>
              <w:pStyle w:val="null3"/>
            </w:pPr>
            <w:r>
              <w:rPr>
                <w:rFonts w:ascii="仿宋_GB2312" w:hAnsi="仿宋_GB2312" w:cs="仿宋_GB2312" w:eastAsia="仿宋_GB2312"/>
              </w:rPr>
              <w:t>3.配备键鼠，电脑预装win10或win11系统。</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交货时间：自合同签订之日起40天内到货，7天内安装调试并交付使用。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西北大学地质学系指定地点。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 合同生效后，待货物到达指定地点、安装调试验收合格后，一次性付清合同货款，达到付款条件起30个工作日内，支付合同总金额的100.0%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（1）验收分初次开箱验收和学校最终验收两个阶段，以最终验收为准； （2）货物到货后，甲、乙双方共同开箱验收。如属于检验检疫法检目录内货物，由甲乙双方会同海关共同开箱验收。在检查货物原产地、型号、规格、配置符合合同要求后，由乙方负责安装调试、甲方负责技术验收（乙方协助），验收以国内行业标准或合同文本货物供货配置清单中描述的有关技术要求为准； （3）在货物安装调试运行正常后，甲方（采购单位）按学校相关业务部门规定提交验收申请，学校根据采购单位技术验收结果，组织有关专家进行货物的最终验收。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1.在设备使用期内，中标供应商对设备操作及维修人员提供终身培训服务，产生费用由中标供应商承担。 2.中标供应商工程师须对设备操作及维修人员进行培训，培训内容包括操作培训，应用培训、维护培训等，保证培训人员能够完全掌握设备的操作和使用，能进行常规的设备保养，产生费用由中标供应商承担。 3.售后服务效率要求：即时响应（包括电话响应）；电话响应无法解决时，2小时内到达现场。修复时间 2 小时内；如 2 小时内无法修复，应提供相应解决方案。 4.为顺利推进政府采购电子化交易平台应用工作，供应商需要在线提交所有通过电子化交易平台实施的政府采购项目的响应文件，同时，线下递交密封完好的纸质版响应文件（一正一副），密封封套上标注项目名称和供应商名称。纸质版响应文件递交截止时间：同线上响应文件递交截止时间。纸质版响应文件递交地址：西安市南稍门十字东南角大话南门壹中心18层1806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供应商为具有独立承担民事责任能力的法人、其他组织或自然人</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供应商应有良好的财务状况</w:t>
            </w:r>
          </w:p>
        </w:tc>
        <w:tc>
          <w:tcPr>
            <w:tcW w:type="dxa" w:w="3322"/>
          </w:tcPr>
          <w:p>
            <w:pPr>
              <w:pStyle w:val="null3"/>
            </w:pPr>
            <w:r>
              <w:rPr>
                <w:rFonts w:ascii="仿宋_GB2312" w:hAnsi="仿宋_GB2312" w:cs="仿宋_GB2312" w:eastAsia="仿宋_GB2312"/>
              </w:rPr>
              <w:t>法人提供会计师事务所出具的完整的2024年度或2025年度审计报告（成立时间至提交投标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供应商应有依法缴纳税收的良好记录</w:t>
            </w:r>
          </w:p>
        </w:tc>
        <w:tc>
          <w:tcPr>
            <w:tcW w:type="dxa" w:w="3322"/>
          </w:tcPr>
          <w:p>
            <w:pPr>
              <w:pStyle w:val="null3"/>
            </w:pPr>
            <w:r>
              <w:rPr>
                <w:rFonts w:ascii="仿宋_GB2312" w:hAnsi="仿宋_GB2312" w:cs="仿宋_GB2312" w:eastAsia="仿宋_GB2312"/>
              </w:rPr>
              <w:t>法人提供自2026年1月1日以来至少一个月的纳税证明或完税证明（任意税种），纳税证明或完税证明上应有代收机构或税务机关的公章或业务专用章；其他组织和自然人提供自2026年1月1日以来至少一个月缴纳税收的凭据；依法免税的供应商应提供相关文件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供应商应有依法缴纳社会保障资金的良好记录</w:t>
            </w:r>
          </w:p>
        </w:tc>
        <w:tc>
          <w:tcPr>
            <w:tcW w:type="dxa" w:w="3322"/>
          </w:tcPr>
          <w:p>
            <w:pPr>
              <w:pStyle w:val="null3"/>
            </w:pPr>
            <w:r>
              <w:rPr>
                <w:rFonts w:ascii="仿宋_GB2312" w:hAnsi="仿宋_GB2312" w:cs="仿宋_GB2312" w:eastAsia="仿宋_GB2312"/>
              </w:rPr>
              <w:t>提供自2026年1月1日以来至少一个月已缴纳的社会保障资金的证明（社会保障资金缴存单据或社保机构开具的社会保险参保缴费情况证明等)；依法不需要缴纳社会保障资金的供应商应提供相关证明文件。</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法定代表人/负责人直接参加的，只须递交《法定代表人/负责人身份证明》；法定代表人/负责人授权代表参加的，须递交《法定代表人/负责人授权书》。</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参加本次政府采购活动前三年内，在经营活动中没有重大违法记录</w:t>
            </w:r>
          </w:p>
        </w:tc>
        <w:tc>
          <w:tcPr>
            <w:tcW w:type="dxa" w:w="3322"/>
          </w:tcPr>
          <w:p>
            <w:pPr>
              <w:pStyle w:val="null3"/>
            </w:pPr>
            <w:r>
              <w:rPr>
                <w:rFonts w:ascii="仿宋_GB2312" w:hAnsi="仿宋_GB2312" w:cs="仿宋_GB2312" w:eastAsia="仿宋_GB2312"/>
              </w:rPr>
              <w:t>供应商参加本次政府采购活动前三年内，在经营活动中没有重大违法记录，提供《无重大违法记录声明》。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供应商应具有履行合同所必需的设备和专业技术能力</w:t>
            </w:r>
          </w:p>
        </w:tc>
        <w:tc>
          <w:tcPr>
            <w:tcW w:type="dxa" w:w="3322"/>
          </w:tcPr>
          <w:p>
            <w:pPr>
              <w:pStyle w:val="null3"/>
            </w:pPr>
            <w:r>
              <w:rPr>
                <w:rFonts w:ascii="仿宋_GB2312" w:hAnsi="仿宋_GB2312" w:cs="仿宋_GB2312" w:eastAsia="仿宋_GB2312"/>
              </w:rPr>
              <w:t>供应商须提供《具有履行合同所必需的设备和专业技术能力的承诺书》。</w:t>
            </w:r>
          </w:p>
        </w:tc>
        <w:tc>
          <w:tcPr>
            <w:tcW w:type="dxa" w:w="1661"/>
          </w:tcPr>
          <w:p>
            <w:pPr>
              <w:pStyle w:val="null3"/>
            </w:pPr>
            <w:r>
              <w:rPr>
                <w:rFonts w:ascii="仿宋_GB2312" w:hAnsi="仿宋_GB2312" w:cs="仿宋_GB2312" w:eastAsia="仿宋_GB2312"/>
              </w:rPr>
              <w:t>供应商资格</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签章符合招标文件要求</w:t>
            </w:r>
          </w:p>
        </w:tc>
        <w:tc>
          <w:tcPr>
            <w:tcW w:type="dxa" w:w="3322"/>
          </w:tcPr>
          <w:p>
            <w:pPr>
              <w:pStyle w:val="null3"/>
            </w:pPr>
            <w:r>
              <w:rPr>
                <w:rFonts w:ascii="仿宋_GB2312" w:hAnsi="仿宋_GB2312" w:cs="仿宋_GB2312" w:eastAsia="仿宋_GB2312"/>
              </w:rPr>
              <w:t>投标人应当加盖投标人（法定名称）电子印章</w:t>
            </w:r>
          </w:p>
        </w:tc>
        <w:tc>
          <w:tcPr>
            <w:tcW w:type="dxa" w:w="1661"/>
          </w:tcPr>
          <w:p>
            <w:pPr>
              <w:pStyle w:val="null3"/>
            </w:pPr>
            <w:r>
              <w:rPr>
                <w:rFonts w:ascii="仿宋_GB2312" w:hAnsi="仿宋_GB2312" w:cs="仿宋_GB2312" w:eastAsia="仿宋_GB2312"/>
              </w:rPr>
              <w:t>供应商基本信息 供应商企业关联关系说明书 投标文件封面 供应商承诺书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投标人必须满足招标文件的商务要求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招标文件的其他实质性要求，对于其中任意一项条款，投标人如不满足，其响应文件可以被否决</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投标保证金符合第二章投标人须知要求</w:t>
            </w:r>
          </w:p>
        </w:tc>
        <w:tc>
          <w:tcPr>
            <w:tcW w:type="dxa" w:w="1661"/>
          </w:tcPr>
          <w:p>
            <w:pPr>
              <w:pStyle w:val="null3"/>
            </w:pPr>
            <w:r>
              <w:rPr>
                <w:rFonts w:ascii="仿宋_GB2312" w:hAnsi="仿宋_GB2312" w:cs="仿宋_GB2312" w:eastAsia="仿宋_GB2312"/>
              </w:rPr>
              <w:t>投标保证金缴纳凭证</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落实节能、环保产品政策</w:t>
            </w:r>
          </w:p>
        </w:tc>
        <w:tc>
          <w:tcPr>
            <w:tcW w:type="dxa" w:w="3322"/>
          </w:tcPr>
          <w:p>
            <w:pPr>
              <w:pStyle w:val="null3"/>
            </w:pPr>
            <w:r>
              <w:rPr>
                <w:rFonts w:ascii="仿宋_GB2312" w:hAnsi="仿宋_GB2312" w:cs="仿宋_GB2312" w:eastAsia="仿宋_GB2312"/>
              </w:rPr>
              <w:t>本项目采购的学生端电脑产品属于节能产品政府采购品目清单中应强制采购的产品范围，供应商应当提供国家确定的认证机构出具的、处于有效期之内的节能产品认证证书，否则作无效投标处理。</w:t>
            </w:r>
          </w:p>
        </w:tc>
        <w:tc>
          <w:tcPr>
            <w:tcW w:type="dxa" w:w="1661"/>
          </w:tcPr>
          <w:p>
            <w:pPr>
              <w:pStyle w:val="null3"/>
            </w:pPr>
            <w:r>
              <w:rPr>
                <w:rFonts w:ascii="仿宋_GB2312" w:hAnsi="仿宋_GB2312" w:cs="仿宋_GB2312" w:eastAsia="仿宋_GB2312"/>
              </w:rPr>
              <w:t>其他材料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1. 标注 “▲”(4项，共8.5分)为重要技术指标，不作为废标项但需提供相关证明材料，不满足每项扣2.125分。 备注：投标人应提供充足的佐证材料（不限于产品彩页或官网截图或第三方检测报告等）予以佐证。投标人自行承担因证明材料不全而被视为技术参数偏离的风险。 2. 非“▲”项（53项，共34.5分）技术指标，每负偏离一项扣0.65分，扣完为止。 备注:投标人可以尽可能多的提供佐证材料(不限于产品彩页或官网截图或第三方检测报告等)予以佐证。</w:t>
            </w:r>
          </w:p>
        </w:tc>
        <w:tc>
          <w:tcPr>
            <w:tcW w:type="dxa" w:w="831"/>
          </w:tcPr>
          <w:p>
            <w:pPr>
              <w:pStyle w:val="null3"/>
              <w:jc w:val="right"/>
            </w:pPr>
            <w:r>
              <w:rPr>
                <w:rFonts w:ascii="仿宋_GB2312" w:hAnsi="仿宋_GB2312" w:cs="仿宋_GB2312" w:eastAsia="仿宋_GB2312"/>
              </w:rPr>
              <w:t>43.0000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投标人针对本项目提供完整的项目实施方案。内容包含：①供货组织安排、实施计划及进度计划；②拟投入本项目的人员信息及分工方案；③安装调试验收方案；④物力调配及保障措施。 二、评审标准 1、完整性：方案须全面，对评审内容中的各项要求有详细描述； 2、可实施性：切合本项目实际情况，实施步骤清晰、合理； 3、针对性：方案能够紧扣项目实际情况，内容科学合理。 三、赋分依据（满分6分） ①供货组织安排、实施计划及进度计划：每完全满足一个评审标准得0.5分，满分1.5分；未提供不得分； ②拟投入本项目的人员信息及分工方案：每完全满足一个评审标准得0.5分，满分1.5分；未提供不得分； ③安装调试验收方案、物力调配及保障措施：每完全满足一个评审标准得0.5分，满分1.5分；未提供不得分； ④物力调配及保障措施：每完全满足一个评审标准得0.5分，满分1.5分；未提供不得分。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根据项目实际需求，提供质量保证方案。内容包含①产品性能、使用寿命及效果②质量保证措施。 二、评审标准 1、完整性：方案须全面，对评审内容中的各项要求有详细描述； 2、可实施性：切合本项目实际情况，实施步骤清晰、合理； 3、针对性：方案能够紧扣项目实际情况，内容科学合理。 三、赋分依据（满分3分） ①产品性能、使用寿命及效果：每完全满足一个评审标准得0.5分，满分1.5分；未提供不得分； ②质量保证措施:每完全满足一个评审标准得0.5分，满分1.5分；未提供不得分。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根据项目实际需求提供售后服务方案。内容包含：①服务范围及保障措施②应急处理方案及快速响应的服务能力。 二、评审标准 1.完整性：方案须全面，对评审内容中的各项要求有详细描述； 2.可实施性：切合本项目实际情况，提出步骤清晰、合理的方案； 3.针对性：方案能够紧扣项目实际情况，内容科学合理。 三、赋分依据（满分3分） ①服务范围及保障措施：每完全满足一个评审标准得0.5分，满分1.5分；未提供不得分； ②应急处理方案及快速响应的服务能力：每完全满足一个评审标准得0.5分，满分1.5分；未提供不得分。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项目实际需求提供培训方案。包括①培训计划(含培训计划表、地点、时间及培训对象人数等)、培训内容(含所提供产品的原理和技术性能、操作维护方法、安装调试、排除故障等)；②培训效果(确保培训后至少1一3人熟练操作设备)。 二、评审标准 1、完整性：方案须全面，对评审内容中的各项要求有详细描述； 2、可实施性：切合本项目实际情况，实施步骤清晰、合理； 3、针对性：方案能够紧扣项目实际情况，内容科学合理。 三、赋分依据（满分3分） ①培训计划：每完全满足一个评审标准得0.5分，满分1.5分；未提供不得分； ②培训效果：每完全满足一个评审标准得0.5分，满分1.5分；未提供不得分。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质保期延长</w:t>
            </w:r>
          </w:p>
        </w:tc>
        <w:tc>
          <w:tcPr>
            <w:tcW w:type="dxa" w:w="2492"/>
          </w:tcPr>
          <w:p>
            <w:pPr>
              <w:pStyle w:val="null3"/>
            </w:pPr>
            <w:r>
              <w:rPr>
                <w:rFonts w:ascii="仿宋_GB2312" w:hAnsi="仿宋_GB2312" w:cs="仿宋_GB2312" w:eastAsia="仿宋_GB2312"/>
              </w:rPr>
              <w:t>在满足招标文件要求质保期的基础上，投标人可根据自身情况延长质保年限，根据各投标人响应的延长质保年限进行综合评定，以延长质保年限最长者为基准，计2分，其他投标人的延长质保年限分统一按照下列公式计算：（延长质保期／基准)×2=响应得分。 仅满足招标文件要求的质保期不计分。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提供投标人2023年6月1日至今同类项目合同，每提供1个计1分，最高得5分。（以合同签订日期为准） 备注：投标文件中提供完整的合同复印件。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 且投标价格最低的投标报价为评标基准价，其价格分为满分。其他投标人的价格分统一按照下列公式计算：投标报价得分=(评标基准价／投标报价)×35计算分数时四舍五入取小数点后两位。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详见附件：供应商基本信息</w:t>
      </w:r>
    </w:p>
    <w:p>
      <w:pPr>
        <w:pStyle w:val="null3"/>
        <w:ind w:firstLine="960"/>
      </w:pPr>
      <w:r>
        <w:rPr>
          <w:rFonts w:ascii="仿宋_GB2312" w:hAnsi="仿宋_GB2312" w:cs="仿宋_GB2312" w:eastAsia="仿宋_GB2312"/>
        </w:rPr>
        <w:t>详见附件：供应商企业关联关系说明书</w:t>
      </w:r>
    </w:p>
    <w:p>
      <w:pPr>
        <w:pStyle w:val="null3"/>
        <w:ind w:firstLine="960"/>
      </w:pPr>
      <w:r>
        <w:rPr>
          <w:rFonts w:ascii="仿宋_GB2312" w:hAnsi="仿宋_GB2312" w:cs="仿宋_GB2312" w:eastAsia="仿宋_GB2312"/>
        </w:rPr>
        <w:t>详见附件：供应商业绩</w:t>
      </w:r>
    </w:p>
    <w:p>
      <w:pPr>
        <w:pStyle w:val="null3"/>
        <w:ind w:firstLine="960"/>
      </w:pPr>
      <w:r>
        <w:rPr>
          <w:rFonts w:ascii="仿宋_GB2312" w:hAnsi="仿宋_GB2312" w:cs="仿宋_GB2312" w:eastAsia="仿宋_GB2312"/>
        </w:rPr>
        <w:t>详见附件：投标保证金缴纳凭证</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详见附件：供应商资格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