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版本号：YSGS-2026ZB042220260602001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西安市灞桥区2026年山洪灾害防治非工程措施维修养护项目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YSGS-2026ZB0422</w:t>
      </w:r>
      <w:r>
        <w:br/>
      </w:r>
      <w:r>
        <w:br/>
      </w:r>
      <w:r>
        <w:br/>
      </w:r>
    </w:p>
    <w:p>
      <w:pPr>
        <w:pStyle w:val="null3"/>
        <w:jc w:val="center"/>
        <w:outlineLvl w:val="2"/>
      </w:pPr>
      <w:r>
        <w:rPr>
          <w:rFonts w:ascii="仿宋_GB2312" w:hAnsi="仿宋_GB2312" w:cs="仿宋_GB2312" w:eastAsia="仿宋_GB2312"/>
          <w:sz w:val="28"/>
          <w:b/>
        </w:rPr>
        <w:t>西安市灞桥区水务局</w:t>
      </w:r>
    </w:p>
    <w:p>
      <w:pPr>
        <w:pStyle w:val="null3"/>
        <w:jc w:val="center"/>
        <w:outlineLvl w:val="2"/>
      </w:pPr>
      <w:r>
        <w:rPr>
          <w:rFonts w:ascii="仿宋_GB2312" w:hAnsi="仿宋_GB2312" w:cs="仿宋_GB2312" w:eastAsia="仿宋_GB2312"/>
          <w:sz w:val="28"/>
          <w:b/>
        </w:rPr>
        <w:t>陕西衍森项目管理有限公司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陕西衍森项目管理有限公司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西安市灞桥区水务局</w:t>
      </w:r>
      <w:r>
        <w:rPr>
          <w:rFonts w:ascii="仿宋_GB2312" w:hAnsi="仿宋_GB2312" w:cs="仿宋_GB2312" w:eastAsia="仿宋_GB2312"/>
        </w:rPr>
        <w:t>委托，拟对</w:t>
      </w:r>
      <w:r>
        <w:rPr>
          <w:rFonts w:ascii="仿宋_GB2312" w:hAnsi="仿宋_GB2312" w:cs="仿宋_GB2312" w:eastAsia="仿宋_GB2312"/>
        </w:rPr>
        <w:t>西安市灞桥区2026年山洪灾害防治非工程措施维修养护项目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YSGS-2026ZB0422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西安市灞桥区2026年山洪灾害防治非工程措施维修养护项目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山洪灾害监测预警平台、视频会议系统、视频监平台、计算机网络系统维护；更新监测预警平台设备UPS1台（含16块电池）；新建入户应答器4台、无线预警广播1套、扩音器2只（含立杆、太阳能供电、流量卡）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采购包1（西安市灞桥区2026年山洪灾害防治非工程措施维修养护项目）：属于专门面向中小企业采购。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报告：提供2025年度经审计的财务报告（成立时间至提交投标文件截止时间不足一年的可提供成立后任意时段的资产负债表），或提交开标日期前六个月内银行出具的资信证明，或信用担保机构出具的投标担保函（以上三种形式的资料提供任何一种即可）；供应商需在项目电⼦化交易系统中按要求上传《基本资格条件承诺函》并进⾏电⼦签章；</w:t>
      </w:r>
    </w:p>
    <w:p>
      <w:pPr>
        <w:pStyle w:val="null3"/>
      </w:pPr>
      <w:r>
        <w:rPr>
          <w:rFonts w:ascii="仿宋_GB2312" w:hAnsi="仿宋_GB2312" w:cs="仿宋_GB2312" w:eastAsia="仿宋_GB2312"/>
        </w:rPr>
        <w:t>3、完税证明：提供投标截止之日前近六个月内至少一个月的纳税证明或完税证明（增值税，印花税，城市维护建设费，企业所得税等一种或多种税种），依法免税的单位应提供相关证明材料；供应商需在项目电⼦化交易系统中按要求上传《基本资格条件承诺函》并进⾏电⼦签章；</w:t>
      </w:r>
    </w:p>
    <w:p>
      <w:pPr>
        <w:pStyle w:val="null3"/>
      </w:pPr>
      <w:r>
        <w:rPr>
          <w:rFonts w:ascii="仿宋_GB2312" w:hAnsi="仿宋_GB2312" w:cs="仿宋_GB2312" w:eastAsia="仿宋_GB2312"/>
        </w:rPr>
        <w:t>4、社保证明：提供投标截止之日前近六个月内至少一个月的社会保障资金缴存单据或社保机构开具的社会保险参保缴费情况证明，依法不需要缴纳社会保障资金的单位应提供相关证明材料；供应商需在项目电⼦化交易系统中按要求上传《基本资格条件承诺函》并进⾏电⼦签章；</w:t>
      </w:r>
    </w:p>
    <w:p>
      <w:pPr>
        <w:pStyle w:val="null3"/>
      </w:pPr>
      <w:r>
        <w:rPr>
          <w:rFonts w:ascii="仿宋_GB2312" w:hAnsi="仿宋_GB2312" w:cs="仿宋_GB2312" w:eastAsia="仿宋_GB2312"/>
        </w:rPr>
        <w:t>5、具有履行本合同所必需的设备和专业技术能力的声明：提供具有履行本合同所必需的设备和专业技术能力的声明；供应商需在项目电⼦化交易系统中按要求上传《基本资格条件承诺函》并进⾏电⼦签章；</w:t>
      </w:r>
    </w:p>
    <w:p>
      <w:pPr>
        <w:pStyle w:val="null3"/>
      </w:pPr>
      <w:r>
        <w:rPr>
          <w:rFonts w:ascii="仿宋_GB2312" w:hAnsi="仿宋_GB2312" w:cs="仿宋_GB2312" w:eastAsia="仿宋_GB2312"/>
        </w:rPr>
        <w:t>6、参加政府采购活动前3年内在经营活动中没有重大违法记录的书面声明：出具参加政府采购活动前3年内在经营活动中没有重大违法记录的书面声明；供应商需在项目电⼦化交易系统中按要求上传《基本资格条件承诺函》并进⾏电⼦签章；</w:t>
      </w:r>
    </w:p>
    <w:p>
      <w:pPr>
        <w:pStyle w:val="null3"/>
      </w:pPr>
      <w:r>
        <w:rPr>
          <w:rFonts w:ascii="仿宋_GB2312" w:hAnsi="仿宋_GB2312" w:cs="仿宋_GB2312" w:eastAsia="仿宋_GB2312"/>
        </w:rPr>
        <w:t>7、信誉要求：供应商应在中国执行信息公开网网站(http://zxgk.court.gov.cn/)中未列入失信被执行人，在信用中国网站(www.creditchina.gov.cn)中未列入重大税收违法失信主体，在中国政府采购网(www.ccgp.gov.cn)未被列入政府采购严重失信行为记录名单(处罚期限届满的除外，如相关失信记录已失效，供应商需提供相关证明资料，开标当天代理机构现场查询。)；供应商需在项目电⼦化交易系统中按要求上传《基本资格条件承诺函》并进⾏电⼦签章；</w:t>
      </w:r>
    </w:p>
    <w:p>
      <w:pPr>
        <w:pStyle w:val="null3"/>
      </w:pPr>
      <w:r>
        <w:rPr>
          <w:rFonts w:ascii="仿宋_GB2312" w:hAnsi="仿宋_GB2312" w:cs="仿宋_GB2312" w:eastAsia="仿宋_GB2312"/>
        </w:rPr>
        <w:t>8、授权委托书：被授权人参与磋商的须提供法定代表人身份证明书及授权委托书；法定代表人或负责人直接参与磋商的，须出具法定代表人身份证明书；供应商需在项目电子化交易系统中按要求上传相应证明文件并进行电子签章；</w:t>
      </w:r>
    </w:p>
    <w:p>
      <w:pPr>
        <w:pStyle w:val="null3"/>
      </w:pPr>
      <w:r>
        <w:rPr>
          <w:rFonts w:ascii="仿宋_GB2312" w:hAnsi="仿宋_GB2312" w:cs="仿宋_GB2312" w:eastAsia="仿宋_GB2312"/>
        </w:rPr>
        <w:t>9、联合体：本项目不接受联合体磋商，供应商需在项目电子化交易系统中按要求上传相应证明文件并进行电子签章。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纺一路809号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029-83510107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陕西衍森项目管理有限公司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陕西省西安市浐灞生态区欧亚大道3399号欧亚国际一期B座0712室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白琪琪、刘敏、张乐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13363975680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及《国家发展和改革委员会办公厅关于招标代理服务收费有关问题的通知》（发改办价格〔2003〕857号）文件中服务类收费标准收取，本项目代理服务费按定额6000元整收取。 名称:陕西衍森项目管理有限公司 开户银行:平安银行股份有限公司西安分行 银行账号:15122099180091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西安市灞桥区水务局</w:t>
      </w:r>
      <w:r>
        <w:rPr>
          <w:rFonts w:ascii="仿宋_GB2312" w:hAnsi="仿宋_GB2312" w:cs="仿宋_GB2312" w:eastAsia="仿宋_GB2312"/>
        </w:rPr>
        <w:t>和</w:t>
      </w:r>
      <w:r>
        <w:rPr>
          <w:rFonts w:ascii="仿宋_GB2312" w:hAnsi="仿宋_GB2312" w:cs="仿宋_GB2312" w:eastAsia="仿宋_GB2312"/>
        </w:rPr>
        <w:t>陕西衍森项目管理有限公司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陕西衍森项目管理有限公司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陕西衍森项目管理有限公司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(1)供应商按照采购人要求，完成服务内容，由采购人组织验收。(2)验收依据:磋商文件、响应文件、澄清表(函)、本合同及其附件文本、国家相应的标准和规范。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陕西衍森项目管理有限公司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联系人：白琪琪</w:t>
      </w:r>
    </w:p>
    <w:p>
      <w:pPr>
        <w:pStyle w:val="null3"/>
      </w:pPr>
      <w:r>
        <w:rPr>
          <w:rFonts w:ascii="仿宋_GB2312" w:hAnsi="仿宋_GB2312" w:cs="仿宋_GB2312" w:eastAsia="仿宋_GB2312"/>
        </w:rPr>
        <w:t>联系电话：13363975680</w:t>
      </w:r>
    </w:p>
    <w:p>
      <w:pPr>
        <w:pStyle w:val="null3"/>
      </w:pPr>
      <w:r>
        <w:rPr>
          <w:rFonts w:ascii="仿宋_GB2312" w:hAnsi="仿宋_GB2312" w:cs="仿宋_GB2312" w:eastAsia="仿宋_GB2312"/>
        </w:rPr>
        <w:t>地址：陕西省西安市浐灞生态区欧亚大道3399号欧亚国际一期B座0712室</w:t>
      </w:r>
    </w:p>
    <w:p>
      <w:pPr>
        <w:pStyle w:val="null3"/>
      </w:pPr>
      <w:r>
        <w:rPr>
          <w:rFonts w:ascii="仿宋_GB2312" w:hAnsi="仿宋_GB2312" w:cs="仿宋_GB2312" w:eastAsia="仿宋_GB2312"/>
        </w:rPr>
        <w:t>邮编：710024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山洪灾害监测预警平台、视频会议系统、视频监控、计算机网络系统维护；更新监测预警平台设备UPS1台（含16块电池）；新建入户应答器4台、无线预警广播1套、扩音器2只（含立杆、太阳能供电、流量卡）等。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312,000.00</w:t>
      </w:r>
    </w:p>
    <w:p>
      <w:pPr>
        <w:pStyle w:val="null3"/>
      </w:pPr>
      <w:r>
        <w:rPr>
          <w:rFonts w:ascii="仿宋_GB2312" w:hAnsi="仿宋_GB2312" w:cs="仿宋_GB2312" w:eastAsia="仿宋_GB2312"/>
        </w:rPr>
        <w:t>采购包最高限价（元）: 312,000.00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西安市灞桥区2026年山洪灾害防治非工程措施维修养护项目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标的名称：西安市灞桥区2026年山洪灾害防治非工程措施维修养护项目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630"/>
              <w:jc w:val="both"/>
              <w:outlineLvl w:val="0"/>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维护内容及标准</w:t>
            </w:r>
          </w:p>
          <w:p>
            <w:pPr>
              <w:pStyle w:val="null3"/>
              <w:spacing w:before="315" w:after="120"/>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网络及软件</w:t>
            </w:r>
          </w:p>
          <w:p>
            <w:pPr>
              <w:pStyle w:val="null3"/>
              <w:spacing w:before="120" w:after="120"/>
              <w:ind w:firstLine="480"/>
              <w:jc w:val="both"/>
            </w:pPr>
            <w:r>
              <w:rPr>
                <w:rFonts w:ascii="仿宋_GB2312" w:hAnsi="仿宋_GB2312" w:cs="仿宋_GB2312" w:eastAsia="仿宋_GB2312"/>
                <w:sz w:val="24"/>
                <w:color w:val="000000"/>
              </w:rPr>
              <w:t>主要包括</w:t>
            </w:r>
            <w:r>
              <w:rPr>
                <w:rFonts w:ascii="仿宋_GB2312" w:hAnsi="仿宋_GB2312" w:cs="仿宋_GB2312" w:eastAsia="仿宋_GB2312"/>
                <w:sz w:val="24"/>
                <w:color w:val="000000"/>
              </w:rPr>
              <w:t>：</w:t>
            </w:r>
            <w:r>
              <w:rPr>
                <w:rFonts w:ascii="仿宋_GB2312" w:hAnsi="仿宋_GB2312" w:cs="仿宋_GB2312" w:eastAsia="仿宋_GB2312"/>
                <w:sz w:val="24"/>
                <w:color w:val="000000"/>
              </w:rPr>
              <w:t>灞桥区下辖街道办、水库、河道、危险区等位置，主要维护内容</w:t>
            </w:r>
            <w:r>
              <w:rPr>
                <w:rFonts w:ascii="仿宋_GB2312" w:hAnsi="仿宋_GB2312" w:cs="仿宋_GB2312" w:eastAsia="仿宋_GB2312"/>
                <w:sz w:val="24"/>
                <w:color w:val="000000"/>
              </w:rPr>
              <w:t>视频会议系统（</w:t>
            </w:r>
            <w:r>
              <w:rPr>
                <w:rFonts w:ascii="仿宋_GB2312" w:hAnsi="仿宋_GB2312" w:cs="仿宋_GB2312" w:eastAsia="仿宋_GB2312"/>
                <w:sz w:val="24"/>
                <w:color w:val="000000"/>
              </w:rPr>
              <w:t>10处）、视频监控站（3处</w:t>
            </w:r>
            <w:r>
              <w:rPr>
                <w:rFonts w:ascii="仿宋_GB2312" w:hAnsi="仿宋_GB2312" w:cs="仿宋_GB2312" w:eastAsia="仿宋_GB2312"/>
                <w:sz w:val="24"/>
                <w:color w:val="000000"/>
              </w:rPr>
              <w:t>2012年建设+6处2025年建设</w:t>
            </w:r>
            <w:r>
              <w:rPr>
                <w:rFonts w:ascii="仿宋_GB2312" w:hAnsi="仿宋_GB2312" w:cs="仿宋_GB2312" w:eastAsia="仿宋_GB2312"/>
                <w:sz w:val="24"/>
                <w:color w:val="000000"/>
              </w:rPr>
              <w:t>）、计算机网络系统</w:t>
            </w:r>
            <w:r>
              <w:rPr>
                <w:rFonts w:ascii="仿宋_GB2312" w:hAnsi="仿宋_GB2312" w:cs="仿宋_GB2312" w:eastAsia="仿宋_GB2312"/>
                <w:sz w:val="24"/>
                <w:color w:val="000000"/>
              </w:rPr>
              <w:t>1套、</w:t>
            </w:r>
            <w:r>
              <w:rPr>
                <w:rFonts w:ascii="仿宋_GB2312" w:hAnsi="仿宋_GB2312" w:cs="仿宋_GB2312" w:eastAsia="仿宋_GB2312"/>
                <w:sz w:val="24"/>
                <w:color w:val="000000"/>
              </w:rPr>
              <w:t>无线预警广播系统、简易雨量站、</w:t>
            </w:r>
            <w:r>
              <w:rPr>
                <w:rFonts w:ascii="仿宋_GB2312" w:hAnsi="仿宋_GB2312" w:cs="仿宋_GB2312" w:eastAsia="仿宋_GB2312"/>
                <w:sz w:val="24"/>
                <w:color w:val="000000"/>
              </w:rPr>
              <w:t>群测群防等。</w:t>
            </w:r>
            <w:r>
              <w:rPr>
                <w:rFonts w:ascii="仿宋_GB2312" w:hAnsi="仿宋_GB2312" w:cs="仿宋_GB2312" w:eastAsia="仿宋_GB2312"/>
                <w:sz w:val="24"/>
                <w:color w:val="000000"/>
              </w:rPr>
              <w:t>（</w:t>
            </w:r>
            <w:r>
              <w:rPr>
                <w:rFonts w:ascii="仿宋_GB2312" w:hAnsi="仿宋_GB2312" w:cs="仿宋_GB2312" w:eastAsia="仿宋_GB2312"/>
                <w:sz w:val="24"/>
                <w:color w:val="000000"/>
              </w:rPr>
              <w:t>具体见下表</w:t>
            </w:r>
            <w:r>
              <w:rPr>
                <w:rFonts w:ascii="仿宋_GB2312" w:hAnsi="仿宋_GB2312" w:cs="仿宋_GB2312" w:eastAsia="仿宋_GB2312"/>
                <w:sz w:val="24"/>
                <w:color w:val="000000"/>
              </w:rPr>
              <w:t>）</w:t>
            </w:r>
          </w:p>
          <w:tbl>
            <w:tblPr>
              <w:tblInd w:type="dxa" w:w="90"/>
              <w:tblBorders>
                <w:top w:val="none" w:color="000000" w:sz="4"/>
                <w:left w:val="none" w:color="000000" w:sz="4"/>
                <w:bottom w:val="none" w:color="000000" w:sz="4"/>
                <w:right w:val="none" w:color="000000" w:sz="4"/>
                <w:insideH w:val="none"/>
                <w:insideV w:val="none"/>
              </w:tblBorders>
            </w:tblPr>
            <w:tblGrid>
              <w:gridCol w:w="156"/>
              <w:gridCol w:w="405"/>
              <w:gridCol w:w="367"/>
              <w:gridCol w:w="185"/>
              <w:gridCol w:w="215"/>
              <w:gridCol w:w="350"/>
              <w:gridCol w:w="853"/>
            </w:tblGrid>
            <w:tr>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序号</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建设时间</w:t>
                  </w:r>
                </w:p>
              </w:tc>
              <w:tc>
                <w:tcPr>
                  <w:tcW w:type="dxa" w:w="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维护频次</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网络安全</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路由器</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H3C-MSR3020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2012年9月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汛前一次全面巡检维护，汛中有故障实时维护，汛后一次全面巡检</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核心交换机</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H3C-5130-48</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2012年9月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汛前一次全面巡检维护，汛中有故障实时维护，汛后一次全面巡检</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接入交换</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H3C-S1526</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2012年9月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汛前一次全面巡检维护，汛中有故障实时维护，汛后一次全面巡检</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接入交换</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华为</w:t>
                  </w:r>
                  <w:r>
                    <w:rPr>
                      <w:rFonts w:ascii="仿宋_GB2312" w:hAnsi="仿宋_GB2312" w:cs="仿宋_GB2312" w:eastAsia="仿宋_GB2312"/>
                      <w:sz w:val="24"/>
                      <w:color w:val="000000"/>
                    </w:rPr>
                    <w:t>S5700</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2013年9月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汛前一次全面巡检维护，汛中有故障实时维护，汛后一次全面巡检</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防火墙</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天融信（外网）</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2013年9月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汛前一次全面巡检维护，汛中有故障实时维护，汛后一次全面巡检</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控制计算机</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联想</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2023年9月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汛前一次全面巡检维护，汛中有故障实时维护，汛后一次全面巡检</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应用电脑</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联想</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2023年9月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汛前一次全面巡检维护，汛中有故障实时维护，汛后一次全面巡检</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服务器</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浪潮</w:t>
                  </w:r>
                  <w:r>
                    <w:rPr>
                      <w:rFonts w:ascii="仿宋_GB2312" w:hAnsi="仿宋_GB2312" w:cs="仿宋_GB2312" w:eastAsia="仿宋_GB2312"/>
                      <w:sz w:val="24"/>
                      <w:color w:val="000000"/>
                    </w:rPr>
                    <w:t>NF5240-M3</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2019年9月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汛前一次全面巡检维护，汛中有故障实时维护，汛后一次全面巡检</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磁盘阵列</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浪潮</w:t>
                  </w:r>
                  <w:r>
                    <w:rPr>
                      <w:rFonts w:ascii="仿宋_GB2312" w:hAnsi="仿宋_GB2312" w:cs="仿宋_GB2312" w:eastAsia="仿宋_GB2312"/>
                      <w:sz w:val="24"/>
                      <w:color w:val="000000"/>
                    </w:rPr>
                    <w:t>NF5230-M4</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2019年9月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汛前一次全面巡检维护，汛中有故障实时维护，汛后一次全面巡检</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KVM切换器</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奥拓</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2012年9月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汛前一次全面巡检维护，汛中有故障实时维护，汛后一次全面巡检</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机柜</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图腾</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2016年9月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汛前一次全面巡检维护，汛中有故障实时维护，汛后一次全面巡检</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机房空调</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格力</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2018年9月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汛前一次全面巡检维护，汛中有故障实时维护，汛后一次全面巡检</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机房清洁</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2012年9月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汛前一次全面巡检维护，汛中有故障实时维护，汛后一次全面巡检</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软件系统</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操作系统</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微软</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2012年9月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汛前一次全面巡检维护，汛中有故障实时维护，汛后一次全面巡检</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数据库软件</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Windows SQL Server</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2012年9月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汛前一次全面巡检维护，汛中有故障实时维护，汛后一次全面巡检</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视频监控软件</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定制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2019年9月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汛前一次全面巡检维护，汛中有故障实时维护，汛后一次全面巡检</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无线预警广播软件</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定制</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2023年9月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汛前一次全面巡检维护，汛中有故障实时维护，汛后一次全面巡检</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短信平台充值费</w:t>
                  </w:r>
                </w:p>
              </w:tc>
              <w:tc>
                <w:tcPr>
                  <w:tcW w:type="dxa" w:w="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r>
                    <w:rPr>
                      <w:rFonts w:ascii="仿宋_GB2312" w:hAnsi="仿宋_GB2312" w:cs="仿宋_GB2312" w:eastAsia="仿宋_GB2312"/>
                      <w:sz w:val="24"/>
                      <w:color w:val="000000"/>
                    </w:rPr>
                    <w:t>/年</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2019年9月</w:t>
                  </w:r>
                </w:p>
              </w:tc>
              <w:tc>
                <w:tcPr>
                  <w:tcW w:type="dxa" w:w="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汛前充值，保证平台正常运行</w:t>
                  </w:r>
                </w:p>
              </w:tc>
            </w:tr>
          </w:tbl>
          <w:p>
            <w:pPr>
              <w:pStyle w:val="null3"/>
              <w:spacing w:before="120" w:after="120"/>
              <w:ind w:firstLine="480"/>
              <w:jc w:val="both"/>
            </w:pPr>
            <w:r>
              <w:rPr>
                <w:rFonts w:ascii="仿宋_GB2312" w:hAnsi="仿宋_GB2312" w:cs="仿宋_GB2312" w:eastAsia="仿宋_GB2312"/>
                <w:sz w:val="24"/>
                <w:color w:val="000000"/>
              </w:rPr>
              <w:t>遇有设备、网络、系统故障时专职人员在</w:t>
            </w:r>
            <w:r>
              <w:rPr>
                <w:rFonts w:ascii="仿宋_GB2312" w:hAnsi="仿宋_GB2312" w:cs="仿宋_GB2312" w:eastAsia="仿宋_GB2312"/>
                <w:sz w:val="24"/>
                <w:color w:val="000000"/>
              </w:rPr>
              <w:t>1小时内解决，如1小时内不能解决，则需要明确故障原因，解决方案，在4小时内恢复系统正常运行；汛期安排专职人员值班、</w:t>
            </w:r>
            <w:r>
              <w:rPr>
                <w:rFonts w:ascii="仿宋_GB2312" w:hAnsi="仿宋_GB2312" w:cs="仿宋_GB2312" w:eastAsia="仿宋_GB2312"/>
                <w:sz w:val="24"/>
                <w:color w:val="000000"/>
              </w:rPr>
              <w:t>值守，遇有突发情况及时向业务部门汇报，确保汛期安全。</w:t>
            </w:r>
          </w:p>
          <w:p>
            <w:pPr>
              <w:pStyle w:val="null3"/>
              <w:spacing w:before="315" w:after="120"/>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视频会议系统</w:t>
            </w:r>
          </w:p>
          <w:p>
            <w:pPr>
              <w:pStyle w:val="null3"/>
              <w:spacing w:before="120" w:after="120"/>
              <w:ind w:firstLine="480"/>
              <w:jc w:val="both"/>
            </w:pPr>
            <w:r>
              <w:rPr>
                <w:rFonts w:ascii="仿宋_GB2312" w:hAnsi="仿宋_GB2312" w:cs="仿宋_GB2312" w:eastAsia="仿宋_GB2312"/>
                <w:sz w:val="24"/>
                <w:color w:val="000000"/>
              </w:rPr>
              <w:t>汛前对视频会议做一次全面完整的巡检，主要巡检内容包括视频终端、会议话筒、会议摄像机、显示设备、电源线路、光纤线路，巡检人员到达现场后先巡检设备，线路，其次擦拭设备，最后由巡检人员测试视频会议系统</w:t>
            </w:r>
            <w:r>
              <w:rPr>
                <w:rFonts w:ascii="仿宋_GB2312" w:hAnsi="仿宋_GB2312" w:cs="仿宋_GB2312" w:eastAsia="仿宋_GB2312"/>
                <w:sz w:val="24"/>
                <w:color w:val="000000"/>
              </w:rPr>
              <w:t>能快速发起、接入会议，呼叫响应时间不超过</w:t>
            </w: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秒</w:t>
            </w:r>
            <w:r>
              <w:rPr>
                <w:rFonts w:ascii="仿宋_GB2312" w:hAnsi="仿宋_GB2312" w:cs="仿宋_GB2312" w:eastAsia="仿宋_GB2312"/>
                <w:sz w:val="24"/>
                <w:color w:val="000000"/>
              </w:rPr>
              <w:t>，</w:t>
            </w:r>
            <w:r>
              <w:rPr>
                <w:rFonts w:ascii="仿宋_GB2312" w:hAnsi="仿宋_GB2312" w:cs="仿宋_GB2312" w:eastAsia="仿宋_GB2312"/>
                <w:sz w:val="24"/>
                <w:color w:val="000000"/>
              </w:rPr>
              <w:t>且在测试期间保</w:t>
            </w:r>
            <w:r>
              <w:rPr>
                <w:rFonts w:ascii="仿宋_GB2312" w:hAnsi="仿宋_GB2312" w:cs="仿宋_GB2312" w:eastAsia="仿宋_GB2312"/>
                <w:sz w:val="24"/>
                <w:color w:val="000000"/>
              </w:rPr>
              <w:t>持画面、语音清晰，控制灵敏</w:t>
            </w:r>
            <w:r>
              <w:rPr>
                <w:rFonts w:ascii="仿宋_GB2312" w:hAnsi="仿宋_GB2312" w:cs="仿宋_GB2312" w:eastAsia="仿宋_GB2312"/>
                <w:sz w:val="24"/>
                <w:color w:val="000000"/>
              </w:rPr>
              <w:t>；并</w:t>
            </w:r>
            <w:r>
              <w:rPr>
                <w:rFonts w:ascii="仿宋_GB2312" w:hAnsi="仿宋_GB2312" w:cs="仿宋_GB2312" w:eastAsia="仿宋_GB2312"/>
                <w:sz w:val="24"/>
                <w:color w:val="000000"/>
              </w:rPr>
              <w:t>对街办及相关单位视频会议统一调度、测试语音、画面等。</w:t>
            </w:r>
          </w:p>
          <w:p>
            <w:pPr>
              <w:pStyle w:val="null3"/>
              <w:spacing w:before="120" w:after="120"/>
              <w:ind w:firstLine="480"/>
              <w:jc w:val="both"/>
            </w:pPr>
            <w:r>
              <w:rPr>
                <w:rFonts w:ascii="仿宋_GB2312" w:hAnsi="仿宋_GB2312" w:cs="仿宋_GB2312" w:eastAsia="仿宋_GB2312"/>
                <w:sz w:val="24"/>
                <w:color w:val="000000"/>
              </w:rPr>
              <w:t>汛中期对有故障的设备在响应时限（</w:t>
            </w:r>
            <w:r>
              <w:rPr>
                <w:rFonts w:ascii="仿宋_GB2312" w:hAnsi="仿宋_GB2312" w:cs="仿宋_GB2312" w:eastAsia="仿宋_GB2312"/>
                <w:sz w:val="24"/>
                <w:color w:val="000000"/>
              </w:rPr>
              <w:t>4</w:t>
            </w:r>
            <w:r>
              <w:rPr>
                <w:rFonts w:ascii="仿宋_GB2312" w:hAnsi="仿宋_GB2312" w:cs="仿宋_GB2312" w:eastAsia="仿宋_GB2312"/>
                <w:sz w:val="24"/>
                <w:color w:val="000000"/>
              </w:rPr>
              <w:t>小时）内至现场处理。如果是线路问题，当即联系电信部门；如果是设备问题现场工程师立即定位问题，处理故障，故障处理完毕后与市、区级维护人员联系，进行测试，测试完毕后记录问题故障原因。</w:t>
            </w:r>
          </w:p>
          <w:p>
            <w:pPr>
              <w:pStyle w:val="null3"/>
              <w:spacing w:before="120" w:after="120"/>
              <w:ind w:firstLine="480"/>
              <w:jc w:val="both"/>
            </w:pPr>
            <w:r>
              <w:rPr>
                <w:rFonts w:ascii="仿宋_GB2312" w:hAnsi="仿宋_GB2312" w:cs="仿宋_GB2312" w:eastAsia="仿宋_GB2312"/>
                <w:sz w:val="24"/>
                <w:color w:val="000000"/>
              </w:rPr>
              <w:t>汛后检查维护：主要包括设备在汛期使用状况，故障处理期限，服务响应时限，改进措施等。</w:t>
            </w:r>
          </w:p>
          <w:tbl>
            <w:tblPr>
              <w:tblBorders>
                <w:top w:val="none" w:color="000000" w:sz="4"/>
                <w:left w:val="none" w:color="000000" w:sz="4"/>
                <w:bottom w:val="none" w:color="000000" w:sz="4"/>
                <w:right w:val="none" w:color="000000" w:sz="4"/>
                <w:insideH w:val="none"/>
                <w:insideV w:val="none"/>
              </w:tblBorders>
            </w:tblPr>
            <w:tblGrid>
              <w:gridCol w:w="219"/>
              <w:gridCol w:w="351"/>
              <w:gridCol w:w="180"/>
              <w:gridCol w:w="199"/>
              <w:gridCol w:w="437"/>
              <w:gridCol w:w="1167"/>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000000"/>
                    </w:rPr>
                    <w:t>序号</w:t>
                  </w:r>
                </w:p>
              </w:tc>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000000"/>
                    </w:rPr>
                    <w:t>名称</w:t>
                  </w:r>
                </w:p>
              </w:tc>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000000"/>
                    </w:rPr>
                    <w:t>单位</w:t>
                  </w:r>
                </w:p>
              </w:tc>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000000"/>
                    </w:rPr>
                    <w:t>数量</w:t>
                  </w:r>
                </w:p>
              </w:tc>
              <w:tc>
                <w:tcPr>
                  <w:tcW w:type="dxa" w:w="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000000"/>
                    </w:rPr>
                    <w:t>位置</w:t>
                  </w:r>
                </w:p>
              </w:tc>
              <w:tc>
                <w:tcPr>
                  <w:tcW w:type="dxa" w:w="1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仿宋_GB2312" w:hAnsi="仿宋_GB2312" w:cs="仿宋_GB2312" w:eastAsia="仿宋_GB2312"/>
                      <w:sz w:val="24"/>
                      <w:color w:val="000000"/>
                    </w:rPr>
                    <w:t>建设时间</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视频会议</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灞桥区水务局</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2019年建，含电视，视频终端，话筒，MCU</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视频会议</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灞桥区城管局</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2019年建，含电视，视频终端，话筒，</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3</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视频会议</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灞桥区应急局</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2019年建，含电视，视频终端，话筒，</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4</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视频会议</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十里铺街道办</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2019年建，含电视，视频终端，话筒，</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5</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视频会议</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红旗街道办</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2019年建，含电视，视频终端，话筒，</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6</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视频会议</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席王街道办</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2019年建，含电视，视频终端，话筒，</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7</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视频会议</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纺织城街道办</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2019年建，含电视，视频终端，话筒，</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8</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视频会议</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洪庆街道办</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2019年建，含电视，视频终端，话筒，</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9</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视频会议</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狄寨街道办</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2019年建，含电视，视频终端，话筒，</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10</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视频会议</w:t>
                  </w:r>
                </w:p>
              </w:tc>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灞桥街道办</w:t>
                  </w:r>
                </w:p>
              </w:tc>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2019年建，含电视，视频终端，话筒，</w:t>
                  </w:r>
                </w:p>
              </w:tc>
            </w:tr>
          </w:tbl>
          <w:p>
            <w:pPr>
              <w:pStyle w:val="null3"/>
              <w:spacing w:before="315" w:after="120"/>
              <w:jc w:val="both"/>
            </w:pPr>
            <w:r>
              <w:rPr>
                <w:rFonts w:ascii="仿宋_GB2312" w:hAnsi="仿宋_GB2312" w:cs="仿宋_GB2312" w:eastAsia="仿宋_GB2312"/>
                <w:sz w:val="24"/>
                <w:b/>
                <w:color w:val="000000"/>
              </w:rPr>
              <w:t>（三）视频监控</w:t>
            </w:r>
          </w:p>
          <w:p>
            <w:pPr>
              <w:pStyle w:val="null3"/>
              <w:spacing w:before="120" w:after="120"/>
              <w:ind w:firstLine="480"/>
              <w:jc w:val="both"/>
            </w:pPr>
            <w:r>
              <w:rPr>
                <w:rFonts w:ascii="仿宋_GB2312" w:hAnsi="仿宋_GB2312" w:cs="仿宋_GB2312" w:eastAsia="仿宋_GB2312"/>
                <w:sz w:val="24"/>
                <w:color w:val="000000"/>
              </w:rPr>
              <w:t>汛前</w:t>
            </w:r>
            <w:r>
              <w:rPr>
                <w:rFonts w:ascii="仿宋_GB2312" w:hAnsi="仿宋_GB2312" w:cs="仿宋_GB2312" w:eastAsia="仿宋_GB2312"/>
                <w:sz w:val="24"/>
                <w:color w:val="000000"/>
              </w:rPr>
              <w:t>对前端摄像机进行清洁，清除镜头灰尘、防护罩杂物；检查摄像机固定支架是否牢固，线路连接是否松动；检查传输线路接口是否完好，光纤</w:t>
            </w:r>
            <w:r>
              <w:rPr>
                <w:rFonts w:ascii="仿宋_GB2312" w:hAnsi="仿宋_GB2312" w:cs="仿宋_GB2312" w:eastAsia="仿宋_GB2312"/>
                <w:sz w:val="24"/>
                <w:color w:val="000000"/>
              </w:rPr>
              <w:t>（</w:t>
            </w:r>
            <w:r>
              <w:rPr>
                <w:rFonts w:ascii="仿宋_GB2312" w:hAnsi="仿宋_GB2312" w:cs="仿宋_GB2312" w:eastAsia="仿宋_GB2312"/>
                <w:sz w:val="24"/>
                <w:color w:val="000000"/>
              </w:rPr>
              <w:t>4G</w:t>
            </w:r>
            <w:r>
              <w:rPr>
                <w:rFonts w:ascii="仿宋_GB2312" w:hAnsi="仿宋_GB2312" w:cs="仿宋_GB2312" w:eastAsia="仿宋_GB2312"/>
                <w:sz w:val="24"/>
                <w:color w:val="000000"/>
              </w:rPr>
              <w:t>）</w:t>
            </w:r>
            <w:r>
              <w:rPr>
                <w:rFonts w:ascii="仿宋_GB2312" w:hAnsi="仿宋_GB2312" w:cs="仿宋_GB2312" w:eastAsia="仿宋_GB2312"/>
                <w:sz w:val="24"/>
                <w:color w:val="000000"/>
              </w:rPr>
              <w:t>信号强度是否正常；</w:t>
            </w:r>
            <w:r>
              <w:rPr>
                <w:rFonts w:ascii="仿宋_GB2312" w:hAnsi="仿宋_GB2312" w:cs="仿宋_GB2312" w:eastAsia="仿宋_GB2312"/>
                <w:sz w:val="24"/>
                <w:color w:val="000000"/>
              </w:rPr>
              <w:t>汛中期有故障随时安排专人携带备品备件至现场处理。</w:t>
            </w:r>
          </w:p>
          <w:tbl>
            <w:tblPr>
              <w:tblBorders>
                <w:top w:val="none" w:color="000000" w:sz="4"/>
                <w:left w:val="none" w:color="000000" w:sz="4"/>
                <w:bottom w:val="none" w:color="000000" w:sz="4"/>
                <w:right w:val="none" w:color="000000" w:sz="4"/>
                <w:insideH w:val="none"/>
                <w:insideV w:val="none"/>
              </w:tblBorders>
            </w:tblPr>
            <w:tblGrid>
              <w:gridCol w:w="219"/>
              <w:gridCol w:w="351"/>
              <w:gridCol w:w="301"/>
              <w:gridCol w:w="285"/>
              <w:gridCol w:w="664"/>
              <w:gridCol w:w="734"/>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序号</w:t>
                  </w:r>
                </w:p>
              </w:tc>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名称</w:t>
                  </w:r>
                </w:p>
              </w:tc>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单位</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数量</w:t>
                  </w:r>
                </w:p>
              </w:tc>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位置</w:t>
                  </w:r>
                </w:p>
              </w:tc>
              <w:tc>
                <w:tcPr>
                  <w:tcW w:type="dxa" w:w="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建设时间</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视频监控</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湿地公园</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2012年建设</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视频监控</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红旗水库</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2012年建设</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3</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视频监控</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4</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杨家沟水库</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2012年建设</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4</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视频监控</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车村水库</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2025年新建</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5</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视频监控</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胜利水库</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2025年新建</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6</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视频监控</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燎原村</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2025年新建</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7</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视频监控</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丁张胡村</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2025年新建</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8</w:t>
                  </w: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视频监控</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台</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1</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栗沟二组</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both"/>
                  </w:pPr>
                  <w:r>
                    <w:rPr>
                      <w:rFonts w:ascii="仿宋_GB2312" w:hAnsi="仿宋_GB2312" w:cs="仿宋_GB2312" w:eastAsia="仿宋_GB2312"/>
                      <w:sz w:val="24"/>
                      <w:color w:val="000000"/>
                    </w:rPr>
                    <w:t>2025年新建</w:t>
                  </w:r>
                </w:p>
              </w:tc>
            </w:tr>
          </w:tbl>
          <w:p>
            <w:pPr>
              <w:pStyle w:val="null3"/>
              <w:spacing w:before="315" w:after="120"/>
              <w:jc w:val="both"/>
            </w:pPr>
            <w:r>
              <w:rPr>
                <w:rFonts w:ascii="仿宋_GB2312" w:hAnsi="仿宋_GB2312" w:cs="仿宋_GB2312" w:eastAsia="仿宋_GB2312"/>
                <w:sz w:val="24"/>
                <w:b/>
                <w:color w:val="000000"/>
              </w:rPr>
              <w:t>（四）简易雨量站</w:t>
            </w:r>
          </w:p>
          <w:p>
            <w:pPr>
              <w:pStyle w:val="null3"/>
              <w:spacing w:before="315" w:after="120"/>
              <w:ind w:firstLine="480"/>
              <w:jc w:val="both"/>
            </w:pPr>
            <w:r>
              <w:rPr>
                <w:rFonts w:ascii="仿宋_GB2312" w:hAnsi="仿宋_GB2312" w:cs="仿宋_GB2312" w:eastAsia="仿宋_GB2312"/>
                <w:sz w:val="24"/>
                <w:color w:val="000000"/>
              </w:rPr>
              <w:t>汛前对所有</w:t>
            </w:r>
            <w:r>
              <w:rPr>
                <w:rFonts w:ascii="仿宋_GB2312" w:hAnsi="仿宋_GB2312" w:cs="仿宋_GB2312" w:eastAsia="仿宋_GB2312"/>
                <w:sz w:val="24"/>
                <w:color w:val="000000"/>
              </w:rPr>
              <w:t>雨量传感器：检查承雨口是否堵塞（树叶、蜘蛛网），翻斗是否卡滞（手动轻拨翻斗，应能灵活翻转且无异响）。</w:t>
            </w:r>
          </w:p>
          <w:p>
            <w:pPr>
              <w:pStyle w:val="null3"/>
              <w:spacing w:before="315" w:after="120"/>
              <w:ind w:firstLine="480"/>
              <w:jc w:val="both"/>
            </w:pPr>
            <w:r>
              <w:rPr>
                <w:rFonts w:ascii="仿宋_GB2312" w:hAnsi="仿宋_GB2312" w:cs="仿宋_GB2312" w:eastAsia="仿宋_GB2312"/>
                <w:sz w:val="24"/>
                <w:color w:val="000000"/>
              </w:rPr>
              <w:t>通信模块：查看</w:t>
            </w:r>
            <w:r>
              <w:rPr>
                <w:rFonts w:ascii="仿宋_GB2312" w:hAnsi="仿宋_GB2312" w:cs="仿宋_GB2312" w:eastAsia="仿宋_GB2312"/>
                <w:sz w:val="24"/>
                <w:color w:val="000000"/>
              </w:rPr>
              <w:t>SIM卡是否松动，信号强度指示灯（≥3格为正常，否则需调整天线朝向）。</w:t>
            </w:r>
          </w:p>
          <w:p>
            <w:pPr>
              <w:pStyle w:val="null3"/>
              <w:spacing w:before="120" w:after="120"/>
              <w:ind w:firstLine="480"/>
              <w:jc w:val="both"/>
            </w:pPr>
            <w:r>
              <w:rPr>
                <w:rFonts w:ascii="仿宋_GB2312" w:hAnsi="仿宋_GB2312" w:cs="仿宋_GB2312" w:eastAsia="仿宋_GB2312"/>
                <w:sz w:val="24"/>
                <w:color w:val="000000"/>
              </w:rPr>
              <w:t>供电系统：观察太阳能板表面是否有灰尘</w:t>
            </w:r>
            <w:r>
              <w:rPr>
                <w:rFonts w:ascii="仿宋_GB2312" w:hAnsi="仿宋_GB2312" w:cs="仿宋_GB2312" w:eastAsia="仿宋_GB2312"/>
                <w:sz w:val="24"/>
                <w:color w:val="000000"/>
              </w:rPr>
              <w:t>/积雪覆盖（影响发电效率），蓄电池接线柱是否氧化（用砂纸打磨并涂抹</w:t>
            </w:r>
            <w:r>
              <w:rPr>
                <w:rFonts w:ascii="仿宋_GB2312" w:hAnsi="仿宋_GB2312" w:cs="仿宋_GB2312" w:eastAsia="仿宋_GB2312"/>
                <w:sz w:val="24"/>
                <w:color w:val="000000"/>
              </w:rPr>
              <w:t>润滑油</w:t>
            </w:r>
            <w:r>
              <w:rPr>
                <w:rFonts w:ascii="仿宋_GB2312" w:hAnsi="仿宋_GB2312" w:cs="仿宋_GB2312" w:eastAsia="仿宋_GB2312"/>
                <w:sz w:val="24"/>
                <w:color w:val="000000"/>
              </w:rPr>
              <w:t>防锈）。</w:t>
            </w:r>
            <w:r>
              <w:rPr>
                <w:rFonts w:ascii="仿宋_GB2312" w:hAnsi="仿宋_GB2312" w:cs="仿宋_GB2312" w:eastAsia="仿宋_GB2312"/>
                <w:sz w:val="24"/>
                <w:color w:val="000000"/>
              </w:rPr>
              <w:t>汛中期对有故障的设备有专人携带备品备件进行更换。</w:t>
            </w:r>
          </w:p>
          <w:tbl>
            <w:tblPr>
              <w:tblBorders>
                <w:top w:val="none" w:color="000000" w:sz="4"/>
                <w:left w:val="none" w:color="000000" w:sz="4"/>
                <w:bottom w:val="none" w:color="000000" w:sz="4"/>
                <w:right w:val="none" w:color="000000" w:sz="4"/>
                <w:insideH w:val="none"/>
                <w:insideV w:val="none"/>
              </w:tblBorders>
            </w:tblPr>
            <w:tblGrid>
              <w:gridCol w:w="223"/>
              <w:gridCol w:w="415"/>
              <w:gridCol w:w="1459"/>
              <w:gridCol w:w="200"/>
              <w:gridCol w:w="236"/>
            </w:tblGrid>
            <w:tr>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类别</w:t>
                  </w:r>
                </w:p>
              </w:tc>
              <w:tc>
                <w:tcPr>
                  <w:tcW w:type="dxa" w:w="1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安装位置</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洪庆街办百花岭村阴坡村党员之家屋顶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红旗街办高桥村红旗水库坝口房屋左侧花园内</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席王街办鲸鱼沟湖面停车场卫生间后侧</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狄寨街办杨家沟水库宿舍门口大门顶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席王街办肖高村高家沟党群服务中心屋顶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席王街办东张村唐家坪村村委会屋顶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红旗街办高桥村村委会</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洪庆街办三阳院村栗沟三组</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红旗街办高桥村村委会左侧一楼</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洪庆街办街子村</w:t>
                  </w:r>
                  <w:r>
                    <w:rPr>
                      <w:rFonts w:ascii="仿宋_GB2312" w:hAnsi="仿宋_GB2312" w:cs="仿宋_GB2312" w:eastAsia="仿宋_GB2312"/>
                      <w:sz w:val="24"/>
                      <w:color w:val="000000"/>
                    </w:rPr>
                    <w:t>2组</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洪庆街办唐刘村</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洪庆街办向阳沟</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狄寨街办西车村</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狄寨街办东车村</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狄寨街办塘村</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狄寨街办狄村</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狄寨街办姚沟村</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洪庆街办丁张胡村张清利家一楼楼顶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席王街办西张村</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席王街办唐家寨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简易雨量站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席王街办高沟村</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w:t>
                  </w:r>
                  <w:r>
                    <w:rPr>
                      <w:rFonts w:ascii="仿宋_GB2312" w:hAnsi="仿宋_GB2312" w:cs="仿宋_GB2312" w:eastAsia="仿宋_GB2312"/>
                      <w:sz w:val="24"/>
                      <w:color w:val="000000"/>
                    </w:rPr>
                    <w:t>水位</w:t>
                  </w:r>
                  <w:r>
                    <w:rPr>
                      <w:rFonts w:ascii="仿宋_GB2312" w:hAnsi="仿宋_GB2312" w:cs="仿宋_GB2312" w:eastAsia="仿宋_GB2312"/>
                      <w:sz w:val="24"/>
                      <w:color w:val="000000"/>
                    </w:rPr>
                    <w:t>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栗沟村</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简易</w:t>
                  </w:r>
                  <w:r>
                    <w:rPr>
                      <w:rFonts w:ascii="仿宋_GB2312" w:hAnsi="仿宋_GB2312" w:cs="仿宋_GB2312" w:eastAsia="仿宋_GB2312"/>
                      <w:sz w:val="24"/>
                      <w:color w:val="000000"/>
                    </w:rPr>
                    <w:t>水位</w:t>
                  </w:r>
                  <w:r>
                    <w:rPr>
                      <w:rFonts w:ascii="仿宋_GB2312" w:hAnsi="仿宋_GB2312" w:cs="仿宋_GB2312" w:eastAsia="仿宋_GB2312"/>
                      <w:sz w:val="24"/>
                      <w:color w:val="000000"/>
                    </w:rPr>
                    <w:t>站</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孙家沟村</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bl>
          <w:p>
            <w:pPr>
              <w:pStyle w:val="null3"/>
              <w:numPr>
                <w:ilvl w:val="0"/>
                <w:numId w:val="1"/>
              </w:numPr>
              <w:spacing w:before="315" w:after="120"/>
              <w:jc w:val="both"/>
            </w:pPr>
            <w:r>
              <w:rPr>
                <w:rFonts w:ascii="仿宋_GB2312" w:hAnsi="仿宋_GB2312" w:cs="仿宋_GB2312" w:eastAsia="仿宋_GB2312"/>
                <w:sz w:val="24"/>
                <w:b/>
                <w:color w:val="000000"/>
              </w:rPr>
              <w:t>无线预警广播</w:t>
            </w:r>
          </w:p>
          <w:p>
            <w:pPr>
              <w:pStyle w:val="null3"/>
              <w:spacing w:before="120" w:after="120"/>
              <w:ind w:firstLine="480"/>
              <w:jc w:val="both"/>
            </w:pPr>
            <w:r>
              <w:rPr>
                <w:rFonts w:ascii="仿宋_GB2312" w:hAnsi="仿宋_GB2312" w:cs="仿宋_GB2312" w:eastAsia="仿宋_GB2312"/>
                <w:sz w:val="24"/>
                <w:color w:val="000000"/>
              </w:rPr>
              <w:t>汛前对所有设备进行巡检，巡检内容包括无线预警主机，电源（市电和太阳能供电，</w:t>
            </w:r>
            <w:r>
              <w:rPr>
                <w:rFonts w:ascii="仿宋_GB2312" w:hAnsi="仿宋_GB2312" w:cs="仿宋_GB2312" w:eastAsia="仿宋_GB2312"/>
                <w:sz w:val="24"/>
                <w:color w:val="000000"/>
              </w:rPr>
              <w:t>查看蓄电池电压：终端显示电压＜</w:t>
            </w:r>
            <w:r>
              <w:rPr>
                <w:rFonts w:ascii="仿宋_GB2312" w:hAnsi="仿宋_GB2312" w:cs="仿宋_GB2312" w:eastAsia="仿宋_GB2312"/>
                <w:sz w:val="24"/>
                <w:color w:val="000000"/>
              </w:rPr>
              <w:t>11.5V时（欠压阈值），立即安排现场检查太阳能板清洁度（灰尘覆盖会降低充电效率）</w:t>
            </w:r>
            <w:r>
              <w:rPr>
                <w:rFonts w:ascii="仿宋_GB2312" w:hAnsi="仿宋_GB2312" w:cs="仿宋_GB2312" w:eastAsia="仿宋_GB2312"/>
                <w:sz w:val="24"/>
                <w:color w:val="000000"/>
              </w:rPr>
              <w:t>）、</w:t>
            </w:r>
            <w:r>
              <w:rPr>
                <w:rFonts w:ascii="仿宋_GB2312" w:hAnsi="仿宋_GB2312" w:cs="仿宋_GB2312" w:eastAsia="仿宋_GB2312"/>
                <w:sz w:val="24"/>
                <w:color w:val="000000"/>
              </w:rPr>
              <w:t>SIM卡信号测试，</w:t>
            </w:r>
            <w:r>
              <w:rPr>
                <w:rFonts w:ascii="仿宋_GB2312" w:hAnsi="仿宋_GB2312" w:cs="仿宋_GB2312" w:eastAsia="仿宋_GB2312"/>
                <w:sz w:val="24"/>
                <w:color w:val="000000"/>
              </w:rPr>
              <w:t>之后进行</w:t>
            </w:r>
            <w:r>
              <w:rPr>
                <w:rFonts w:ascii="仿宋_GB2312" w:hAnsi="仿宋_GB2312" w:cs="仿宋_GB2312" w:eastAsia="仿宋_GB2312"/>
                <w:sz w:val="24"/>
                <w:color w:val="000000"/>
              </w:rPr>
              <w:t>测试应急播报功能：触发</w:t>
            </w:r>
            <w:r>
              <w:rPr>
                <w:rFonts w:ascii="仿宋_GB2312" w:hAnsi="仿宋_GB2312" w:cs="仿宋_GB2312" w:eastAsia="仿宋_GB2312"/>
                <w:sz w:val="24"/>
                <w:color w:val="000000"/>
              </w:rPr>
              <w:t>1次试播（播放“预警广播测试，请勿惊慌”10秒语音），确认音量正常（≥85dB@10m距离）、无杂音。</w:t>
            </w:r>
          </w:p>
          <w:p>
            <w:pPr>
              <w:pStyle w:val="null3"/>
              <w:spacing w:before="120" w:after="120"/>
              <w:ind w:firstLine="480"/>
              <w:jc w:val="both"/>
            </w:pPr>
            <w:r>
              <w:rPr>
                <w:rFonts w:ascii="仿宋_GB2312" w:hAnsi="仿宋_GB2312" w:cs="仿宋_GB2312" w:eastAsia="仿宋_GB2312"/>
                <w:sz w:val="24"/>
                <w:color w:val="000000"/>
              </w:rPr>
              <w:t>汛中</w:t>
            </w:r>
            <w:r>
              <w:rPr>
                <w:rFonts w:ascii="仿宋_GB2312" w:hAnsi="仿宋_GB2312" w:cs="仿宋_GB2312" w:eastAsia="仿宋_GB2312"/>
                <w:sz w:val="24"/>
                <w:color w:val="000000"/>
              </w:rPr>
              <w:t>故障快速响应接到</w:t>
            </w:r>
            <w:r>
              <w:rPr>
                <w:rFonts w:ascii="仿宋_GB2312" w:hAnsi="仿宋_GB2312" w:cs="仿宋_GB2312" w:eastAsia="仿宋_GB2312"/>
                <w:sz w:val="24"/>
                <w:color w:val="000000"/>
              </w:rPr>
              <w:t>“无声”“杂音”等报障后，1小时内远程排查：先重启终端（通过平台发送指令），无效则派运维人员现场检测喇叭接线（是否松动）、功放模块（输出功率是否达标）</w:t>
            </w:r>
            <w:r>
              <w:rPr>
                <w:rFonts w:ascii="仿宋_GB2312" w:hAnsi="仿宋_GB2312" w:cs="仿宋_GB2312" w:eastAsia="仿宋_GB2312"/>
                <w:sz w:val="24"/>
                <w:color w:val="000000"/>
              </w:rPr>
              <w:t>。</w:t>
            </w:r>
          </w:p>
          <w:tbl>
            <w:tblPr>
              <w:tblBorders>
                <w:top w:val="none" w:color="000000" w:sz="4"/>
                <w:left w:val="none" w:color="000000" w:sz="4"/>
                <w:bottom w:val="none" w:color="000000" w:sz="4"/>
                <w:right w:val="none" w:color="000000" w:sz="4"/>
                <w:insideH w:val="none"/>
                <w:insideV w:val="none"/>
              </w:tblBorders>
            </w:tblPr>
            <w:tblGrid>
              <w:gridCol w:w="226"/>
              <w:gridCol w:w="518"/>
              <w:gridCol w:w="1360"/>
              <w:gridCol w:w="203"/>
              <w:gridCol w:w="239"/>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类别</w:t>
                  </w:r>
                </w:p>
              </w:tc>
              <w:tc>
                <w:tcPr>
                  <w:tcW w:type="dxa" w:w="1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安装位置</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洪庆街办枣街村村委会二楼屋顶</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洪庆街办百花岭村阴坡村党员之家屋顶</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红旗街办高桥村红旗水库放水水塔塔顶</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席王街办肖高村高家沟党群服务中心屋顶</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红旗街办南江村村委会</w:t>
                  </w:r>
                  <w:r>
                    <w:rPr>
                      <w:rFonts w:ascii="仿宋_GB2312" w:hAnsi="仿宋_GB2312" w:cs="仿宋_GB2312" w:eastAsia="仿宋_GB2312"/>
                      <w:sz w:val="24"/>
                      <w:color w:val="000000"/>
                    </w:rPr>
                    <w:t>2楼楼顶</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洪庆街办百花岭村村委会楼顶</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洪庆街办三阳院村村委会楼顶</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席王街办东张村唐家坪村村委会屋顶</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杨家沟水库</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狄寨街办庞家村四组</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洪庆街办唐刘村</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洪庆街办向阳沟</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狄寨街办西车村</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狄寨街办东车村</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狄寨街办塘村</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狄寨街办狄村</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狄寨街办姚沟村</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席王街办西张村</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席王街办唐家寨</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席王街办高沟村</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胜利水库敬老院</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r>
          </w:tbl>
          <w:p>
            <w:pPr>
              <w:pStyle w:val="null3"/>
              <w:spacing w:before="315" w:after="120"/>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新建内容</w:t>
            </w:r>
          </w:p>
          <w:p>
            <w:pPr>
              <w:pStyle w:val="null3"/>
              <w:spacing w:before="300" w:after="120"/>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建设内容</w:t>
            </w:r>
          </w:p>
          <w:p>
            <w:pPr>
              <w:pStyle w:val="null3"/>
              <w:spacing w:before="120" w:after="12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根据山洪灾害危险区分布区域信息，计划在燎原村建设入户报警器</w:t>
            </w:r>
            <w:r>
              <w:rPr>
                <w:rFonts w:ascii="仿宋_GB2312" w:hAnsi="仿宋_GB2312" w:cs="仿宋_GB2312" w:eastAsia="仿宋_GB2312"/>
                <w:sz w:val="24"/>
                <w:color w:val="000000"/>
              </w:rPr>
              <w:t>4套，增加无线预警广播1套</w:t>
            </w:r>
            <w:r>
              <w:rPr>
                <w:rFonts w:ascii="仿宋_GB2312" w:hAnsi="仿宋_GB2312" w:cs="仿宋_GB2312" w:eastAsia="仿宋_GB2312"/>
                <w:sz w:val="24"/>
                <w:color w:val="000000"/>
              </w:rPr>
              <w:t>。</w:t>
            </w:r>
            <w:r>
              <w:rPr>
                <w:rFonts w:ascii="仿宋_GB2312" w:hAnsi="仿宋_GB2312" w:cs="仿宋_GB2312" w:eastAsia="仿宋_GB2312"/>
                <w:sz w:val="24"/>
                <w:color w:val="000000"/>
              </w:rPr>
              <w:t>根据现场情况安装相应的基础设施设备。</w:t>
            </w:r>
          </w:p>
          <w:p>
            <w:pPr>
              <w:pStyle w:val="null3"/>
              <w:spacing w:before="120" w:after="12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灞桥区水务局山洪灾害已建设多年，</w:t>
            </w:r>
            <w:r>
              <w:rPr>
                <w:rFonts w:ascii="仿宋_GB2312" w:hAnsi="仿宋_GB2312" w:cs="仿宋_GB2312" w:eastAsia="仿宋_GB2312"/>
                <w:sz w:val="24"/>
                <w:color w:val="000000"/>
              </w:rPr>
              <w:t>UPS不间断电源已达到使用年限，且设备已经损坏，本次计划更新灞桥区机房UPS不间断电源</w:t>
            </w:r>
            <w:r>
              <w:rPr>
                <w:rFonts w:ascii="仿宋_GB2312" w:hAnsi="仿宋_GB2312" w:cs="仿宋_GB2312" w:eastAsia="仿宋_GB2312"/>
                <w:sz w:val="24"/>
                <w:color w:val="000000"/>
              </w:rPr>
              <w:t>。</w:t>
            </w:r>
          </w:p>
          <w:p>
            <w:pPr>
              <w:pStyle w:val="null3"/>
              <w:spacing w:before="120" w:after="12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为保障汛期山洪灾害非工程措施可靠运行，特别是汛期发生故障时能够及时、有效、快速得到处置，安排工作人员参与防汛值班值守。</w:t>
            </w:r>
          </w:p>
          <w:tbl>
            <w:tblPr>
              <w:tblInd w:type="dxa" w:w="90"/>
              <w:tblBorders>
                <w:top w:val="none" w:color="000000" w:sz="4"/>
                <w:left w:val="none" w:color="000000" w:sz="4"/>
                <w:bottom w:val="none" w:color="000000" w:sz="4"/>
                <w:right w:val="none" w:color="000000" w:sz="4"/>
                <w:insideH w:val="none"/>
                <w:insideV w:val="none"/>
              </w:tblBorders>
            </w:tblPr>
            <w:tblGrid>
              <w:gridCol w:w="354"/>
              <w:gridCol w:w="705"/>
              <w:gridCol w:w="354"/>
              <w:gridCol w:w="470"/>
              <w:gridCol w:w="654"/>
            </w:tblGrid>
            <w:tr>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入户应答器</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燎原村补充</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无线预警广播主机</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燎原村新增</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扩声器</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太阳能板</w:t>
                  </w:r>
                  <w:r>
                    <w:rPr>
                      <w:rFonts w:ascii="仿宋_GB2312" w:hAnsi="仿宋_GB2312" w:cs="仿宋_GB2312" w:eastAsia="仿宋_GB2312"/>
                      <w:sz w:val="24"/>
                      <w:color w:val="000000"/>
                    </w:rPr>
                    <w:t>100W</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w:t>
                  </w:r>
                  <w:r>
                    <w:rPr>
                      <w:rFonts w:ascii="仿宋_GB2312" w:hAnsi="仿宋_GB2312" w:cs="仿宋_GB2312" w:eastAsia="仿宋_GB2312"/>
                      <w:sz w:val="24"/>
                      <w:color w:val="000000"/>
                    </w:rPr>
                    <w:t>100A</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太阳能支架等</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充电控制器</w:t>
                  </w:r>
                  <w:r>
                    <w:rPr>
                      <w:rFonts w:ascii="仿宋_GB2312" w:hAnsi="仿宋_GB2312" w:cs="仿宋_GB2312" w:eastAsia="仿宋_GB2312"/>
                      <w:sz w:val="24"/>
                      <w:color w:val="000000"/>
                    </w:rPr>
                    <w:t>12V</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立杆</w:t>
                  </w:r>
                  <w:r>
                    <w:rPr>
                      <w:rFonts w:ascii="仿宋_GB2312" w:hAnsi="仿宋_GB2312" w:cs="仿宋_GB2312" w:eastAsia="仿宋_GB2312"/>
                      <w:sz w:val="24"/>
                      <w:color w:val="000000"/>
                    </w:rPr>
                    <w:t>6米</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含广播支架</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设备箱</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只</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基础</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含人工开挖，地笼，混凝土浇筑</w:t>
                  </w: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辅材</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批</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机房</w:t>
                  </w:r>
                  <w:r>
                    <w:rPr>
                      <w:rFonts w:ascii="仿宋_GB2312" w:hAnsi="仿宋_GB2312" w:cs="仿宋_GB2312" w:eastAsia="仿宋_GB2312"/>
                      <w:sz w:val="24"/>
                      <w:color w:val="000000"/>
                    </w:rPr>
                    <w:t>UPS</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电池组</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16块12V100AH铅酸锂电池</w:t>
                  </w:r>
                </w:p>
              </w:tc>
            </w:tr>
          </w:tbl>
          <w:p>
            <w:pPr>
              <w:pStyle w:val="null3"/>
              <w:spacing w:before="300" w:after="120"/>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技术参数</w:t>
            </w:r>
          </w:p>
          <w:p>
            <w:pPr>
              <w:pStyle w:val="null3"/>
              <w:jc w:val="both"/>
            </w:pPr>
            <w:r>
              <w:rPr>
                <w:rFonts w:ascii="仿宋_GB2312" w:hAnsi="仿宋_GB2312" w:cs="仿宋_GB2312" w:eastAsia="仿宋_GB2312"/>
                <w:sz w:val="24"/>
                <w:b/>
                <w:color w:val="000000"/>
              </w:rPr>
              <w:t>入户报警器：</w:t>
            </w:r>
          </w:p>
          <w:p>
            <w:pPr>
              <w:pStyle w:val="null3"/>
              <w:jc w:val="both"/>
            </w:pPr>
            <w:r>
              <w:drawing>
                <wp:inline distT="0" distR="0" distB="0" distL="0">
                  <wp:extent cx="1621155" cy="1628053"/>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1621155" cy="1628053"/>
                          </a:xfrm>
                          <a:prstGeom prst="rect">
                            <a:avLst/>
                          </a:prstGeom>
                        </pic:spPr>
                      </pic:pic>
                    </a:graphicData>
                  </a:graphic>
                </wp:inline>
              </w:drawing>
            </w:r>
          </w:p>
          <w:p>
            <w:pPr>
              <w:pStyle w:val="null3"/>
              <w:spacing w:before="120" w:after="120"/>
              <w:ind w:firstLine="480"/>
              <w:jc w:val="both"/>
            </w:pPr>
            <w:r>
              <w:rPr>
                <w:rFonts w:ascii="仿宋_GB2312" w:hAnsi="仿宋_GB2312" w:cs="仿宋_GB2312" w:eastAsia="仿宋_GB2312"/>
                <w:sz w:val="24"/>
                <w:color w:val="000000"/>
              </w:rPr>
              <w:t>电源规格：</w:t>
            </w:r>
            <w:r>
              <w:rPr>
                <w:rFonts w:ascii="仿宋_GB2312" w:hAnsi="仿宋_GB2312" w:cs="仿宋_GB2312" w:eastAsia="仿宋_GB2312"/>
                <w:sz w:val="24"/>
                <w:color w:val="000000"/>
              </w:rPr>
              <w:t>DC5V/1A；</w:t>
            </w:r>
          </w:p>
          <w:p>
            <w:pPr>
              <w:pStyle w:val="null3"/>
              <w:spacing w:before="120" w:after="120"/>
              <w:ind w:firstLine="480"/>
              <w:jc w:val="both"/>
            </w:pPr>
            <w:r>
              <w:rPr>
                <w:rFonts w:ascii="仿宋_GB2312" w:hAnsi="仿宋_GB2312" w:cs="仿宋_GB2312" w:eastAsia="仿宋_GB2312"/>
                <w:sz w:val="24"/>
                <w:color w:val="000000"/>
              </w:rPr>
              <w:t>供电接口：</w:t>
            </w:r>
            <w:r>
              <w:rPr>
                <w:rFonts w:ascii="仿宋_GB2312" w:hAnsi="仿宋_GB2312" w:cs="仿宋_GB2312" w:eastAsia="仿宋_GB2312"/>
                <w:sz w:val="24"/>
                <w:color w:val="000000"/>
              </w:rPr>
              <w:t>Type-C；</w:t>
            </w:r>
          </w:p>
          <w:p>
            <w:pPr>
              <w:pStyle w:val="null3"/>
              <w:spacing w:before="120" w:after="120"/>
              <w:ind w:firstLine="480"/>
              <w:jc w:val="both"/>
            </w:pPr>
            <w:r>
              <w:rPr>
                <w:rFonts w:ascii="仿宋_GB2312" w:hAnsi="仿宋_GB2312" w:cs="仿宋_GB2312" w:eastAsia="仿宋_GB2312"/>
                <w:sz w:val="24"/>
                <w:color w:val="000000"/>
              </w:rPr>
              <w:t>内置电池：容量不小于</w:t>
            </w:r>
            <w:r>
              <w:rPr>
                <w:rFonts w:ascii="仿宋_GB2312" w:hAnsi="仿宋_GB2312" w:cs="仿宋_GB2312" w:eastAsia="仿宋_GB2312"/>
                <w:sz w:val="24"/>
                <w:color w:val="000000"/>
              </w:rPr>
              <w:t>500mAh</w:t>
            </w:r>
            <w:r>
              <w:rPr>
                <w:rFonts w:ascii="仿宋_GB2312" w:hAnsi="仿宋_GB2312" w:cs="仿宋_GB2312" w:eastAsia="仿宋_GB2312"/>
                <w:sz w:val="24"/>
                <w:color w:val="000000"/>
              </w:rPr>
              <w:t>；</w:t>
            </w:r>
          </w:p>
          <w:p>
            <w:pPr>
              <w:pStyle w:val="null3"/>
              <w:spacing w:before="120" w:after="120"/>
              <w:ind w:firstLine="480"/>
              <w:jc w:val="both"/>
            </w:pPr>
            <w:r>
              <w:rPr>
                <w:rFonts w:ascii="仿宋_GB2312" w:hAnsi="仿宋_GB2312" w:cs="仿宋_GB2312" w:eastAsia="仿宋_GB2312"/>
                <w:sz w:val="24"/>
                <w:color w:val="000000"/>
              </w:rPr>
              <w:t>通讯方式：支持</w:t>
            </w:r>
            <w:r>
              <w:rPr>
                <w:rFonts w:ascii="仿宋_GB2312" w:hAnsi="仿宋_GB2312" w:cs="仿宋_GB2312" w:eastAsia="仿宋_GB2312"/>
                <w:sz w:val="24"/>
                <w:color w:val="000000"/>
              </w:rPr>
              <w:t>近地无线</w:t>
            </w:r>
            <w:r>
              <w:rPr>
                <w:rFonts w:ascii="仿宋_GB2312" w:hAnsi="仿宋_GB2312" w:cs="仿宋_GB2312" w:eastAsia="仿宋_GB2312"/>
                <w:sz w:val="24"/>
                <w:color w:val="000000"/>
              </w:rPr>
              <w:t>MESH自组网</w:t>
            </w:r>
            <w:r>
              <w:rPr>
                <w:rFonts w:ascii="仿宋_GB2312" w:hAnsi="仿宋_GB2312" w:cs="仿宋_GB2312" w:eastAsia="仿宋_GB2312"/>
                <w:sz w:val="24"/>
                <w:color w:val="000000"/>
              </w:rPr>
              <w:t>和</w:t>
            </w:r>
            <w:r>
              <w:rPr>
                <w:rFonts w:ascii="仿宋_GB2312" w:hAnsi="仿宋_GB2312" w:cs="仿宋_GB2312" w:eastAsia="仿宋_GB2312"/>
                <w:sz w:val="24"/>
                <w:color w:val="000000"/>
              </w:rPr>
              <w:t>4G通信；</w:t>
            </w:r>
          </w:p>
          <w:p>
            <w:pPr>
              <w:pStyle w:val="null3"/>
              <w:spacing w:before="120" w:after="120"/>
              <w:ind w:firstLine="480"/>
              <w:jc w:val="both"/>
            </w:pPr>
            <w:r>
              <w:rPr>
                <w:rFonts w:ascii="仿宋_GB2312" w:hAnsi="仿宋_GB2312" w:cs="仿宋_GB2312" w:eastAsia="仿宋_GB2312"/>
                <w:sz w:val="24"/>
                <w:color w:val="000000"/>
              </w:rPr>
              <w:t>组网机制：内置</w:t>
            </w:r>
            <w:r>
              <w:rPr>
                <w:rFonts w:ascii="仿宋_GB2312" w:hAnsi="仿宋_GB2312" w:cs="仿宋_GB2312" w:eastAsia="仿宋_GB2312"/>
                <w:sz w:val="24"/>
                <w:color w:val="000000"/>
              </w:rPr>
              <w:t>AODV协议栈，最大</w:t>
            </w:r>
            <w:r>
              <w:rPr>
                <w:rFonts w:ascii="仿宋_GB2312" w:hAnsi="仿宋_GB2312" w:cs="仿宋_GB2312" w:eastAsia="仿宋_GB2312"/>
                <w:sz w:val="24"/>
                <w:color w:val="000000"/>
              </w:rPr>
              <w:t>10</w:t>
            </w:r>
            <w:r>
              <w:rPr>
                <w:rFonts w:ascii="仿宋_GB2312" w:hAnsi="仿宋_GB2312" w:cs="仿宋_GB2312" w:eastAsia="仿宋_GB2312"/>
                <w:sz w:val="24"/>
                <w:color w:val="000000"/>
              </w:rPr>
              <w:t>跳接力传输；</w:t>
            </w:r>
          </w:p>
          <w:p>
            <w:pPr>
              <w:pStyle w:val="null3"/>
              <w:spacing w:before="120" w:after="120"/>
              <w:ind w:firstLine="480"/>
              <w:jc w:val="both"/>
            </w:pPr>
            <w:r>
              <w:rPr>
                <w:rFonts w:ascii="仿宋_GB2312" w:hAnsi="仿宋_GB2312" w:cs="仿宋_GB2312" w:eastAsia="仿宋_GB2312"/>
                <w:sz w:val="24"/>
                <w:color w:val="000000"/>
              </w:rPr>
              <w:t>天线类型：内置一体化多模多频天线；</w:t>
            </w:r>
          </w:p>
          <w:p>
            <w:pPr>
              <w:pStyle w:val="null3"/>
              <w:spacing w:before="120" w:after="120"/>
              <w:ind w:firstLine="480"/>
              <w:jc w:val="both"/>
            </w:pPr>
            <w:r>
              <w:rPr>
                <w:rFonts w:ascii="仿宋_GB2312" w:hAnsi="仿宋_GB2312" w:cs="仿宋_GB2312" w:eastAsia="仿宋_GB2312"/>
                <w:sz w:val="24"/>
                <w:color w:val="000000"/>
              </w:rPr>
              <w:t>警灯规格：七彩环形警灯，直径＞</w:t>
            </w:r>
            <w:r>
              <w:rPr>
                <w:rFonts w:ascii="仿宋_GB2312" w:hAnsi="仿宋_GB2312" w:cs="仿宋_GB2312" w:eastAsia="仿宋_GB2312"/>
                <w:sz w:val="24"/>
                <w:color w:val="000000"/>
              </w:rPr>
              <w:t>100mm；</w:t>
            </w:r>
          </w:p>
          <w:p>
            <w:pPr>
              <w:pStyle w:val="null3"/>
              <w:spacing w:before="120" w:after="120"/>
              <w:ind w:firstLine="480"/>
              <w:jc w:val="both"/>
            </w:pPr>
            <w:r>
              <w:rPr>
                <w:rFonts w:ascii="仿宋_GB2312" w:hAnsi="仿宋_GB2312" w:cs="仿宋_GB2312" w:eastAsia="仿宋_GB2312"/>
                <w:sz w:val="24"/>
                <w:color w:val="000000"/>
              </w:rPr>
              <w:t>主机尺寸：</w:t>
            </w:r>
            <w:r>
              <w:rPr>
                <w:rFonts w:ascii="仿宋_GB2312" w:hAnsi="仿宋_GB2312" w:cs="仿宋_GB2312" w:eastAsia="仿宋_GB2312"/>
                <w:sz w:val="24"/>
                <w:color w:val="000000"/>
              </w:rPr>
              <w:t>≥120mm×120mm；</w:t>
            </w:r>
          </w:p>
          <w:p>
            <w:pPr>
              <w:pStyle w:val="null3"/>
              <w:spacing w:before="120" w:after="120"/>
              <w:ind w:firstLine="480"/>
              <w:jc w:val="both"/>
            </w:pPr>
            <w:r>
              <w:rPr>
                <w:rFonts w:ascii="仿宋_GB2312" w:hAnsi="仿宋_GB2312" w:cs="仿宋_GB2312" w:eastAsia="仿宋_GB2312"/>
                <w:sz w:val="24"/>
                <w:color w:val="000000"/>
              </w:rPr>
              <w:t>扬声器功率：</w:t>
            </w:r>
            <w:r>
              <w:rPr>
                <w:rFonts w:ascii="仿宋_GB2312" w:hAnsi="仿宋_GB2312" w:cs="仿宋_GB2312" w:eastAsia="仿宋_GB2312"/>
                <w:sz w:val="24"/>
                <w:color w:val="000000"/>
              </w:rPr>
              <w:t>≥2W；</w:t>
            </w:r>
          </w:p>
          <w:p>
            <w:pPr>
              <w:pStyle w:val="null3"/>
              <w:spacing w:before="120" w:after="120"/>
              <w:ind w:firstLine="480"/>
              <w:jc w:val="both"/>
            </w:pP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0~45℃；</w:t>
            </w:r>
          </w:p>
          <w:p>
            <w:pPr>
              <w:pStyle w:val="null3"/>
              <w:spacing w:before="120" w:after="120"/>
              <w:ind w:firstLine="480"/>
              <w:jc w:val="both"/>
            </w:pPr>
            <w:r>
              <w:rPr>
                <w:rFonts w:ascii="仿宋_GB2312" w:hAnsi="仿宋_GB2312" w:cs="仿宋_GB2312" w:eastAsia="仿宋_GB2312"/>
                <w:sz w:val="24"/>
                <w:color w:val="000000"/>
              </w:rPr>
              <w:t>存储温度：</w:t>
            </w:r>
            <w:r>
              <w:rPr>
                <w:rFonts w:ascii="仿宋_GB2312" w:hAnsi="仿宋_GB2312" w:cs="仿宋_GB2312" w:eastAsia="仿宋_GB2312"/>
                <w:sz w:val="24"/>
                <w:color w:val="000000"/>
              </w:rPr>
              <w:t>-20~60℃。</w:t>
            </w:r>
          </w:p>
          <w:p>
            <w:pPr>
              <w:pStyle w:val="null3"/>
              <w:spacing w:before="120" w:after="120"/>
              <w:ind w:firstLine="482"/>
              <w:jc w:val="both"/>
            </w:pPr>
            <w:r>
              <w:rPr>
                <w:rFonts w:ascii="仿宋_GB2312" w:hAnsi="仿宋_GB2312" w:cs="仿宋_GB2312" w:eastAsia="仿宋_GB2312"/>
                <w:sz w:val="24"/>
                <w:b/>
                <w:color w:val="000000"/>
              </w:rPr>
              <w:t>无线预警广播：</w:t>
            </w:r>
          </w:p>
          <w:p>
            <w:pPr>
              <w:pStyle w:val="null3"/>
              <w:spacing w:before="120" w:after="120"/>
              <w:ind w:firstLine="482"/>
              <w:jc w:val="both"/>
            </w:pPr>
            <w:r>
              <w:drawing>
                <wp:inline distT="0" distR="0" distB="0" distL="0">
                  <wp:extent cx="1621155" cy="1352112"/>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8"/>
                          <a:stretch>
                            <a:fillRect/>
                          </a:stretch>
                        </pic:blipFill>
                        <pic:spPr>
                          <a:xfrm>
                            <a:off x="0" y="0"/>
                            <a:ext cx="1621155" cy="1352112"/>
                          </a:xfrm>
                          <a:prstGeom prst="rect">
                            <a:avLst/>
                          </a:prstGeom>
                        </pic:spPr>
                      </pic:pic>
                    </a:graphicData>
                  </a:graphic>
                </wp:inline>
              </w:drawing>
            </w:r>
          </w:p>
          <w:p>
            <w:pPr>
              <w:pStyle w:val="null3"/>
              <w:spacing w:before="120" w:after="120"/>
              <w:ind w:firstLine="480"/>
              <w:jc w:val="both"/>
            </w:pPr>
            <w:r>
              <w:rPr>
                <w:rFonts w:ascii="仿宋_GB2312" w:hAnsi="仿宋_GB2312" w:cs="仿宋_GB2312" w:eastAsia="仿宋_GB2312"/>
                <w:sz w:val="24"/>
                <w:color w:val="000000"/>
              </w:rPr>
              <w:t>供电</w:t>
            </w:r>
            <w:r>
              <w:rPr>
                <w:rFonts w:ascii="仿宋_GB2312" w:hAnsi="仿宋_GB2312" w:cs="仿宋_GB2312" w:eastAsia="仿宋_GB2312"/>
                <w:sz w:val="24"/>
                <w:color w:val="000000"/>
              </w:rPr>
              <w:t>160~280V</w:t>
            </w:r>
          </w:p>
          <w:p>
            <w:pPr>
              <w:pStyle w:val="null3"/>
              <w:spacing w:before="120" w:after="120"/>
              <w:ind w:firstLine="480"/>
              <w:jc w:val="both"/>
            </w:pPr>
            <w:r>
              <w:rPr>
                <w:rFonts w:ascii="仿宋_GB2312" w:hAnsi="仿宋_GB2312" w:cs="仿宋_GB2312" w:eastAsia="仿宋_GB2312"/>
                <w:sz w:val="24"/>
                <w:color w:val="000000"/>
              </w:rPr>
              <w:t>待机功耗</w:t>
            </w:r>
            <w:r>
              <w:rPr>
                <w:rFonts w:ascii="仿宋_GB2312" w:hAnsi="仿宋_GB2312" w:cs="仿宋_GB2312" w:eastAsia="仿宋_GB2312"/>
                <w:sz w:val="24"/>
                <w:color w:val="000000"/>
              </w:rPr>
              <w:t>≤ 1W</w:t>
            </w:r>
          </w:p>
          <w:p>
            <w:pPr>
              <w:pStyle w:val="null3"/>
              <w:spacing w:before="120" w:after="120"/>
              <w:ind w:firstLine="480"/>
              <w:jc w:val="both"/>
            </w:pPr>
            <w:r>
              <w:rPr>
                <w:rFonts w:ascii="仿宋_GB2312" w:hAnsi="仿宋_GB2312" w:cs="仿宋_GB2312" w:eastAsia="仿宋_GB2312"/>
                <w:sz w:val="24"/>
                <w:color w:val="000000"/>
              </w:rPr>
              <w:t>内置电池</w:t>
            </w:r>
            <w:r>
              <w:rPr>
                <w:rFonts w:ascii="仿宋_GB2312" w:hAnsi="仿宋_GB2312" w:cs="仿宋_GB2312" w:eastAsia="仿宋_GB2312"/>
                <w:sz w:val="24"/>
                <w:color w:val="000000"/>
              </w:rPr>
              <w:t>12V/3800mAh 充放电次数350次以上 电池至少可待机3天 最大功率下连续播放30分钟以上</w:t>
            </w:r>
          </w:p>
          <w:p>
            <w:pPr>
              <w:pStyle w:val="null3"/>
              <w:spacing w:before="120" w:after="120"/>
              <w:ind w:firstLine="480"/>
              <w:jc w:val="both"/>
            </w:pPr>
            <w:r>
              <w:rPr>
                <w:rFonts w:ascii="仿宋_GB2312" w:hAnsi="仿宋_GB2312" w:cs="仿宋_GB2312" w:eastAsia="仿宋_GB2312"/>
                <w:sz w:val="24"/>
                <w:color w:val="000000"/>
              </w:rPr>
              <w:t>预存录音</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U盘/SD卡播放MP3格式文件</w:t>
            </w:r>
          </w:p>
          <w:p>
            <w:pPr>
              <w:pStyle w:val="null3"/>
              <w:spacing w:before="120" w:after="120"/>
              <w:ind w:firstLine="480"/>
              <w:jc w:val="both"/>
            </w:pPr>
            <w:r>
              <w:rPr>
                <w:rFonts w:ascii="仿宋_GB2312" w:hAnsi="仿宋_GB2312" w:cs="仿宋_GB2312" w:eastAsia="仿宋_GB2312"/>
                <w:sz w:val="24"/>
                <w:color w:val="000000"/>
              </w:rPr>
              <w:t>麦克风</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6.5mm麦克风接入</w:t>
            </w:r>
          </w:p>
          <w:p>
            <w:pPr>
              <w:pStyle w:val="null3"/>
              <w:spacing w:before="120" w:after="120"/>
              <w:ind w:firstLine="480"/>
              <w:jc w:val="both"/>
            </w:pPr>
            <w:r>
              <w:rPr>
                <w:rFonts w:ascii="仿宋_GB2312" w:hAnsi="仿宋_GB2312" w:cs="仿宋_GB2312" w:eastAsia="仿宋_GB2312"/>
                <w:sz w:val="24"/>
                <w:color w:val="000000"/>
              </w:rPr>
              <w:t>报警输出</w:t>
            </w:r>
            <w:r>
              <w:rPr>
                <w:rFonts w:ascii="仿宋_GB2312" w:hAnsi="仿宋_GB2312" w:cs="仿宋_GB2312" w:eastAsia="仿宋_GB2312"/>
                <w:sz w:val="24"/>
                <w:color w:val="000000"/>
              </w:rPr>
              <w:t>最大支持</w:t>
            </w:r>
            <w:r>
              <w:rPr>
                <w:rFonts w:ascii="仿宋_GB2312" w:hAnsi="仿宋_GB2312" w:cs="仿宋_GB2312" w:eastAsia="仿宋_GB2312"/>
                <w:sz w:val="24"/>
                <w:color w:val="000000"/>
              </w:rPr>
              <w:t>4路扬声器输出</w:t>
            </w:r>
          </w:p>
          <w:p>
            <w:pPr>
              <w:pStyle w:val="null3"/>
              <w:spacing w:before="120" w:after="120"/>
              <w:ind w:firstLine="480"/>
              <w:jc w:val="both"/>
            </w:pPr>
            <w:r>
              <w:rPr>
                <w:rFonts w:ascii="仿宋_GB2312" w:hAnsi="仿宋_GB2312" w:cs="仿宋_GB2312" w:eastAsia="仿宋_GB2312"/>
                <w:sz w:val="24"/>
                <w:color w:val="000000"/>
              </w:rPr>
              <w:t>输出功率</w:t>
            </w:r>
            <w:r>
              <w:rPr>
                <w:rFonts w:ascii="仿宋_GB2312" w:hAnsi="仿宋_GB2312" w:cs="仿宋_GB2312" w:eastAsia="仿宋_GB2312"/>
                <w:sz w:val="24"/>
                <w:color w:val="000000"/>
              </w:rPr>
              <w:t>100W输出，支持2X4Ω/50W或4X8Ω/25W扬声器</w:t>
            </w:r>
          </w:p>
          <w:p>
            <w:pPr>
              <w:pStyle w:val="null3"/>
              <w:spacing w:before="120" w:after="120"/>
              <w:ind w:firstLine="480"/>
              <w:jc w:val="both"/>
            </w:pPr>
            <w:r>
              <w:rPr>
                <w:rFonts w:ascii="仿宋_GB2312" w:hAnsi="仿宋_GB2312" w:cs="仿宋_GB2312" w:eastAsia="仿宋_GB2312"/>
                <w:sz w:val="24"/>
                <w:color w:val="000000"/>
              </w:rPr>
              <w:t>通信方式</w:t>
            </w:r>
            <w:r>
              <w:rPr>
                <w:rFonts w:ascii="仿宋_GB2312" w:hAnsi="仿宋_GB2312" w:cs="仿宋_GB2312" w:eastAsia="仿宋_GB2312"/>
                <w:sz w:val="24"/>
                <w:color w:val="000000"/>
              </w:rPr>
              <w:t>同时支持</w:t>
            </w:r>
            <w:r>
              <w:rPr>
                <w:rFonts w:ascii="仿宋_GB2312" w:hAnsi="仿宋_GB2312" w:cs="仿宋_GB2312" w:eastAsia="仿宋_GB2312"/>
                <w:sz w:val="24"/>
                <w:color w:val="000000"/>
              </w:rPr>
              <w:t>4G传输和LoRaMesh</w:t>
            </w:r>
          </w:p>
          <w:p>
            <w:pPr>
              <w:pStyle w:val="null3"/>
              <w:spacing w:before="120" w:after="120"/>
              <w:ind w:firstLine="480"/>
              <w:jc w:val="both"/>
            </w:pP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-20℃ ~ 85℃</w:t>
            </w:r>
          </w:p>
          <w:p>
            <w:pPr>
              <w:pStyle w:val="null3"/>
              <w:spacing w:before="120" w:after="120"/>
              <w:ind w:firstLine="480"/>
              <w:jc w:val="both"/>
            </w:pPr>
            <w:r>
              <w:rPr>
                <w:rFonts w:ascii="仿宋_GB2312" w:hAnsi="仿宋_GB2312" w:cs="仿宋_GB2312" w:eastAsia="仿宋_GB2312"/>
                <w:sz w:val="24"/>
                <w:color w:val="000000"/>
              </w:rPr>
              <w:t>工作湿度</w:t>
            </w:r>
            <w:r>
              <w:rPr>
                <w:rFonts w:ascii="仿宋_GB2312" w:hAnsi="仿宋_GB2312" w:cs="仿宋_GB2312" w:eastAsia="仿宋_GB2312"/>
                <w:sz w:val="24"/>
                <w:color w:val="000000"/>
              </w:rPr>
              <w:t>≤95%RH</w:t>
            </w:r>
          </w:p>
          <w:p>
            <w:pPr>
              <w:pStyle w:val="null3"/>
              <w:spacing w:before="120" w:after="120"/>
              <w:ind w:firstLine="480"/>
              <w:jc w:val="both"/>
            </w:pPr>
            <w:r>
              <w:rPr>
                <w:rFonts w:ascii="仿宋_GB2312" w:hAnsi="仿宋_GB2312" w:cs="仿宋_GB2312" w:eastAsia="仿宋_GB2312"/>
                <w:sz w:val="24"/>
                <w:color w:val="000000"/>
              </w:rPr>
              <w:t>储存温度</w:t>
            </w:r>
            <w:r>
              <w:rPr>
                <w:rFonts w:ascii="仿宋_GB2312" w:hAnsi="仿宋_GB2312" w:cs="仿宋_GB2312" w:eastAsia="仿宋_GB2312"/>
                <w:sz w:val="24"/>
                <w:color w:val="000000"/>
              </w:rPr>
              <w:t>-40℃ ~ 85℃</w:t>
            </w:r>
          </w:p>
          <w:p>
            <w:pPr>
              <w:pStyle w:val="null3"/>
              <w:spacing w:before="120" w:after="120"/>
              <w:ind w:firstLine="482"/>
              <w:jc w:val="both"/>
            </w:pPr>
            <w:r>
              <w:rPr>
                <w:rFonts w:ascii="仿宋_GB2312" w:hAnsi="仿宋_GB2312" w:cs="仿宋_GB2312" w:eastAsia="仿宋_GB2312"/>
                <w:sz w:val="24"/>
                <w:b/>
                <w:color w:val="000000"/>
              </w:rPr>
              <w:t>机房</w:t>
            </w:r>
            <w:r>
              <w:rPr>
                <w:rFonts w:ascii="仿宋_GB2312" w:hAnsi="仿宋_GB2312" w:cs="仿宋_GB2312" w:eastAsia="仿宋_GB2312"/>
                <w:sz w:val="24"/>
                <w:b/>
                <w:color w:val="000000"/>
              </w:rPr>
              <w:t>UPS：</w:t>
            </w:r>
          </w:p>
          <w:p>
            <w:pPr>
              <w:pStyle w:val="null3"/>
              <w:spacing w:before="120" w:after="120"/>
              <w:ind w:firstLine="482"/>
              <w:jc w:val="both"/>
            </w:pPr>
            <w:r>
              <w:drawing>
                <wp:inline distT="0" distR="0" distB="0" distL="0">
                  <wp:extent cx="1621155" cy="1367239"/>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9"/>
                          <a:stretch>
                            <a:fillRect/>
                          </a:stretch>
                        </pic:blipFill>
                        <pic:spPr>
                          <a:xfrm>
                            <a:off x="0" y="0"/>
                            <a:ext cx="1621155" cy="1367239"/>
                          </a:xfrm>
                          <a:prstGeom prst="rect">
                            <a:avLst/>
                          </a:prstGeom>
                        </pic:spPr>
                      </pic:pic>
                    </a:graphicData>
                  </a:graphic>
                </wp:inline>
              </w:drawing>
            </w:r>
            <w:r>
              <w:drawing>
                <wp:inline distT="0" distR="0" distB="0" distL="0">
                  <wp:extent cx="1621155" cy="162115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10"/>
                          <a:stretch>
                            <a:fillRect/>
                          </a:stretch>
                        </pic:blipFill>
                        <pic:spPr>
                          <a:xfrm>
                            <a:off x="0" y="0"/>
                            <a:ext cx="1621155" cy="1621155"/>
                          </a:xfrm>
                          <a:prstGeom prst="rect">
                            <a:avLst/>
                          </a:prstGeom>
                        </pic:spPr>
                      </pic:pic>
                    </a:graphicData>
                  </a:graphic>
                </wp:inline>
              </w:drawing>
            </w:r>
          </w:p>
          <w:p>
            <w:pPr>
              <w:pStyle w:val="null3"/>
              <w:spacing w:before="120" w:after="120"/>
              <w:ind w:firstLine="482"/>
              <w:jc w:val="both"/>
            </w:pPr>
            <w:r>
              <w:rPr>
                <w:rFonts w:ascii="仿宋_GB2312" w:hAnsi="仿宋_GB2312" w:cs="仿宋_GB2312" w:eastAsia="仿宋_GB2312"/>
              </w:rPr>
              <w:t xml:space="preserve"> </w:t>
            </w:r>
          </w:p>
          <w:p>
            <w:pPr>
              <w:pStyle w:val="null3"/>
              <w:spacing w:before="120" w:after="120"/>
              <w:ind w:firstLine="480"/>
              <w:jc w:val="both"/>
            </w:pPr>
            <w:r>
              <w:rPr>
                <w:rFonts w:ascii="仿宋_GB2312" w:hAnsi="仿宋_GB2312" w:cs="仿宋_GB2312" w:eastAsia="仿宋_GB2312"/>
                <w:sz w:val="24"/>
                <w:color w:val="000000"/>
              </w:rPr>
              <w:t>额定容量：</w:t>
            </w:r>
            <w:r>
              <w:rPr>
                <w:rFonts w:ascii="仿宋_GB2312" w:hAnsi="仿宋_GB2312" w:cs="仿宋_GB2312" w:eastAsia="仿宋_GB2312"/>
                <w:sz w:val="24"/>
                <w:color w:val="000000"/>
              </w:rPr>
              <w:t>3KVA / 6000W</w:t>
            </w:r>
          </w:p>
          <w:p>
            <w:pPr>
              <w:pStyle w:val="null3"/>
              <w:spacing w:before="120" w:after="120"/>
              <w:ind w:firstLine="480"/>
              <w:jc w:val="both"/>
            </w:pPr>
            <w:r>
              <w:rPr>
                <w:rFonts w:ascii="仿宋_GB2312" w:hAnsi="仿宋_GB2312" w:cs="仿宋_GB2312" w:eastAsia="仿宋_GB2312"/>
                <w:sz w:val="24"/>
                <w:color w:val="000000"/>
              </w:rPr>
              <w:t>UPS 类型：在线式双变换</w:t>
            </w:r>
          </w:p>
          <w:p>
            <w:pPr>
              <w:pStyle w:val="null3"/>
              <w:spacing w:before="120" w:after="120"/>
              <w:ind w:firstLine="480"/>
              <w:jc w:val="both"/>
            </w:pPr>
            <w:r>
              <w:rPr>
                <w:rFonts w:ascii="仿宋_GB2312" w:hAnsi="仿宋_GB2312" w:cs="仿宋_GB2312" w:eastAsia="仿宋_GB2312"/>
                <w:sz w:val="24"/>
                <w:color w:val="000000"/>
              </w:rPr>
              <w:t>转换时间：</w:t>
            </w:r>
            <w:r>
              <w:rPr>
                <w:rFonts w:ascii="仿宋_GB2312" w:hAnsi="仿宋_GB2312" w:cs="仿宋_GB2312" w:eastAsia="仿宋_GB2312"/>
                <w:sz w:val="24"/>
                <w:color w:val="000000"/>
              </w:rPr>
              <w:t>0 ms（市电 ↔ 电池无间断）</w:t>
            </w:r>
          </w:p>
          <w:p>
            <w:pPr>
              <w:pStyle w:val="null3"/>
              <w:spacing w:before="120" w:after="120"/>
              <w:ind w:firstLine="480"/>
              <w:jc w:val="both"/>
            </w:pPr>
            <w:r>
              <w:rPr>
                <w:rFonts w:ascii="仿宋_GB2312" w:hAnsi="仿宋_GB2312" w:cs="仿宋_GB2312" w:eastAsia="仿宋_GB2312"/>
                <w:sz w:val="24"/>
                <w:color w:val="000000"/>
              </w:rPr>
              <w:t>输入电压：</w:t>
            </w:r>
            <w:r>
              <w:rPr>
                <w:rFonts w:ascii="仿宋_GB2312" w:hAnsi="仿宋_GB2312" w:cs="仿宋_GB2312" w:eastAsia="仿宋_GB2312"/>
                <w:sz w:val="24"/>
                <w:color w:val="000000"/>
              </w:rPr>
              <w:t>176–276 Vac</w:t>
            </w:r>
          </w:p>
          <w:p>
            <w:pPr>
              <w:pStyle w:val="null3"/>
              <w:spacing w:before="120" w:after="120"/>
              <w:ind w:firstLine="480"/>
              <w:jc w:val="both"/>
            </w:pPr>
            <w:r>
              <w:rPr>
                <w:rFonts w:ascii="仿宋_GB2312" w:hAnsi="仿宋_GB2312" w:cs="仿宋_GB2312" w:eastAsia="仿宋_GB2312"/>
                <w:sz w:val="24"/>
                <w:color w:val="000000"/>
              </w:rPr>
              <w:t>输出电压：</w:t>
            </w:r>
            <w:r>
              <w:rPr>
                <w:rFonts w:ascii="仿宋_GB2312" w:hAnsi="仿宋_GB2312" w:cs="仿宋_GB2312" w:eastAsia="仿宋_GB2312"/>
                <w:sz w:val="24"/>
                <w:color w:val="000000"/>
              </w:rPr>
              <w:t>220 Vac ±3%</w:t>
            </w:r>
          </w:p>
          <w:p>
            <w:pPr>
              <w:pStyle w:val="null3"/>
              <w:spacing w:before="120" w:after="120"/>
              <w:ind w:firstLine="480"/>
              <w:jc w:val="both"/>
            </w:pPr>
            <w:r>
              <w:rPr>
                <w:rFonts w:ascii="仿宋_GB2312" w:hAnsi="仿宋_GB2312" w:cs="仿宋_GB2312" w:eastAsia="仿宋_GB2312"/>
                <w:sz w:val="24"/>
                <w:color w:val="000000"/>
              </w:rPr>
              <w:t>标准配置：外接电池机型</w:t>
            </w:r>
          </w:p>
          <w:p>
            <w:pPr>
              <w:pStyle w:val="null3"/>
              <w:spacing w:before="120" w:after="120"/>
              <w:ind w:firstLine="480"/>
              <w:jc w:val="both"/>
            </w:pPr>
            <w:r>
              <w:rPr>
                <w:rFonts w:ascii="仿宋_GB2312" w:hAnsi="仿宋_GB2312" w:cs="仿宋_GB2312" w:eastAsia="仿宋_GB2312"/>
                <w:sz w:val="24"/>
                <w:color w:val="000000"/>
              </w:rPr>
              <w:t>蓄电池组：</w:t>
            </w:r>
            <w:r>
              <w:rPr>
                <w:rFonts w:ascii="仿宋_GB2312" w:hAnsi="仿宋_GB2312" w:cs="仿宋_GB2312" w:eastAsia="仿宋_GB2312"/>
                <w:sz w:val="24"/>
                <w:color w:val="000000"/>
              </w:rPr>
              <w:t>16 节（12V，100AH，铅酸电池）</w:t>
            </w:r>
          </w:p>
          <w:p>
            <w:pPr>
              <w:pStyle w:val="null3"/>
              <w:spacing w:before="120" w:after="120"/>
              <w:ind w:firstLine="480"/>
              <w:jc w:val="both"/>
            </w:pPr>
            <w:r>
              <w:rPr>
                <w:rFonts w:ascii="仿宋_GB2312" w:hAnsi="仿宋_GB2312" w:cs="仿宋_GB2312" w:eastAsia="仿宋_GB2312"/>
                <w:sz w:val="24"/>
                <w:color w:val="000000"/>
              </w:rPr>
              <w:t>后备时间：满载约</w:t>
            </w:r>
            <w:r>
              <w:rPr>
                <w:rFonts w:ascii="仿宋_GB2312" w:hAnsi="仿宋_GB2312" w:cs="仿宋_GB2312" w:eastAsia="仿宋_GB2312"/>
                <w:sz w:val="24"/>
                <w:color w:val="000000"/>
              </w:rPr>
              <w:t>30 分钟</w:t>
            </w:r>
          </w:p>
          <w:p>
            <w:pPr>
              <w:pStyle w:val="null3"/>
              <w:spacing w:before="300" w:after="120"/>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驻场人员</w:t>
            </w:r>
            <w:r>
              <w:rPr>
                <w:rFonts w:ascii="仿宋_GB2312" w:hAnsi="仿宋_GB2312" w:cs="仿宋_GB2312" w:eastAsia="仿宋_GB2312"/>
                <w:sz w:val="24"/>
                <w:b/>
                <w:color w:val="000000"/>
              </w:rPr>
              <w:t>标准</w:t>
            </w:r>
          </w:p>
          <w:p>
            <w:pPr>
              <w:pStyle w:val="null3"/>
              <w:spacing w:before="120" w:after="12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负责在指定场所进行日常驻守，确保工作区域的秩序与安全，及时处理突发状况，如设备故障等。</w:t>
            </w:r>
          </w:p>
          <w:p>
            <w:pPr>
              <w:pStyle w:val="null3"/>
              <w:spacing w:before="120" w:after="12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驻场人员</w:t>
            </w:r>
            <w:r>
              <w:rPr>
                <w:rFonts w:ascii="仿宋_GB2312" w:hAnsi="仿宋_GB2312" w:cs="仿宋_GB2312" w:eastAsia="仿宋_GB2312"/>
                <w:sz w:val="24"/>
                <w:color w:val="000000"/>
              </w:rPr>
              <w:t>7*24小时服务，</w:t>
            </w:r>
            <w:r>
              <w:rPr>
                <w:rFonts w:ascii="仿宋_GB2312" w:hAnsi="仿宋_GB2312" w:cs="仿宋_GB2312" w:eastAsia="仿宋_GB2312"/>
                <w:sz w:val="24"/>
                <w:color w:val="000000"/>
              </w:rPr>
              <w:t>与客户方保持密切沟通，定期汇报工作进展，协助解决合作过程中出现的问题，提升客户满意度。</w:t>
            </w:r>
          </w:p>
          <w:p>
            <w:pPr>
              <w:pStyle w:val="null3"/>
              <w:spacing w:before="120" w:after="12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负责相关设备、物料的日常检查、维护与管理，确保其处于良好运行状态，并做好登记和交接记录。</w:t>
            </w:r>
          </w:p>
          <w:p>
            <w:pPr>
              <w:pStyle w:val="null3"/>
              <w:spacing w:before="120" w:after="12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协助组织和执行现场活动或项目任务，如会议安排、流程引导、资料分发、环境布置等，确保活动顺利进行。</w:t>
            </w:r>
          </w:p>
          <w:p>
            <w:pPr>
              <w:pStyle w:val="null3"/>
              <w:spacing w:before="120" w:after="120"/>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汛期按照灞桥区水务局严格安排汛期值班，按照上级部门要求参加每日点名，遇有重大活动时，按照要求参与</w:t>
            </w:r>
            <w:r>
              <w:rPr>
                <w:rFonts w:ascii="仿宋_GB2312" w:hAnsi="仿宋_GB2312" w:cs="仿宋_GB2312" w:eastAsia="仿宋_GB2312"/>
                <w:sz w:val="24"/>
                <w:color w:val="000000"/>
              </w:rPr>
              <w:t>。</w:t>
            </w:r>
          </w:p>
          <w:p>
            <w:pPr>
              <w:pStyle w:val="null3"/>
              <w:spacing w:before="150" w:after="630"/>
              <w:ind w:left="420"/>
              <w:jc w:val="both"/>
              <w:outlineLvl w:val="0"/>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维护流程</w:t>
            </w:r>
          </w:p>
          <w:p>
            <w:pPr>
              <w:pStyle w:val="null3"/>
              <w:spacing w:before="315" w:after="120"/>
              <w:jc w:val="both"/>
            </w:pPr>
            <w:r>
              <w:rPr>
                <w:rFonts w:ascii="仿宋_GB2312" w:hAnsi="仿宋_GB2312" w:cs="仿宋_GB2312" w:eastAsia="仿宋_GB2312"/>
                <w:sz w:val="24"/>
                <w:b/>
                <w:color w:val="000000"/>
              </w:rPr>
              <w:t>（一）故障发现与上报</w:t>
            </w:r>
          </w:p>
          <w:p>
            <w:pPr>
              <w:pStyle w:val="null3"/>
              <w:spacing w:before="120" w:after="120"/>
              <w:ind w:firstLine="480"/>
              <w:jc w:val="both"/>
            </w:pPr>
            <w:r>
              <w:rPr>
                <w:rFonts w:ascii="仿宋_GB2312" w:hAnsi="仿宋_GB2312" w:cs="仿宋_GB2312" w:eastAsia="仿宋_GB2312"/>
                <w:sz w:val="24"/>
                <w:color w:val="000000"/>
              </w:rPr>
              <w:t>1.日常维护过程中，运维人员通过远程监测、现场巡查发现设备故障或系统异常，立即记录故障信息（包括故障时间、地点、设备名称、故障现象等）；</w:t>
            </w:r>
          </w:p>
          <w:p>
            <w:pPr>
              <w:pStyle w:val="null3"/>
              <w:spacing w:before="120" w:after="120"/>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业务科室</w:t>
            </w:r>
            <w:r>
              <w:rPr>
                <w:rFonts w:ascii="仿宋_GB2312" w:hAnsi="仿宋_GB2312" w:cs="仿宋_GB2312" w:eastAsia="仿宋_GB2312"/>
                <w:sz w:val="24"/>
                <w:color w:val="000000"/>
              </w:rPr>
              <w:t>工作人员发现</w:t>
            </w:r>
            <w:r>
              <w:rPr>
                <w:rFonts w:ascii="仿宋_GB2312" w:hAnsi="仿宋_GB2312" w:cs="仿宋_GB2312" w:eastAsia="仿宋_GB2312"/>
                <w:sz w:val="24"/>
                <w:color w:val="000000"/>
              </w:rPr>
              <w:t>各</w:t>
            </w:r>
            <w:r>
              <w:rPr>
                <w:rFonts w:ascii="仿宋_GB2312" w:hAnsi="仿宋_GB2312" w:cs="仿宋_GB2312" w:eastAsia="仿宋_GB2312"/>
                <w:sz w:val="24"/>
                <w:color w:val="000000"/>
              </w:rPr>
              <w:t>系统相关故障，及时向运维执行小组</w:t>
            </w:r>
            <w:r>
              <w:rPr>
                <w:rFonts w:ascii="仿宋_GB2312" w:hAnsi="仿宋_GB2312" w:cs="仿宋_GB2312" w:eastAsia="仿宋_GB2312"/>
                <w:sz w:val="24"/>
                <w:color w:val="000000"/>
              </w:rPr>
              <w:t>反馈</w:t>
            </w:r>
            <w:r>
              <w:rPr>
                <w:rFonts w:ascii="仿宋_GB2312" w:hAnsi="仿宋_GB2312" w:cs="仿宋_GB2312" w:eastAsia="仿宋_GB2312"/>
                <w:sz w:val="24"/>
                <w:color w:val="000000"/>
              </w:rPr>
              <w:t>；</w:t>
            </w:r>
          </w:p>
          <w:p>
            <w:pPr>
              <w:pStyle w:val="null3"/>
              <w:spacing w:before="120" w:after="120"/>
              <w:ind w:firstLine="480"/>
              <w:jc w:val="both"/>
            </w:pPr>
            <w:r>
              <w:rPr>
                <w:rFonts w:ascii="仿宋_GB2312" w:hAnsi="仿宋_GB2312" w:cs="仿宋_GB2312" w:eastAsia="仿宋_GB2312"/>
                <w:sz w:val="24"/>
                <w:color w:val="000000"/>
              </w:rPr>
              <w:t>3.故障上报采用书面或电子表单形式</w:t>
            </w:r>
            <w:r>
              <w:rPr>
                <w:rFonts w:ascii="仿宋_GB2312" w:hAnsi="仿宋_GB2312" w:cs="仿宋_GB2312" w:eastAsia="仿宋_GB2312"/>
                <w:sz w:val="24"/>
                <w:color w:val="000000"/>
              </w:rPr>
              <w:t>（</w:t>
            </w:r>
            <w:r>
              <w:rPr>
                <w:rFonts w:ascii="仿宋_GB2312" w:hAnsi="仿宋_GB2312" w:cs="仿宋_GB2312" w:eastAsia="仿宋_GB2312"/>
                <w:sz w:val="24"/>
                <w:color w:val="000000"/>
              </w:rPr>
              <w:t>含现场照片</w:t>
            </w:r>
            <w:r>
              <w:rPr>
                <w:rFonts w:ascii="仿宋_GB2312" w:hAnsi="仿宋_GB2312" w:cs="仿宋_GB2312" w:eastAsia="仿宋_GB2312"/>
                <w:sz w:val="24"/>
                <w:color w:val="000000"/>
              </w:rPr>
              <w:t>）</w:t>
            </w:r>
            <w:r>
              <w:rPr>
                <w:rFonts w:ascii="仿宋_GB2312" w:hAnsi="仿宋_GB2312" w:cs="仿宋_GB2312" w:eastAsia="仿宋_GB2312"/>
                <w:sz w:val="24"/>
                <w:color w:val="000000"/>
              </w:rPr>
              <w:t>，确保信息准确、完整。</w:t>
            </w:r>
          </w:p>
          <w:p>
            <w:pPr>
              <w:pStyle w:val="null3"/>
              <w:spacing w:before="315" w:after="120"/>
              <w:jc w:val="both"/>
            </w:pPr>
            <w:r>
              <w:rPr>
                <w:rFonts w:ascii="仿宋_GB2312" w:hAnsi="仿宋_GB2312" w:cs="仿宋_GB2312" w:eastAsia="仿宋_GB2312"/>
                <w:sz w:val="24"/>
                <w:b/>
                <w:color w:val="000000"/>
              </w:rPr>
              <w:t>（二）故障分级与响应</w:t>
            </w:r>
          </w:p>
          <w:p>
            <w:pPr>
              <w:pStyle w:val="null3"/>
              <w:spacing w:before="120" w:after="120"/>
              <w:ind w:firstLine="480"/>
              <w:jc w:val="both"/>
            </w:pPr>
            <w:r>
              <w:rPr>
                <w:rFonts w:ascii="仿宋_GB2312" w:hAnsi="仿宋_GB2312" w:cs="仿宋_GB2312" w:eastAsia="仿宋_GB2312"/>
                <w:sz w:val="24"/>
                <w:color w:val="000000"/>
              </w:rPr>
              <w:t>1.故障分级：核心故障（影响</w:t>
            </w:r>
            <w:r>
              <w:rPr>
                <w:rFonts w:ascii="仿宋_GB2312" w:hAnsi="仿宋_GB2312" w:cs="仿宋_GB2312" w:eastAsia="仿宋_GB2312"/>
                <w:sz w:val="24"/>
                <w:color w:val="000000"/>
              </w:rPr>
              <w:t>视频会议</w:t>
            </w:r>
            <w:r>
              <w:rPr>
                <w:rFonts w:ascii="仿宋_GB2312" w:hAnsi="仿宋_GB2312" w:cs="仿宋_GB2312" w:eastAsia="仿宋_GB2312"/>
                <w:sz w:val="24"/>
                <w:color w:val="000000"/>
              </w:rPr>
              <w:t>系统故障，</w:t>
            </w:r>
            <w:r>
              <w:rPr>
                <w:rFonts w:ascii="仿宋_GB2312" w:hAnsi="仿宋_GB2312" w:cs="仿宋_GB2312" w:eastAsia="仿宋_GB2312"/>
                <w:sz w:val="24"/>
                <w:color w:val="000000"/>
              </w:rPr>
              <w:t>网络</w:t>
            </w:r>
            <w:r>
              <w:rPr>
                <w:rFonts w:ascii="仿宋_GB2312" w:hAnsi="仿宋_GB2312" w:cs="仿宋_GB2312" w:eastAsia="仿宋_GB2312"/>
                <w:sz w:val="24"/>
                <w:color w:val="000000"/>
              </w:rPr>
              <w:t>中断等）；一般故障（不影响核心功能，仅部分设备或功能异常，如单个监控点无信号、视频</w:t>
            </w:r>
            <w:r>
              <w:rPr>
                <w:rFonts w:ascii="仿宋_GB2312" w:hAnsi="仿宋_GB2312" w:cs="仿宋_GB2312" w:eastAsia="仿宋_GB2312"/>
                <w:sz w:val="24"/>
                <w:color w:val="000000"/>
              </w:rPr>
              <w:t>监控平台</w:t>
            </w:r>
            <w:r>
              <w:rPr>
                <w:rFonts w:ascii="仿宋_GB2312" w:hAnsi="仿宋_GB2312" w:cs="仿宋_GB2312" w:eastAsia="仿宋_GB2312"/>
                <w:sz w:val="24"/>
                <w:color w:val="000000"/>
              </w:rPr>
              <w:t>局部功能故障等）。</w:t>
            </w:r>
          </w:p>
          <w:p>
            <w:pPr>
              <w:pStyle w:val="null3"/>
              <w:spacing w:before="120" w:after="120"/>
              <w:ind w:firstLine="480"/>
              <w:jc w:val="both"/>
            </w:pPr>
            <w:r>
              <w:rPr>
                <w:rFonts w:ascii="仿宋_GB2312" w:hAnsi="仿宋_GB2312" w:cs="仿宋_GB2312" w:eastAsia="仿宋_GB2312"/>
                <w:sz w:val="24"/>
                <w:color w:val="000000"/>
              </w:rPr>
              <w:t>2.响应机制：核心故障：运维人员接到上报后，</w:t>
            </w:r>
            <w:r>
              <w:rPr>
                <w:rFonts w:ascii="仿宋_GB2312" w:hAnsi="仿宋_GB2312" w:cs="仿宋_GB2312" w:eastAsia="仿宋_GB2312"/>
                <w:sz w:val="24"/>
                <w:color w:val="000000"/>
              </w:rPr>
              <w:t>驻场工程师</w:t>
            </w:r>
            <w:r>
              <w:rPr>
                <w:rFonts w:ascii="仿宋_GB2312" w:hAnsi="仿宋_GB2312" w:cs="仿宋_GB2312" w:eastAsia="仿宋_GB2312"/>
                <w:sz w:val="24"/>
                <w:color w:val="000000"/>
              </w:rPr>
              <w:t>立即赶赴现场（</w:t>
            </w:r>
            <w:r>
              <w:rPr>
                <w:rFonts w:ascii="仿宋_GB2312" w:hAnsi="仿宋_GB2312" w:cs="仿宋_GB2312" w:eastAsia="仿宋_GB2312"/>
                <w:sz w:val="24"/>
                <w:color w:val="000000"/>
              </w:rPr>
              <w:t>1小时</w:t>
            </w:r>
            <w:r>
              <w:rPr>
                <w:rFonts w:ascii="仿宋_GB2312" w:hAnsi="仿宋_GB2312" w:cs="仿宋_GB2312" w:eastAsia="仿宋_GB2312"/>
                <w:sz w:val="24"/>
                <w:color w:val="000000"/>
              </w:rPr>
              <w:t>内</w:t>
            </w:r>
            <w:r>
              <w:rPr>
                <w:rFonts w:ascii="仿宋_GB2312" w:hAnsi="仿宋_GB2312" w:cs="仿宋_GB2312" w:eastAsia="仿宋_GB2312"/>
                <w:sz w:val="24"/>
                <w:color w:val="000000"/>
              </w:rPr>
              <w:t>到</w:t>
            </w:r>
            <w:r>
              <w:rPr>
                <w:rFonts w:ascii="仿宋_GB2312" w:hAnsi="仿宋_GB2312" w:cs="仿宋_GB2312" w:eastAsia="仿宋_GB2312"/>
                <w:sz w:val="24"/>
                <w:color w:val="000000"/>
              </w:rPr>
              <w:t>）或</w:t>
            </w:r>
            <w:r>
              <w:rPr>
                <w:rFonts w:ascii="仿宋_GB2312" w:hAnsi="仿宋_GB2312" w:cs="仿宋_GB2312" w:eastAsia="仿宋_GB2312"/>
                <w:sz w:val="24"/>
                <w:color w:val="000000"/>
              </w:rPr>
              <w:t>（</w:t>
            </w:r>
            <w:r>
              <w:rPr>
                <w:rFonts w:ascii="仿宋_GB2312" w:hAnsi="仿宋_GB2312" w:cs="仿宋_GB2312" w:eastAsia="仿宋_GB2312"/>
                <w:sz w:val="24"/>
                <w:color w:val="000000"/>
              </w:rPr>
              <w:t>30分钟内</w:t>
            </w:r>
            <w:r>
              <w:rPr>
                <w:rFonts w:ascii="仿宋_GB2312" w:hAnsi="仿宋_GB2312" w:cs="仿宋_GB2312" w:eastAsia="仿宋_GB2312"/>
                <w:sz w:val="24"/>
                <w:color w:val="000000"/>
              </w:rPr>
              <w:t>）</w:t>
            </w:r>
            <w:r>
              <w:rPr>
                <w:rFonts w:ascii="仿宋_GB2312" w:hAnsi="仿宋_GB2312" w:cs="仿宋_GB2312" w:eastAsia="仿宋_GB2312"/>
                <w:sz w:val="24"/>
                <w:color w:val="000000"/>
              </w:rPr>
              <w:t>启动处置，同时向维护小组</w:t>
            </w:r>
            <w:r>
              <w:rPr>
                <w:rFonts w:ascii="仿宋_GB2312" w:hAnsi="仿宋_GB2312" w:cs="仿宋_GB2312" w:eastAsia="仿宋_GB2312"/>
                <w:sz w:val="24"/>
                <w:color w:val="000000"/>
              </w:rPr>
              <w:t>长</w:t>
            </w:r>
            <w:r>
              <w:rPr>
                <w:rFonts w:ascii="仿宋_GB2312" w:hAnsi="仿宋_GB2312" w:cs="仿宋_GB2312" w:eastAsia="仿宋_GB2312"/>
                <w:sz w:val="24"/>
                <w:color w:val="000000"/>
              </w:rPr>
              <w:t>汇报；一般故障：运维人员接到上报后，</w:t>
            </w:r>
            <w:r>
              <w:rPr>
                <w:rFonts w:ascii="仿宋_GB2312" w:hAnsi="仿宋_GB2312" w:cs="仿宋_GB2312" w:eastAsia="仿宋_GB2312"/>
                <w:sz w:val="24"/>
                <w:color w:val="000000"/>
              </w:rPr>
              <w:t>2小时内响应，制定处置方案并实施。</w:t>
            </w:r>
          </w:p>
          <w:p>
            <w:pPr>
              <w:pStyle w:val="null3"/>
              <w:spacing w:before="315" w:after="120"/>
              <w:jc w:val="both"/>
            </w:pPr>
            <w:r>
              <w:rPr>
                <w:rFonts w:ascii="仿宋_GB2312" w:hAnsi="仿宋_GB2312" w:cs="仿宋_GB2312" w:eastAsia="仿宋_GB2312"/>
                <w:sz w:val="24"/>
                <w:b/>
                <w:color w:val="000000"/>
              </w:rPr>
              <w:t>（三）故障处置与记录</w:t>
            </w:r>
          </w:p>
          <w:p>
            <w:pPr>
              <w:pStyle w:val="null3"/>
              <w:spacing w:before="120" w:after="120"/>
              <w:ind w:firstLine="480"/>
              <w:jc w:val="both"/>
            </w:pPr>
            <w:r>
              <w:rPr>
                <w:rFonts w:ascii="仿宋_GB2312" w:hAnsi="仿宋_GB2312" w:cs="仿宋_GB2312" w:eastAsia="仿宋_GB2312"/>
                <w:sz w:val="24"/>
                <w:color w:val="000000"/>
              </w:rPr>
              <w:t>1.运维人员根据故障情况，制定处置方案，开展故障排查与修复工作；必要时联系设备厂商技术支持或第三方机构协助；</w:t>
            </w:r>
          </w:p>
          <w:p>
            <w:pPr>
              <w:pStyle w:val="null3"/>
              <w:spacing w:before="120" w:after="120"/>
              <w:ind w:firstLine="480"/>
              <w:jc w:val="both"/>
            </w:pPr>
            <w:r>
              <w:rPr>
                <w:rFonts w:ascii="仿宋_GB2312" w:hAnsi="仿宋_GB2312" w:cs="仿宋_GB2312" w:eastAsia="仿宋_GB2312"/>
                <w:sz w:val="24"/>
                <w:color w:val="000000"/>
              </w:rPr>
              <w:t>2.故障修复后，测试系统功能是否恢复正常，确保无遗留问题；</w:t>
            </w:r>
          </w:p>
          <w:p>
            <w:pPr>
              <w:pStyle w:val="null3"/>
              <w:spacing w:before="120" w:after="120"/>
              <w:ind w:firstLine="480"/>
              <w:jc w:val="both"/>
            </w:pPr>
            <w:r>
              <w:rPr>
                <w:rFonts w:ascii="仿宋_GB2312" w:hAnsi="仿宋_GB2312" w:cs="仿宋_GB2312" w:eastAsia="仿宋_GB2312"/>
                <w:sz w:val="24"/>
                <w:color w:val="000000"/>
              </w:rPr>
              <w:t>3.详细记录故障处置过程，包括处置措施、使用工具、修复时间、责任人等，录入运维台账。</w:t>
            </w:r>
          </w:p>
          <w:p>
            <w:pPr>
              <w:pStyle w:val="null3"/>
              <w:spacing w:before="315" w:after="120"/>
              <w:jc w:val="both"/>
            </w:pPr>
            <w:r>
              <w:rPr>
                <w:rFonts w:ascii="仿宋_GB2312" w:hAnsi="仿宋_GB2312" w:cs="仿宋_GB2312" w:eastAsia="仿宋_GB2312"/>
                <w:sz w:val="24"/>
                <w:b/>
                <w:color w:val="000000"/>
              </w:rPr>
              <w:t>（四）维护总结与反馈</w:t>
            </w:r>
          </w:p>
          <w:p>
            <w:pPr>
              <w:pStyle w:val="null3"/>
              <w:spacing w:before="120" w:after="120"/>
              <w:ind w:firstLine="480"/>
              <w:jc w:val="both"/>
            </w:pPr>
            <w:r>
              <w:rPr>
                <w:rFonts w:ascii="仿宋_GB2312" w:hAnsi="仿宋_GB2312" w:cs="仿宋_GB2312" w:eastAsia="仿宋_GB2312"/>
                <w:sz w:val="24"/>
                <w:color w:val="000000"/>
              </w:rPr>
              <w:t>1.运维执行小组每周对维护工作进行小结，每月形成月度维护总结报告，每年形成年度维护总结报告；</w:t>
            </w:r>
            <w:r>
              <w:rPr>
                <w:rFonts w:ascii="仿宋_GB2312" w:hAnsi="仿宋_GB2312" w:cs="仿宋_GB2312" w:eastAsia="仿宋_GB2312"/>
                <w:sz w:val="24"/>
                <w:color w:val="000000"/>
              </w:rPr>
              <w:t>（</w:t>
            </w:r>
            <w:r>
              <w:rPr>
                <w:rFonts w:ascii="仿宋_GB2312" w:hAnsi="仿宋_GB2312" w:cs="仿宋_GB2312" w:eastAsia="仿宋_GB2312"/>
                <w:sz w:val="24"/>
                <w:color w:val="000000"/>
              </w:rPr>
              <w:t>含维护过程照片</w:t>
            </w:r>
            <w:r>
              <w:rPr>
                <w:rFonts w:ascii="仿宋_GB2312" w:hAnsi="仿宋_GB2312" w:cs="仿宋_GB2312" w:eastAsia="仿宋_GB2312"/>
                <w:sz w:val="24"/>
                <w:color w:val="000000"/>
              </w:rPr>
              <w:t>）</w:t>
            </w:r>
          </w:p>
          <w:p>
            <w:pPr>
              <w:pStyle w:val="null3"/>
              <w:spacing w:before="120" w:after="120"/>
              <w:ind w:firstLine="480"/>
              <w:jc w:val="both"/>
            </w:pPr>
            <w:r>
              <w:rPr>
                <w:rFonts w:ascii="仿宋_GB2312" w:hAnsi="仿宋_GB2312" w:cs="仿宋_GB2312" w:eastAsia="仿宋_GB2312"/>
                <w:sz w:val="24"/>
                <w:color w:val="000000"/>
              </w:rPr>
              <w:t>2.总结报告内容包括维护工作开展情况、故障统计分析、设备运行状态评估、存在的问题及改进建议等；</w:t>
            </w:r>
            <w:r>
              <w:rPr>
                <w:rFonts w:ascii="仿宋_GB2312" w:hAnsi="仿宋_GB2312" w:cs="仿宋_GB2312" w:eastAsia="仿宋_GB2312"/>
                <w:sz w:val="24"/>
                <w:color w:val="000000"/>
              </w:rPr>
              <w:t>（</w:t>
            </w:r>
            <w:r>
              <w:rPr>
                <w:rFonts w:ascii="仿宋_GB2312" w:hAnsi="仿宋_GB2312" w:cs="仿宋_GB2312" w:eastAsia="仿宋_GB2312"/>
                <w:sz w:val="24"/>
                <w:color w:val="000000"/>
              </w:rPr>
              <w:t>含维护过程照片</w:t>
            </w:r>
            <w:r>
              <w:rPr>
                <w:rFonts w:ascii="仿宋_GB2312" w:hAnsi="仿宋_GB2312" w:cs="仿宋_GB2312" w:eastAsia="仿宋_GB2312"/>
                <w:sz w:val="24"/>
                <w:color w:val="000000"/>
              </w:rPr>
              <w:t>）</w:t>
            </w:r>
          </w:p>
          <w:p>
            <w:pPr>
              <w:pStyle w:val="null3"/>
              <w:spacing w:before="120" w:after="120"/>
              <w:ind w:firstLine="480"/>
              <w:jc w:val="both"/>
            </w:pPr>
            <w:r>
              <w:rPr>
                <w:rFonts w:ascii="仿宋_GB2312" w:hAnsi="仿宋_GB2312" w:cs="仿宋_GB2312" w:eastAsia="仿宋_GB2312"/>
                <w:sz w:val="24"/>
                <w:color w:val="000000"/>
              </w:rPr>
              <w:t>3.月度、年度维护总结报告提交维护领导小组审核，为后续维护工作优化提供依据。</w:t>
            </w:r>
            <w:r>
              <w:rPr>
                <w:rFonts w:ascii="仿宋_GB2312" w:hAnsi="仿宋_GB2312" w:cs="仿宋_GB2312" w:eastAsia="仿宋_GB2312"/>
                <w:sz w:val="24"/>
                <w:color w:val="000000"/>
              </w:rPr>
              <w:t>（</w:t>
            </w:r>
            <w:r>
              <w:rPr>
                <w:rFonts w:ascii="仿宋_GB2312" w:hAnsi="仿宋_GB2312" w:cs="仿宋_GB2312" w:eastAsia="仿宋_GB2312"/>
                <w:sz w:val="24"/>
                <w:color w:val="000000"/>
              </w:rPr>
              <w:t>含维护过程照片</w:t>
            </w:r>
            <w:r>
              <w:rPr>
                <w:rFonts w:ascii="仿宋_GB2312" w:hAnsi="仿宋_GB2312" w:cs="仿宋_GB2312" w:eastAsia="仿宋_GB2312"/>
                <w:sz w:val="24"/>
                <w:color w:val="000000"/>
              </w:rPr>
              <w:t>）</w:t>
            </w:r>
          </w:p>
          <w:p>
            <w:pPr>
              <w:pStyle w:val="null3"/>
              <w:spacing w:before="120" w:after="120"/>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.年度维护总结报告</w:t>
            </w:r>
            <w:r>
              <w:rPr>
                <w:rFonts w:ascii="仿宋_GB2312" w:hAnsi="仿宋_GB2312" w:cs="仿宋_GB2312" w:eastAsia="仿宋_GB2312"/>
                <w:sz w:val="24"/>
                <w:color w:val="000000"/>
              </w:rPr>
              <w:t>包括</w:t>
            </w:r>
            <w:r>
              <w:rPr>
                <w:rFonts w:ascii="仿宋_GB2312" w:hAnsi="仿宋_GB2312" w:cs="仿宋_GB2312" w:eastAsia="仿宋_GB2312"/>
                <w:sz w:val="24"/>
                <w:color w:val="000000"/>
              </w:rPr>
              <w:t>：</w:t>
            </w:r>
            <w:r>
              <w:rPr>
                <w:rFonts w:ascii="仿宋_GB2312" w:hAnsi="仿宋_GB2312" w:cs="仿宋_GB2312" w:eastAsia="仿宋_GB2312"/>
                <w:sz w:val="24"/>
                <w:color w:val="000000"/>
              </w:rPr>
              <w:t>月度巡检报告，季度巡检报告，形成年度总结报告</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含维护过程照片，故障处理等</w:t>
            </w:r>
            <w:r>
              <w:rPr>
                <w:rFonts w:ascii="仿宋_GB2312" w:hAnsi="仿宋_GB2312" w:cs="仿宋_GB2312" w:eastAsia="仿宋_GB2312"/>
                <w:sz w:val="24"/>
                <w:color w:val="000000"/>
              </w:rPr>
              <w:t>）</w:t>
            </w:r>
          </w:p>
          <w:p>
            <w:pPr>
              <w:pStyle w:val="null3"/>
              <w:spacing w:before="150" w:after="630"/>
              <w:ind w:left="420"/>
              <w:jc w:val="both"/>
              <w:outlineLvl w:val="0"/>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保障措施</w:t>
            </w:r>
          </w:p>
          <w:p>
            <w:pPr>
              <w:pStyle w:val="null3"/>
              <w:spacing w:before="315" w:after="120"/>
              <w:jc w:val="both"/>
            </w:pPr>
            <w:r>
              <w:rPr>
                <w:rFonts w:ascii="仿宋_GB2312" w:hAnsi="仿宋_GB2312" w:cs="仿宋_GB2312" w:eastAsia="仿宋_GB2312"/>
                <w:sz w:val="24"/>
                <w:b/>
                <w:color w:val="000000"/>
              </w:rPr>
              <w:t>（一）人员保障</w:t>
            </w:r>
          </w:p>
          <w:p>
            <w:pPr>
              <w:pStyle w:val="null3"/>
              <w:spacing w:before="120" w:after="120"/>
              <w:ind w:firstLine="480"/>
              <w:jc w:val="both"/>
            </w:pPr>
            <w:r>
              <w:rPr>
                <w:rFonts w:ascii="仿宋_GB2312" w:hAnsi="仿宋_GB2312" w:cs="仿宋_GB2312" w:eastAsia="仿宋_GB2312"/>
                <w:sz w:val="24"/>
                <w:color w:val="000000"/>
              </w:rPr>
              <w:t>1.配备足够数量的专业运维人员，明确各岗位工作职责，确保运维工作有序开展；</w:t>
            </w:r>
          </w:p>
          <w:p>
            <w:pPr>
              <w:pStyle w:val="null3"/>
              <w:spacing w:before="120" w:after="120"/>
              <w:ind w:firstLine="480"/>
              <w:jc w:val="both"/>
            </w:pPr>
            <w:r>
              <w:rPr>
                <w:rFonts w:ascii="仿宋_GB2312" w:hAnsi="仿宋_GB2312" w:cs="仿宋_GB2312" w:eastAsia="仿宋_GB2312"/>
                <w:sz w:val="24"/>
                <w:color w:val="000000"/>
              </w:rPr>
              <w:t>2.定期组织运维人员参加专业技能培训（包括设备操作、故障排查、网络安全等），提升运维能力；</w:t>
            </w:r>
          </w:p>
          <w:p>
            <w:pPr>
              <w:pStyle w:val="null3"/>
              <w:spacing w:before="120" w:after="120"/>
              <w:ind w:firstLine="480"/>
              <w:jc w:val="both"/>
            </w:pPr>
            <w:r>
              <w:rPr>
                <w:rFonts w:ascii="仿宋_GB2312" w:hAnsi="仿宋_GB2312" w:cs="仿宋_GB2312" w:eastAsia="仿宋_GB2312"/>
                <w:sz w:val="24"/>
                <w:color w:val="000000"/>
              </w:rPr>
              <w:t>3.建立人员备份机制，避免因人员离职、休假导致运维工作中断。</w:t>
            </w:r>
          </w:p>
          <w:p>
            <w:pPr>
              <w:pStyle w:val="null3"/>
              <w:spacing w:before="315" w:after="120"/>
              <w:jc w:val="both"/>
            </w:pPr>
            <w:r>
              <w:rPr>
                <w:rFonts w:ascii="仿宋_GB2312" w:hAnsi="仿宋_GB2312" w:cs="仿宋_GB2312" w:eastAsia="仿宋_GB2312"/>
                <w:sz w:val="24"/>
                <w:b/>
                <w:color w:val="000000"/>
              </w:rPr>
              <w:t>（二）物资保障</w:t>
            </w:r>
          </w:p>
          <w:p>
            <w:pPr>
              <w:pStyle w:val="null3"/>
              <w:spacing w:before="120" w:after="120"/>
              <w:ind w:firstLine="480"/>
              <w:jc w:val="both"/>
            </w:pPr>
            <w:r>
              <w:rPr>
                <w:rFonts w:ascii="仿宋_GB2312" w:hAnsi="仿宋_GB2312" w:cs="仿宋_GB2312" w:eastAsia="仿宋_GB2312"/>
                <w:sz w:val="24"/>
                <w:color w:val="000000"/>
              </w:rPr>
              <w:t>1.建立备品备件库，储备常用设备及配件（如摄像机、传感器、交换机、硬盘、电源模块等），确保故障修复时能及时更换</w:t>
            </w:r>
            <w:r>
              <w:rPr>
                <w:rFonts w:ascii="仿宋_GB2312" w:hAnsi="仿宋_GB2312" w:cs="仿宋_GB2312" w:eastAsia="仿宋_GB2312"/>
                <w:sz w:val="24"/>
                <w:color w:val="000000"/>
              </w:rPr>
              <w:t>。</w:t>
            </w:r>
          </w:p>
          <w:p>
            <w:pPr>
              <w:pStyle w:val="null3"/>
              <w:spacing w:before="120" w:after="120"/>
              <w:ind w:firstLine="480"/>
              <w:jc w:val="both"/>
            </w:pPr>
            <w:r>
              <w:rPr>
                <w:rFonts w:ascii="仿宋_GB2312" w:hAnsi="仿宋_GB2312" w:cs="仿宋_GB2312" w:eastAsia="仿宋_GB2312"/>
                <w:sz w:val="24"/>
                <w:color w:val="000000"/>
              </w:rPr>
              <w:t>2.配备必要的运维工具（如万用表、示波器、光纤测试仪、笔记本电脑、故障诊断软件等），提升故障排查效率；</w:t>
            </w:r>
          </w:p>
          <w:p>
            <w:pPr>
              <w:pStyle w:val="null3"/>
            </w:pPr>
            <w:r>
              <w:rPr>
                <w:rFonts w:ascii="仿宋_GB2312" w:hAnsi="仿宋_GB2312" w:cs="仿宋_GB2312" w:eastAsia="仿宋_GB2312"/>
                <w:sz w:val="24"/>
                <w:color w:val="000000"/>
              </w:rPr>
              <w:t xml:space="preserve">   3.</w:t>
            </w:r>
            <w:r>
              <w:rPr>
                <w:rFonts w:ascii="仿宋_GB2312" w:hAnsi="仿宋_GB2312" w:cs="仿宋_GB2312" w:eastAsia="仿宋_GB2312"/>
                <w:sz w:val="24"/>
                <w:color w:val="000000"/>
              </w:rPr>
              <w:t>定期检查备品备件储备情况，及时补充短缺物资，确保物资充足。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要求供应商有项目实施团队及管理方案，具有专业技术能力。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要求供应商有完成本项目所需的设备。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(1)供应商按照采购人要求，完成服务内容，由采购人组织验收。 (2)验收依据:磋商文件、响应文件、澄清表(函)、本合同及其附件文本、国家相应的标准和规范。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供应商在履行合同过程中，出现了合同条款内的违约条件，应按照合同约定承担相应的违约责任。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提交投标文件截止时间不足一年的可提供成立后任意时段的资产负债表），或提交开标日期前六个月内银行出具的资信证明，或信用担保机构出具的投标担保函（以上三种形式的资料提供任何一种即可）；供应商需在项⽬电⼦化交易系统中按要求上传《基本资格条件承诺函》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供应商需在项目电子化交易系统中按要求填写《投标函》完成承诺并进行电子签章；按要求填写供应商企业关联关系声明函并进行电子签章。</w:t>
            </w:r>
          </w:p>
        </w:tc>
        <w:tc>
          <w:tcPr>
            <w:tcW w:type="dxa" w:w="1661"/>
          </w:tcPr>
          <w:p>
            <w:pPr>
              <w:pStyle w:val="null3"/>
            </w:pPr>
            <w:r>
              <w:rPr>
                <w:rFonts w:ascii="仿宋_GB2312" w:hAnsi="仿宋_GB2312" w:cs="仿宋_GB2312" w:eastAsia="仿宋_GB2312"/>
              </w:rPr>
              <w:t>供应商企业关联关系声明函.docx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2025年度经审计的财务报告（成立时间至提交投标文件截止时间不足一年的可提供成立后任意时段的资产负债表），或提交开标日期前六个月内银行出具的资信证明，或信用担保机构出具的投标担保函（以上三种形式的资料提供任何一种即可）；供应商需在项目电⼦化交易系统中按要求上传《基本资格条件承诺函》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投标截止之日前近六个月内至少一个月的纳税证明或完税证明（增值税，印花税，城市维护建设费，企业所得税等一种或多种税种），依法免税的单位应提供相关证明材料；供应商需在项目电⼦化交易系统中按要求上传《基本资格条件承诺函》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投标截止之日前近六个月内至少一个月的社会保障资金缴存单据或社保机构开具的社会保险参保缴费情况证明，依法不需要缴纳社会保障资金的单位应提供相关证明材料；供应商需在项目电⼦化交易系统中按要求上传《基本资格条件承诺函》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提供具有履行本合同所必需的设备和专业技术能力的声明；供应商需在项目电⼦化交易系统中按要求上传《基本资格条件承诺函》并进⾏电⼦签章；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出具参加政府采购活动前3年内在经营活动中没有重大违法记录的书面声明；供应商需在项目电⼦化交易系统中按要求上传《基本资格条件承诺函》并进⾏电⼦签章；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在中国执行信息公开网网站(http://zxgk.court.gov.cn/)中未列入失信被执行人，在信用中国网站(www.creditchina.gov.cn)中未列入重大税收违法失信主体，在中国政府采购网(www.ccgp.gov.cn)未被列入政府采购严重失信行为记录名单(处罚期限届满的除外，如相关失信记录已失效，供应商需提供相关证明资料，开标当天代理机构现场查询。)；供应商需在项目电⼦化交易系统中按要求上传《基本资格条件承诺函》并进⾏电⼦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被授权人参与磋商的须提供法定代表人身份证明书及授权委托书；法定代表人或负责人直接参与磋商的，须出具法定代表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供应商名称字章符合性</w:t>
            </w:r>
          </w:p>
        </w:tc>
        <w:tc>
          <w:tcPr>
            <w:tcW w:type="dxa" w:w="3322"/>
          </w:tcPr>
          <w:p>
            <w:pPr>
              <w:pStyle w:val="null3"/>
            </w:pPr>
            <w:r>
              <w:rPr>
                <w:rFonts w:ascii="仿宋_GB2312" w:hAnsi="仿宋_GB2312" w:cs="仿宋_GB2312" w:eastAsia="仿宋_GB2312"/>
              </w:rPr>
              <w:t>供应商名称字章一致</w:t>
            </w:r>
          </w:p>
        </w:tc>
        <w:tc>
          <w:tcPr>
            <w:tcW w:type="dxa" w:w="1661"/>
          </w:tcPr>
          <w:p>
            <w:pPr>
              <w:pStyle w:val="null3"/>
            </w:pPr>
            <w:r>
              <w:rPr>
                <w:rFonts w:ascii="仿宋_GB2312" w:hAnsi="仿宋_GB2312" w:cs="仿宋_GB2312" w:eastAsia="仿宋_GB2312"/>
              </w:rPr>
              <w:t>供应商类似项目业绩一览表.docx 中小企业声明函 报价表 商务条款响应偏离表.docx 供应商企业关联关系声明函.docx 供应商承诺书.docx 响应文件封面 分项报价表.docx 供应商应提交的相关资格证明材料.docx 残疾人福利性单位声明函 标的清单 技术、服务条款响应偏离表.docx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投标（响应）文件的签字盖章符合性</w:t>
            </w:r>
          </w:p>
        </w:tc>
        <w:tc>
          <w:tcPr>
            <w:tcW w:type="dxa" w:w="3322"/>
          </w:tcPr>
          <w:p>
            <w:pPr>
              <w:pStyle w:val="null3"/>
            </w:pPr>
            <w:r>
              <w:rPr>
                <w:rFonts w:ascii="仿宋_GB2312" w:hAnsi="仿宋_GB2312" w:cs="仿宋_GB2312" w:eastAsia="仿宋_GB2312"/>
              </w:rPr>
              <w:t>投标（响应）文件上法定代表人或其授权代表人的签字齐全或加盖公章，符合磋商文件要求。</w:t>
            </w:r>
          </w:p>
        </w:tc>
        <w:tc>
          <w:tcPr>
            <w:tcW w:type="dxa" w:w="1661"/>
          </w:tcPr>
          <w:p>
            <w:pPr>
              <w:pStyle w:val="null3"/>
            </w:pPr>
            <w:r>
              <w:rPr>
                <w:rFonts w:ascii="仿宋_GB2312" w:hAnsi="仿宋_GB2312" w:cs="仿宋_GB2312" w:eastAsia="仿宋_GB2312"/>
              </w:rPr>
              <w:t>供应商类似项目业绩一览表.docx 中小企业声明函 报价表 商务条款响应偏离表.docx 供应商企业关联关系声明函.docx 供应商承诺书.docx 响应文件封面 分项报价表.docx 供应商应提交的相关资格证明材料.docx 残疾人福利性单位声明函 标的清单 技术、服务条款响应偏离表.docx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投标（响应）有效期符合性</w:t>
            </w:r>
          </w:p>
        </w:tc>
        <w:tc>
          <w:tcPr>
            <w:tcW w:type="dxa" w:w="3322"/>
          </w:tcPr>
          <w:p>
            <w:pPr>
              <w:pStyle w:val="null3"/>
            </w:pPr>
            <w:r>
              <w:rPr>
                <w:rFonts w:ascii="仿宋_GB2312" w:hAnsi="仿宋_GB2312" w:cs="仿宋_GB2312" w:eastAsia="仿宋_GB2312"/>
              </w:rPr>
              <w:t>投标（响应）有效期满足磋商文件要求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投标（响应）报价符合性</w:t>
            </w:r>
          </w:p>
        </w:tc>
        <w:tc>
          <w:tcPr>
            <w:tcW w:type="dxa" w:w="3322"/>
          </w:tcPr>
          <w:p>
            <w:pPr>
              <w:pStyle w:val="null3"/>
            </w:pPr>
            <w:r>
              <w:rPr>
                <w:rFonts w:ascii="仿宋_GB2312" w:hAnsi="仿宋_GB2312" w:cs="仿宋_GB2312" w:eastAsia="仿宋_GB2312"/>
              </w:rPr>
              <w:t>投标（响应）报价是唯一有效的、投标（响应）报价不得超出最高限价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技术、服务、商务及其他要求</w:t>
            </w:r>
          </w:p>
        </w:tc>
        <w:tc>
          <w:tcPr>
            <w:tcW w:type="dxa" w:w="3322"/>
          </w:tcPr>
          <w:p>
            <w:pPr>
              <w:pStyle w:val="null3"/>
            </w:pPr>
            <w:r>
              <w:rPr>
                <w:rFonts w:ascii="仿宋_GB2312" w:hAnsi="仿宋_GB2312" w:cs="仿宋_GB2312" w:eastAsia="仿宋_GB2312"/>
              </w:rPr>
              <w:t>技术、服务、商务及其他要求满足磋商文件要求</w:t>
            </w:r>
          </w:p>
        </w:tc>
        <w:tc>
          <w:tcPr>
            <w:tcW w:type="dxa" w:w="1661"/>
          </w:tcPr>
          <w:p>
            <w:pPr>
              <w:pStyle w:val="null3"/>
            </w:pPr>
            <w:r>
              <w:rPr>
                <w:rFonts w:ascii="仿宋_GB2312" w:hAnsi="仿宋_GB2312" w:cs="仿宋_GB2312" w:eastAsia="仿宋_GB2312"/>
              </w:rPr>
              <w:t>商务条款响应偏离表.docx 技术、服务条款响应偏离表.docx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供应商类似项目业绩一览表.docx 中小企业声明函 报价表 商务条款响应偏离表.docx 供应商企业关联关系声明函.docx 供应商承诺书.docx 响应文件封面 分项报价表.docx 供应商应提交的相关资格证明材料.docx 残疾人福利性单位声明函 标的清单 技术、服务条款响应偏离表.docx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对本项目理解、认识及重点难点分析及应对措施</w:t>
            </w:r>
          </w:p>
        </w:tc>
        <w:tc>
          <w:tcPr>
            <w:tcW w:type="dxa" w:w="2492"/>
          </w:tcPr>
          <w:p>
            <w:pPr>
              <w:pStyle w:val="null3"/>
            </w:pPr>
            <w:r>
              <w:rPr>
                <w:rFonts w:ascii="仿宋_GB2312" w:hAnsi="仿宋_GB2312" w:cs="仿宋_GB2312" w:eastAsia="仿宋_GB2312"/>
              </w:rPr>
              <w:t>一、评审内容供应商对对本项目理解、认识及重点难点分析及应对措施，内容包含：①项目特点、关键技术问题的理解、认识；②项目重点、难点分析；③重点、难点应对措施。二、评审标准1、完整性：内容描述清晰、分析理解全面，对评审内容中的各项要求有详细描述；2、可实施性：切合本项目实际情况，提出清晰、合理的解决方案；3、针对性：应对措施能够紧扣项目实际情况，内容科学合理。三、赋分标准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实施组织计划</w:t>
            </w:r>
          </w:p>
        </w:tc>
        <w:tc>
          <w:tcPr>
            <w:tcW w:type="dxa" w:w="2492"/>
          </w:tcPr>
          <w:p>
            <w:pPr>
              <w:pStyle w:val="null3"/>
            </w:pPr>
            <w:r>
              <w:rPr>
                <w:rFonts w:ascii="仿宋_GB2312" w:hAnsi="仿宋_GB2312" w:cs="仿宋_GB2312" w:eastAsia="仿宋_GB2312"/>
              </w:rPr>
              <w:t>一、评审内容供应商针对本项目提出的运维服务实施组织计划，内容包含：①运维服务工具准备；②日常运维服务管理制度及流程；③内部培训计划。二、评审标准1、完整性：计划全面，对评审内容中的各项要求有详细描述；2、可实施性：切合本项目实际情况，提出步骤清晰、合理的方案；3、针对性：计划能够紧扣项目实际情况，内容科学合理。三、赋分标准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供应商针对本项目提出的应急保障措施，内容包含：①预警系统完善措施；②应急物资储备及管理措施；③应急响应保障及灾后恢复措施。二、评审标准1、完整性：措施全面，对评审内容中的各项要求有详细描述；2、可实施性：切合本项目实际情况，提出步骤清晰、合理的方案；3、针对性：措施能够紧扣项目实际情况，内容科学合理。三、赋分标准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备机备件方案</w:t>
            </w:r>
          </w:p>
        </w:tc>
        <w:tc>
          <w:tcPr>
            <w:tcW w:type="dxa" w:w="2492"/>
          </w:tcPr>
          <w:p>
            <w:pPr>
              <w:pStyle w:val="null3"/>
            </w:pPr>
            <w:r>
              <w:rPr>
                <w:rFonts w:ascii="仿宋_GB2312" w:hAnsi="仿宋_GB2312" w:cs="仿宋_GB2312" w:eastAsia="仿宋_GB2312"/>
              </w:rPr>
              <w:t>一、评审内容供应商针对本项目提出的备机备件方案，内容包含：①关键设备的备机备件配置清单；②储备管理制度及动态监控方案；③定期检测维护方案。二、评审标准1、完整性：方案全面，对评审内容中的各项要求有详细描述；2、可实施性：切合本项目实际情况，提出步骤清晰、合理的方案；3、针对性：措施能够紧扣项目实际情况，内容科学合理。三、赋分标准以上评审内容，满足一项得2分，每有一子项有缺陷或不完全满足扣1分，缺项或漏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设备维修升级方案</w:t>
            </w:r>
          </w:p>
        </w:tc>
        <w:tc>
          <w:tcPr>
            <w:tcW w:type="dxa" w:w="2492"/>
          </w:tcPr>
          <w:p>
            <w:pPr>
              <w:pStyle w:val="null3"/>
            </w:pPr>
            <w:r>
              <w:rPr>
                <w:rFonts w:ascii="仿宋_GB2312" w:hAnsi="仿宋_GB2312" w:cs="仿宋_GB2312" w:eastAsia="仿宋_GB2312"/>
              </w:rPr>
              <w:t>一、评审内容供应商针对本项目提出的设备维修升级方案，内容包含：①设备检查、故障排查方案；②性能优化、软件升级方案；③设备维修升级技术措施。二、评审标准1、完整性：方案全面，对评审内容中的各项要求有详细描述；2、可实施性：切合本项目实际情况，提出步骤清晰、合理的方案；3、针对性：方案能够紧扣项目实际情况，内容科学合理。三、赋分标准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汛期现场保障措施</w:t>
            </w:r>
          </w:p>
        </w:tc>
        <w:tc>
          <w:tcPr>
            <w:tcW w:type="dxa" w:w="2492"/>
          </w:tcPr>
          <w:p>
            <w:pPr>
              <w:pStyle w:val="null3"/>
            </w:pPr>
            <w:r>
              <w:rPr>
                <w:rFonts w:ascii="仿宋_GB2312" w:hAnsi="仿宋_GB2312" w:cs="仿宋_GB2312" w:eastAsia="仿宋_GB2312"/>
              </w:rPr>
              <w:t>一、评审内容供应商针对本项目提出的汛期保障方案，内容包含：①后勤能力保障措施；②汛期安全管理措施；③汛期安全保障措施。二、评审标准1、完整性：措施全面，对评审内容中的各项要求有详细描述；2、可实施性：切合本项目实际情况，提出步骤清晰、合理的方案；3、针对性：措施能够紧扣项目实际情况，内容科学合理。三、赋分标准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提出的质量保障措施，内容包含：①质量控制与质量检查；②质量管理制度；③质量管理体系与职责。二、评审标准1、完整性：质量保障措施全面，对评审内容中的各项要求有详细描述；2、可实施性：切合本项目实际情况，提出步骤清晰、合理的方案；3、针对性：措施能够紧扣项目实际情况，内容科学合理。三、赋分标准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供应商针对本项目提出的承诺及合理化建议，内容包含：①汛期专人值守服务承诺；②保证系统稳定运行承诺；③合理化建议。二、评审标准1、完整性：内容全面，对评审内容中的各项要求有详细描述；2、可实施性：切合本项目实际情况，提出步骤清晰、合理的方案；3、针对性：提供的承诺及建议能够紧扣项目实际情况，内容科学合理。三、赋分标准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供应商针对本项目组织机构，内容包含：①项目管理机构配备计划；②组织机构岗位职责；③团队人员配备情况（专业配备、专业分工、机构健全等）。二、评审标准1、完整性：项目管理机构配置合理、职能健全、岗位分工明确，对评审内容中的各项要求有完整响应；2、可实施性：切合本项目实际情况，提出清晰、明确的项目组织机构方案；3、针对性：人员配备能够紧扣项目实际情况，科学合理。三、赋分标准以上评审内容，满足一项得3分，每有一子项有缺陷或不完全满足扣1分，缺项或漏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针对本项目提供保密方案，内容包含:1.人员管理及保密责任；2.资料保密管理；3.信息传输与沟通保密。二、评审标准1、完整性：方案全面，对评审内容中的各项要求有详细描述；2、可实施性：切合本项目实际情况，提出步骤清晰、合理的方案；3、针对性：措施能够紧扣项目实际情况，内容科学合理。三、赋分标准以上评审内容，满足一项得2分，每有一子项有缺陷或不完全满足扣1分，缺项或漏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供应商需提供近三年2023年1月1日以后(以合同签订日期为准)承接的类似项目业绩，每提供1项符合要求的业绩证明(需附合同复印件加盖公章)得2分，本项最高得6分;未提供或提供材料不符合要求的不得分。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 , 即满足磋商文件要求且最后磋商报价最低的报价为评审基准价，其价格分为满分。其他供应商的价格分统一按照下列公式计算：磋商报价得分=【评审基准价/磋商报价( 最终二次报价）】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详见附件：供应商企业关联关系声明函.docx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详见附件：技术、服务条款响应偏离表.docx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4.png" Type="http://schemas.openxmlformats.org/officeDocument/2006/relationships/image"/><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png" Type="http://schemas.openxmlformats.org/officeDocument/2006/relationships/image"/><Relationship Id="rId8" Target="media/image2.png" Type="http://schemas.openxmlformats.org/officeDocument/2006/relationships/image"/><Relationship Id="rId9" Target="media/image3.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