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版本号：ZCBN-南郑县-2026-0015720260611001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2026年南郑区新集镇岳岭村人居环境补短板项目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ZCBN-南郑县-2026-00157</w:t>
      </w:r>
      <w:r>
        <w:br/>
      </w:r>
      <w:r>
        <w:br/>
      </w:r>
      <w:r>
        <w:br/>
      </w:r>
    </w:p>
    <w:p>
      <w:pPr>
        <w:pStyle w:val="null3"/>
        <w:jc w:val="center"/>
        <w:outlineLvl w:val="2"/>
      </w:pPr>
      <w:r>
        <w:rPr>
          <w:rFonts w:ascii="仿宋_GB2312" w:hAnsi="仿宋_GB2312" w:cs="仿宋_GB2312" w:eastAsia="仿宋_GB2312"/>
          <w:sz w:val="28"/>
          <w:b/>
        </w:rPr>
        <w:t>汉中市南郑区新集镇人民政府</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汉中市南郑区新集镇人民政府</w:t>
      </w:r>
      <w:r>
        <w:rPr>
          <w:rFonts w:ascii="仿宋_GB2312" w:hAnsi="仿宋_GB2312" w:cs="仿宋_GB2312" w:eastAsia="仿宋_GB2312"/>
        </w:rPr>
        <w:t>委托，拟对</w:t>
      </w:r>
      <w:r>
        <w:rPr>
          <w:rFonts w:ascii="仿宋_GB2312" w:hAnsi="仿宋_GB2312" w:cs="仿宋_GB2312" w:eastAsia="仿宋_GB2312"/>
        </w:rPr>
        <w:t>2026年南郑区新集镇岳岭村人居环境补短板项目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ZCBN-南郑县-2026-00157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2026年南郑区新集镇岳岭村人居环境补短板项目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建设内容：1.进行村内环境卫生补短板提升，整治环境卫生脏乱差183.3㎡、垃圾桶5组;实施垃圾收集点治理1处;2.解决便民服务问题，改造便民公共卫生厕所1处;3.实施环卫工人休息及环卫工具存放点改造1处;4.场地整治2326㎡;5.解决群众出行难问题，实施损坏路面场地修复2768.65㎡；便民桥维修加固1座;6.便民步道271㎡;7.安全围栏718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采购包1（2026年南郑区新集镇岳岭村人居环境补短板项目）：属于专门面向中小企业采购。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2、供应商资质要求：供应商须具备建设行政主管部门核发的[市政公用工程施工总承包]三级（含三级）及以上资质等级，并具有有效的安全生产许可证；</w:t>
      </w:r>
    </w:p>
    <w:p>
      <w:pPr>
        <w:pStyle w:val="null3"/>
      </w:pPr>
      <w:r>
        <w:rPr>
          <w:rFonts w:ascii="仿宋_GB2312" w:hAnsi="仿宋_GB2312" w:cs="仿宋_GB2312" w:eastAsia="仿宋_GB2312"/>
        </w:rPr>
        <w:t>3、拟派项目负责人：拟派项目负责人须具备[市政公用工程专业]注册建造师二级（含二级）以上注册建造师执业资格、具有有效的安全生产考核合格证（B证），无在建工程；</w:t>
      </w:r>
    </w:p>
    <w:p>
      <w:pPr>
        <w:pStyle w:val="null3"/>
      </w:pPr>
      <w:r>
        <w:rPr>
          <w:rFonts w:ascii="仿宋_GB2312" w:hAnsi="仿宋_GB2312" w:cs="仿宋_GB2312" w:eastAsia="仿宋_GB2312"/>
        </w:rPr>
        <w:t>4、法定代表人（或委托代理人）身份证明及授权委托书：法定代表人授权书（附法定代表人身份证复印件）及被授权人身份证复印件（法定代表人直接参加投标只须提供法定代表人身份证复印件）；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5、联合体：本项目不接受联合体磋商，单位负责人为同一人或者存在控股、管理关系的不同单位不得同时参与本项目磋商响应；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6、承诺函：供应商应按照汉中市财政局《关于全面推行政府采购供应商基本资格条件承诺制的通知》（汉财办采管〔2024〕20号）文件要求，提供资格承诺函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南郑区新集镇西关村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0916-5563113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开户名称：嘉翔项目管理有限公司汉中分公司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银行账号：61050165530000000189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和改革委员会办公厅关于招标代理服务收费有关问题的通知》（发改办价格〔2003〕857号）及（发改办价格〔2011〕534号）服务类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汉中市南郑区新集镇人民政府</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1,774,050.80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2026年南郑区新集镇岳岭村人居环境补短板项目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标的名称：2026年南郑区新集镇岳岭村人居环境补短板项目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（一）工程内容：设计图纸及工程量清单所有内容。</w:t>
            </w:r>
            <w:r>
              <w:br/>
            </w:r>
            <w:r>
              <w:rPr>
                <w:rFonts w:ascii="仿宋_GB2312" w:hAnsi="仿宋_GB2312" w:cs="仿宋_GB2312" w:eastAsia="仿宋_GB2312"/>
              </w:rPr>
              <w:t xml:space="preserve"> （二）工程地点：位于陕西省汉中市南郑区新集镇。</w:t>
            </w:r>
            <w:r>
              <w:br/>
            </w:r>
            <w:r>
              <w:rPr>
                <w:rFonts w:ascii="仿宋_GB2312" w:hAnsi="仿宋_GB2312" w:cs="仿宋_GB2312" w:eastAsia="仿宋_GB2312"/>
              </w:rPr>
              <w:t xml:space="preserve"> （三）计划工期：60日历天。</w:t>
            </w:r>
            <w:r>
              <w:br/>
            </w:r>
            <w:r>
              <w:rPr>
                <w:rFonts w:ascii="仿宋_GB2312" w:hAnsi="仿宋_GB2312" w:cs="仿宋_GB2312" w:eastAsia="仿宋_GB2312"/>
              </w:rPr>
              <w:t xml:space="preserve"> （四）工程质量：质量达到合格标准，并满足国家相关标准、规范及有关技术文件要求。</w:t>
            </w:r>
            <w:r>
              <w:br/>
            </w:r>
            <w:r>
              <w:rPr>
                <w:rFonts w:ascii="仿宋_GB2312" w:hAnsi="仿宋_GB2312" w:cs="仿宋_GB2312" w:eastAsia="仿宋_GB2312"/>
              </w:rPr>
              <w:t xml:space="preserve"> （五）质量保修期：一年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 xml:space="preserve">     项目区位于南郑区新集镇岳岭村观花点。2026年南郑区新集镇岳岭村人居环境补短板项目，项目主要建设内容：1.进行村内环境卫生补短板提升，整治环境卫生脏乱差183.3㎡、垃圾桶5组;实施垃圾收集点治理1处;2.解决便民服务问题，改造便民公共卫生厕所1处;3.实施环卫工人休息及环卫工具存放点改造1处;4.场地整治2326㎡;5.解决群众出行难问题，实施损坏路面场地修复2768.65㎡；便民桥维修加固1座;6.便民步道271㎡;7.安全围栏718m。</w:t>
            </w:r>
          </w:p>
          <w:p>
            <w:pPr>
              <w:pStyle w:val="null3"/>
            </w:pPr>
            <w:r>
              <w:rPr>
                <w:rFonts w:ascii="仿宋_GB2312" w:hAnsi="仿宋_GB2312" w:cs="仿宋_GB2312" w:eastAsia="仿宋_GB2312"/>
              </w:rPr>
              <w:t>二、编制范围</w:t>
            </w:r>
          </w:p>
          <w:p>
            <w:pPr>
              <w:pStyle w:val="null3"/>
            </w:pPr>
            <w:r>
              <w:rPr>
                <w:rFonts w:ascii="仿宋_GB2312" w:hAnsi="仿宋_GB2312" w:cs="仿宋_GB2312" w:eastAsia="仿宋_GB2312"/>
              </w:rPr>
              <w:t>依据“2026年南郑区新集镇岳岭村人居环境补短板项目”施工图纸范围内工作内容。</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1、依据“2026年南郑区新集镇岳岭村人居环境补短板项目”施工图纸；</w:t>
            </w:r>
          </w:p>
          <w:p>
            <w:pPr>
              <w:pStyle w:val="null3"/>
            </w:pPr>
            <w:r>
              <w:rPr>
                <w:rFonts w:ascii="仿宋_GB2312" w:hAnsi="仿宋_GB2312" w:cs="仿宋_GB2312" w:eastAsia="仿宋_GB2312"/>
              </w:rPr>
              <w:t>2、依据《陕西省建设工程量清单计价标准及计算标准（2025）》；</w:t>
            </w:r>
          </w:p>
          <w:p>
            <w:pPr>
              <w:pStyle w:val="null3"/>
            </w:pPr>
            <w:r>
              <w:rPr>
                <w:rFonts w:ascii="仿宋_GB2312" w:hAnsi="仿宋_GB2312" w:cs="仿宋_GB2312" w:eastAsia="仿宋_GB2312"/>
              </w:rPr>
              <w:t>3、《陕西省房屋建筑与装饰工程消耗量定额（2025）》、《陕西省通用安装工程消耗量定额（2025）》、《陕西省市政工程消耗量定额（2025）》、《陕西省园林绿化工程消耗量定额（2025）》；</w:t>
            </w:r>
          </w:p>
          <w:p>
            <w:pPr>
              <w:pStyle w:val="null3"/>
            </w:pPr>
            <w:r>
              <w:rPr>
                <w:rFonts w:ascii="仿宋_GB2312" w:hAnsi="仿宋_GB2312" w:cs="仿宋_GB2312" w:eastAsia="仿宋_GB2312"/>
              </w:rPr>
              <w:t>4、《陕西省房屋建筑与装饰工程基价表（2025）》、《陕西省通用安装工程工程基价表（2025）》、《陕西省市政工程工程基价表（2025）》、《陕西省园林绿化工程工程基价表（2025）》；</w:t>
            </w:r>
          </w:p>
          <w:p>
            <w:pPr>
              <w:pStyle w:val="null3"/>
            </w:pPr>
            <w:r>
              <w:rPr>
                <w:rFonts w:ascii="仿宋_GB2312" w:hAnsi="仿宋_GB2312" w:cs="仿宋_GB2312" w:eastAsia="仿宋_GB2312"/>
              </w:rPr>
              <w:t>5、《陕西省住房和城乡建设厅关于印发2025陕西省建设工程费用规则等计价依据的通知》；</w:t>
            </w:r>
          </w:p>
          <w:p>
            <w:pPr>
              <w:pStyle w:val="null3"/>
            </w:pPr>
            <w:r>
              <w:rPr>
                <w:rFonts w:ascii="仿宋_GB2312" w:hAnsi="仿宋_GB2312" w:cs="仿宋_GB2312" w:eastAsia="仿宋_GB2312"/>
              </w:rPr>
              <w:t>6、人工费综合工种人工工日消耗量按照《陕西省房屋建筑与装饰工程消耗量定额（2025）》计算，一类工日单价155元/工日，二类工日单价186元/工日，三类工日单价215元/工日；</w:t>
            </w:r>
          </w:p>
          <w:p>
            <w:pPr>
              <w:pStyle w:val="null3"/>
            </w:pPr>
            <w:r>
              <w:rPr>
                <w:rFonts w:ascii="仿宋_GB2312" w:hAnsi="仿宋_GB2312" w:cs="仿宋_GB2312" w:eastAsia="仿宋_GB2312"/>
              </w:rPr>
              <w:t>7、材料价依据《2026年4月汉中建设工程造价信息》南郑区材料价；</w:t>
            </w:r>
          </w:p>
          <w:p>
            <w:pPr>
              <w:pStyle w:val="null3"/>
            </w:pPr>
            <w:r>
              <w:rPr>
                <w:rFonts w:ascii="仿宋_GB2312" w:hAnsi="仿宋_GB2312" w:cs="仿宋_GB2312" w:eastAsia="仿宋_GB2312"/>
              </w:rPr>
              <w:t>四、相关问题说明</w:t>
            </w:r>
          </w:p>
          <w:p>
            <w:pPr>
              <w:pStyle w:val="null3"/>
            </w:pPr>
            <w:r>
              <w:rPr>
                <w:rFonts w:ascii="仿宋_GB2312" w:hAnsi="仿宋_GB2312" w:cs="仿宋_GB2312" w:eastAsia="仿宋_GB2312"/>
              </w:rPr>
              <w:t>1、装配式打卡平台暂按5000元/座综合单价计入；</w:t>
            </w:r>
          </w:p>
          <w:p>
            <w:pPr>
              <w:pStyle w:val="null3"/>
            </w:pPr>
            <w:r>
              <w:rPr>
                <w:rFonts w:ascii="仿宋_GB2312" w:hAnsi="仿宋_GB2312" w:cs="仿宋_GB2312" w:eastAsia="仿宋_GB2312"/>
              </w:rPr>
              <w:t>2、打卡相框A暂按2500元/座综合单价计入；</w:t>
            </w:r>
          </w:p>
          <w:p>
            <w:pPr>
              <w:pStyle w:val="null3"/>
            </w:pPr>
            <w:r>
              <w:rPr>
                <w:rFonts w:ascii="仿宋_GB2312" w:hAnsi="仿宋_GB2312" w:cs="仿宋_GB2312" w:eastAsia="仿宋_GB2312"/>
              </w:rPr>
              <w:t>3、打卡相框B暂按4500元/座综合单价计入；</w:t>
            </w:r>
          </w:p>
          <w:p>
            <w:pPr>
              <w:pStyle w:val="null3"/>
            </w:pPr>
            <w:r>
              <w:rPr>
                <w:rFonts w:ascii="仿宋_GB2312" w:hAnsi="仿宋_GB2312" w:cs="仿宋_GB2312" w:eastAsia="仿宋_GB2312"/>
              </w:rPr>
              <w:t>4、打卡相框C暂按3300元/座综合单价计入；</w:t>
            </w:r>
          </w:p>
          <w:p>
            <w:pPr>
              <w:pStyle w:val="null3"/>
            </w:pPr>
            <w:r>
              <w:rPr>
                <w:rFonts w:ascii="仿宋_GB2312" w:hAnsi="仿宋_GB2312" w:cs="仿宋_GB2312" w:eastAsia="仿宋_GB2312"/>
              </w:rPr>
              <w:t>5、打卡相框D暂按9800元/座综合单价计入；</w:t>
            </w:r>
          </w:p>
          <w:p>
            <w:pPr>
              <w:pStyle w:val="null3"/>
            </w:pPr>
            <w:r>
              <w:rPr>
                <w:rFonts w:ascii="仿宋_GB2312" w:hAnsi="仿宋_GB2312" w:cs="仿宋_GB2312" w:eastAsia="仿宋_GB2312"/>
              </w:rPr>
              <w:t>6、打卡相框E暂按7000元/座综合单价计入；</w:t>
            </w:r>
          </w:p>
          <w:p>
            <w:pPr>
              <w:pStyle w:val="null3"/>
            </w:pPr>
            <w:r>
              <w:rPr>
                <w:rFonts w:ascii="仿宋_GB2312" w:hAnsi="仿宋_GB2312" w:cs="仿宋_GB2312" w:eastAsia="仿宋_GB2312"/>
              </w:rPr>
              <w:t>7、岳岭集市特色围栏暂按25000元/座综合单价计入；</w:t>
            </w:r>
          </w:p>
          <w:p>
            <w:pPr>
              <w:pStyle w:val="null3"/>
            </w:pPr>
            <w:r>
              <w:rPr>
                <w:rFonts w:ascii="仿宋_GB2312" w:hAnsi="仿宋_GB2312" w:cs="仿宋_GB2312" w:eastAsia="仿宋_GB2312"/>
              </w:rPr>
              <w:t>8、300mm双面烤漆白色金属立体字暂按2100元/个综合单价计入；</w:t>
            </w:r>
          </w:p>
          <w:p>
            <w:pPr>
              <w:pStyle w:val="null3"/>
            </w:pPr>
            <w:r>
              <w:rPr>
                <w:rFonts w:ascii="仿宋_GB2312" w:hAnsi="仿宋_GB2312" w:cs="仿宋_GB2312" w:eastAsia="仿宋_GB2312"/>
              </w:rPr>
              <w:t>9、油菜花打卡点暂按9500元/处综合单价计入；</w:t>
            </w:r>
          </w:p>
          <w:p>
            <w:pPr>
              <w:pStyle w:val="null3"/>
            </w:pPr>
            <w:r>
              <w:rPr>
                <w:rFonts w:ascii="仿宋_GB2312" w:hAnsi="仿宋_GB2312" w:cs="仿宋_GB2312" w:eastAsia="仿宋_GB2312"/>
              </w:rPr>
              <w:t>10、木门打卡点A暂按2600元/处综合单价计入；</w:t>
            </w:r>
          </w:p>
          <w:p>
            <w:pPr>
              <w:pStyle w:val="null3"/>
            </w:pPr>
            <w:r>
              <w:rPr>
                <w:rFonts w:ascii="仿宋_GB2312" w:hAnsi="仿宋_GB2312" w:cs="仿宋_GB2312" w:eastAsia="仿宋_GB2312"/>
              </w:rPr>
              <w:t>11、木门打卡点B暂按2600元/处综合单价计入；</w:t>
            </w:r>
          </w:p>
          <w:p>
            <w:pPr>
              <w:pStyle w:val="null3"/>
            </w:pPr>
            <w:r>
              <w:rPr>
                <w:rFonts w:ascii="仿宋_GB2312" w:hAnsi="仿宋_GB2312" w:cs="仿宋_GB2312" w:eastAsia="仿宋_GB2312"/>
              </w:rPr>
              <w:t>12、木门打卡点C暂按2600元/处综合单价计入；</w:t>
            </w:r>
          </w:p>
          <w:p>
            <w:pPr>
              <w:pStyle w:val="null3"/>
            </w:pPr>
            <w:r>
              <w:rPr>
                <w:rFonts w:ascii="仿宋_GB2312" w:hAnsi="仿宋_GB2312" w:cs="仿宋_GB2312" w:eastAsia="仿宋_GB2312"/>
              </w:rPr>
              <w:t>13、成品花岗岩坐凳暂按800元/条综合单价计入；</w:t>
            </w:r>
          </w:p>
          <w:p>
            <w:pPr>
              <w:pStyle w:val="null3"/>
            </w:pPr>
            <w:r>
              <w:rPr>
                <w:rFonts w:ascii="仿宋_GB2312" w:hAnsi="仿宋_GB2312" w:cs="仿宋_GB2312" w:eastAsia="仿宋_GB2312"/>
              </w:rPr>
              <w:t>14、防腐木长条桌暂按450元/套综合单价计入；</w:t>
            </w:r>
          </w:p>
          <w:p>
            <w:pPr>
              <w:pStyle w:val="null3"/>
            </w:pPr>
            <w:r>
              <w:rPr>
                <w:rFonts w:ascii="仿宋_GB2312" w:hAnsi="仿宋_GB2312" w:cs="仿宋_GB2312" w:eastAsia="仿宋_GB2312"/>
              </w:rPr>
              <w:t>15、成品移动集市摊位含坐凳暂按850元/套综合单价计入；</w:t>
            </w:r>
          </w:p>
          <w:p>
            <w:pPr>
              <w:pStyle w:val="null3"/>
            </w:pPr>
            <w:r>
              <w:rPr>
                <w:rFonts w:ascii="仿宋_GB2312" w:hAnsi="仿宋_GB2312" w:cs="仿宋_GB2312" w:eastAsia="仿宋_GB2312"/>
              </w:rPr>
              <w:t>16、竹子置物架暂按300元/个综合单价计入；</w:t>
            </w:r>
          </w:p>
          <w:p>
            <w:pPr>
              <w:pStyle w:val="null3"/>
            </w:pPr>
            <w:r>
              <w:rPr>
                <w:rFonts w:ascii="仿宋_GB2312" w:hAnsi="仿宋_GB2312" w:cs="仿宋_GB2312" w:eastAsia="仿宋_GB2312"/>
              </w:rPr>
              <w:t>17、成品垃圾桶暂按300元/套综合单价计入；</w:t>
            </w:r>
          </w:p>
          <w:p>
            <w:pPr>
              <w:pStyle w:val="null3"/>
            </w:pPr>
            <w:r>
              <w:rPr>
                <w:rFonts w:ascii="仿宋_GB2312" w:hAnsi="仿宋_GB2312" w:cs="仿宋_GB2312" w:eastAsia="仿宋_GB2312"/>
              </w:rPr>
              <w:t>18、240L垃圾桶暂按160元/个综合单价计入；</w:t>
            </w:r>
          </w:p>
          <w:p>
            <w:pPr>
              <w:pStyle w:val="null3"/>
            </w:pPr>
            <w:r>
              <w:rPr>
                <w:rFonts w:ascii="仿宋_GB2312" w:hAnsi="仿宋_GB2312" w:cs="仿宋_GB2312" w:eastAsia="仿宋_GB2312"/>
              </w:rPr>
              <w:t>19、垃圾收集点暂按6000元/处综合单价计入；</w:t>
            </w:r>
          </w:p>
          <w:p>
            <w:pPr>
              <w:pStyle w:val="null3"/>
            </w:pPr>
            <w:r>
              <w:rPr>
                <w:rFonts w:ascii="仿宋_GB2312" w:hAnsi="仿宋_GB2312" w:cs="仿宋_GB2312" w:eastAsia="仿宋_GB2312"/>
              </w:rPr>
              <w:t>20、外接电缆暂按50m计入。</w:t>
            </w:r>
          </w:p>
          <w:p>
            <w:pPr>
              <w:pStyle w:val="null3"/>
            </w:pPr>
            <w:r>
              <w:rPr>
                <w:rFonts w:ascii="仿宋_GB2312" w:hAnsi="仿宋_GB2312" w:cs="仿宋_GB2312" w:eastAsia="仿宋_GB2312"/>
              </w:rPr>
              <w:t>五、、计价软件：广联达建筑工程计价软件GCCP7。</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供应商应按照汉中市财政局《关于全面推进政府采购供应商基本资格条件承诺制的通知》（汉财办采管〔2024〕20号）文件要求，提供资格承诺函；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供应商须具备建设行政主管部门核发的[市政公用工程施工总承包]三级（含三级）及以上资质等级，并具有有效的安全生产许可证；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拟派项目负责人须具备[市政公用工程专业]注册建造师二级（含二级）以上注册建造师执业资格、具有有效的安全生产考核合格证（B证），无在建工程；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01月至今类似项目业绩，每份计1分，满分4分。须提供中标（成交）通知书和合同（协议书）证明资料。备注：业绩以申请人提供的中标通知书或施工合同（协议书）为准，否则不作为业绩进行考核，该业绩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①具体施工内容（2分）； ②施工次序（2分）； ③施工方法（工艺）（2分）； ④成品保护措施（2分）。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①施工组织与工期保证措施、劳动力配置（2分）； ②特殊情况保证措施：夜间、雨雪、高温、低温等情况（2分）。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时间逻辑缺陷（如进度计划超期、进度计划违背项目实际、关键线路工期违反施工定额、工序搭接违反施工规律）；②特殊时段缺失缺陷（如未标注开学前必须完成的节点、未考虑季节性施工影响）；③工期保证措施类缺陷（如未建立动态调整机制、关键岗位人员配置不足、平行施工方案不可行）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①指质量保证体系类缺陷（如体系架构缺陷、未建立三级质量管理组织架构、质量责任未明确量化指标、制度文件缺失、人员设置与质控管理要求不一致）；②质量通病防治缺陷（如控制措施不具体、防治措施与规范标准不一致）；③成品保护措施缺陷（如存储防护方案缺失、搬迁保护缺乏有效措施、交叉施工缺乏有效保护措施）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①内容全面详细，且条理清晰、科学合理，可实施性强； ②内容能够紧扣项目实际情况，内容清晰、合理。 3.赋分标准：各项评审内容每满足一条评审标准得0.5分，未提供相关评审项内容或提供内容存在缺陷的不计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④安全教育培训（2分）；⑤紧急预案措施（2分）。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项目负责人安全责任未量化、未制定危险作业审批流程、制度程序存在缺陷）；②施工现场安全缺陷（如防护措施缺陷、施工设备管理不规范或措施有缺陷）； ③技术措施类缺陷（如专项方案缺失、技术参数错误）；④隐患排查类缺陷（如未建立相关制度、隐患整改未实行闭环管理）；⑤应急预案类缺陷（如：未针对项目特点编制预案，应急物资清单关键设备遗漏、应急响应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②内容能够紧扣项目实际情况，科学合理，可实施性强。 3.赋分标准：各项评审内容每满足一条评审标准得1.5分，未提供相关评审项内容或提供内容存在缺陷的不计分。备注：本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1.评审内容：供应商针对本项目编制完善的项目经理部组织机构，内容包含但不限于：①项目成员配置清单及架构（2分）； ②项目组配备人员的专业素质、人员结构、管理制度（2分）； ③项目成员的主要职责及工作内容（2分）。 2.评审标准： ①组织机构健全，人员架构合理，职责划分准确； ②组织机构符合本项目实际情况建立，科学合理。3.赋分标准：各项评审内容每满足一条评审标准得1分，未提供相关评审项内容或提供内容存在缺陷的不计分。备注：本项缺陷是内容错误指：机构设置与项目建设要求有缺项、人员岗位职责不清晰或交叉混乱、协调措施缺乏监督机制、人员专业与项目岗位要求不一致、不相容岗位分离未分离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1.具有工程类相关专业初级职称得1 分，中级及以上职称得2分。 2.提供一个近 3 年内 (2023年-至今)承担过类似工程业绩，得2 分； 评审依据：需提供在本企业就职的证明材料（包括不限于劳动合同、社保缴纳截图等），业绩以申请人提供的中标通知书或施工合同（协议书）为准，否则不作为业绩进行考核，该业绩不得分。类似项目为市政工程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拟派其他技术人员数量和配备</w:t>
            </w:r>
          </w:p>
        </w:tc>
        <w:tc>
          <w:tcPr>
            <w:tcW w:type="dxa" w:w="2492"/>
          </w:tcPr>
          <w:p>
            <w:pPr>
              <w:pStyle w:val="null3"/>
            </w:pPr>
            <w:r>
              <w:rPr>
                <w:rFonts w:ascii="仿宋_GB2312" w:hAnsi="仿宋_GB2312" w:cs="仿宋_GB2312" w:eastAsia="仿宋_GB2312"/>
              </w:rPr>
              <w:t>包括技术负责人、质检员、安全员、施工员、材料员、资料员。实行岗位责任制且专业配套；每提供一位有效人员资料得2分，最多得12分。 评审依据：以提供人员的身份证、岗位证书或职称证加盖公章的复印件为准，所有项目部人员需提供在本企业就职的证明材料（包括不限于劳动合同、社保缴纳截图等）（加盖申请人公章）。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 ②内容能够紧扣项目实际情况，准确、措施合理具体。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汉中市政府采购供应商资格承诺函.docx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