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2026年“金秋果乡”宝鸡·千阳自行车公开赛竞争性磋商公告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2026年“金秋果乡”宝鸡·千阳自行车公开赛</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2026年08月18日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项目编号：ZZBBJ-CS-2026-0016</w:t>
      </w:r>
    </w:p>
    <w:p>
      <w:pPr>
        <w:pStyle w:val="null3"/>
      </w:pPr>
      <w:r>
        <w:rPr>
          <w:rFonts w:ascii="仿宋_GB2312" w:hAnsi="仿宋_GB2312" w:cs="仿宋_GB2312" w:eastAsia="仿宋_GB2312"/>
        </w:rPr>
        <w:t>项目名称：2026年“金秋果乡”宝鸡·千阳自行车公开赛</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合同包1(2026年“金秋果乡”宝鸡·千阳自行车公开赛):</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400,000.00元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400,000.00元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体育组织服务</w:t>
            </w:r>
          </w:p>
        </w:tc>
        <w:tc>
          <w:tcPr>
            <w:tcW w:type="dxa" w:w="1384"/>
          </w:tcPr>
          <w:p>
            <w:pPr>
              <w:pStyle w:val="null3"/>
            </w:pPr>
            <w:r>
              <w:rPr>
                <w:rFonts w:ascii="仿宋_GB2312" w:hAnsi="仿宋_GB2312" w:cs="仿宋_GB2312" w:eastAsia="仿宋_GB2312"/>
              </w:rPr>
              <w:t>用于自行车公开赛各项赛事服务项目。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400,000.00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合同包1(2026年“金秋果乡”宝鸡·千阳自行车公开赛)落实政府采购政策需满足的资格要求如下: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合同包1(2026年“金秋果乡”宝鸡·千阳自行车公开赛)特定资格要求如下: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3）社保缴纳证明：供应商须提供2025年07月至今已缴纳的任意6个月的社会保障资金缴存单据或社保机构开具的社会保险参保缴费情况证明，依法不需要缴纳社会保障资金的单位应提供相关证明材料；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4）税收缴纳证明：供应商须提供2025年07月至今已缴纳的任意6个月的纳税证明或完税证明，依法免税的单位应提供相关证明材料；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7）书面声明：提供参加政府采购活动前3年内在经营活动中没有重大违法记录的书面声明；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10）专门面向中小企业声明函：本项目专门面向中小企业采购，供应商须为中小企业，并提供声明函（如有虚假，将依法承担相应责任）；</w:t>
      </w:r>
      <w:r>
        <w:br/>
      </w:r>
      <w:r>
        <w:rPr>
          <w:rFonts w:ascii="仿宋_GB2312" w:hAnsi="仿宋_GB2312" w:cs="仿宋_GB2312" w:eastAsia="仿宋_GB2312"/>
        </w:rPr>
        <w:t>11）非联合体投标声明函：本项目不接受联合体投标，供应商需提供非联合体投标声明函。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2026年08月07日 </w:t>
      </w:r>
      <w:r>
        <w:rPr>
          <w:rFonts w:ascii="仿宋_GB2312" w:hAnsi="仿宋_GB2312" w:cs="仿宋_GB2312" w:eastAsia="仿宋_GB2312"/>
        </w:rPr>
        <w:t>至</w:t>
      </w:r>
      <w:r>
        <w:rPr>
          <w:rFonts w:ascii="仿宋_GB2312" w:hAnsi="仿宋_GB2312" w:cs="仿宋_GB2312" w:eastAsia="仿宋_GB2312"/>
        </w:rPr>
        <w:t xml:space="preserve"> 2026年08月13日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2026年08月18日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2026年08月18日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5、供应商在网上填写的单位信息（单位名称、营业执照相关信息）应与竞争性磋商文件要求及后期上传的电子磋商响应文件中相关信息一致，否则造成资格审查不通过的后果</w:t>
      </w:r>
      <w:r>
        <w:rPr>
          <w:rFonts w:ascii="仿宋_GB2312" w:hAnsi="仿宋_GB2312" w:cs="仿宋_GB2312" w:eastAsia="仿宋_GB2312"/>
          <w:sz w:val="24"/>
        </w:rPr>
        <w:t>由</w:t>
      </w:r>
      <w:r>
        <w:rPr>
          <w:rFonts w:ascii="仿宋_GB2312" w:hAnsi="仿宋_GB2312" w:cs="仿宋_GB2312" w:eastAsia="仿宋_GB2312"/>
          <w:sz w:val="24"/>
        </w:rPr>
        <w:t>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pPr>
        <w:pStyle w:val="null3"/>
        <w:ind w:firstLine="480"/>
        <w:jc w:val="both"/>
      </w:pPr>
      <w:r>
        <w:rPr>
          <w:rFonts w:ascii="仿宋_GB2312" w:hAnsi="仿宋_GB2312" w:cs="仿宋_GB2312" w:eastAsia="仿宋_GB2312"/>
          <w:sz w:val="24"/>
        </w:rPr>
        <w:t>8、供应商未完成网上磋商或未在规定时间内在平台上下载电子竞争性磋商文件的，导致无法完成后续流程的责任自负；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9、电子磋商响应文件制作软件技术支持热线：咨询电话:400-636-9888、029-88661267、029-88661266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千阳县体育运动管理中心</w:t>
      </w:r>
    </w:p>
    <w:p>
      <w:pPr>
        <w:pStyle w:val="null3"/>
      </w:pPr>
      <w:r>
        <w:rPr>
          <w:rFonts w:ascii="仿宋_GB2312" w:hAnsi="仿宋_GB2312" w:cs="仿宋_GB2312" w:eastAsia="仿宋_GB2312"/>
        </w:rPr>
        <w:t>地址：</w:t>
      </w:r>
      <w:r>
        <w:rPr>
          <w:rFonts w:ascii="仿宋_GB2312" w:hAnsi="仿宋_GB2312" w:cs="仿宋_GB2312" w:eastAsia="仿宋_GB2312"/>
        </w:rPr>
        <w:t>陕西省千阳县东海路</w:t>
      </w:r>
    </w:p>
    <w:p>
      <w:pPr>
        <w:pStyle w:val="null3"/>
      </w:pPr>
      <w:r>
        <w:rPr>
          <w:rFonts w:ascii="仿宋_GB2312" w:hAnsi="仿宋_GB2312" w:cs="仿宋_GB2312" w:eastAsia="仿宋_GB2312"/>
        </w:rPr>
        <w:t>联系方式：</w:t>
      </w:r>
      <w:r>
        <w:rPr>
          <w:rFonts w:ascii="仿宋_GB2312" w:hAnsi="仿宋_GB2312" w:cs="仿宋_GB2312" w:eastAsia="仿宋_GB2312"/>
        </w:rPr>
        <w:t>13992770589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