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版本号：SXWZ2026ZB-YDDX-131.1B120260730001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智慧物流与智能仿真实验平台项目(二次)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SXWZ2026ZB-YDDX-131.1B1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智慧物流与智能仿真实验平台项目(二次)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SXWZ2026ZB-YDDX-131.1B1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智慧物流与智能仿真实验平台项目(二次)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智慧物流与智能仿真实验平台项目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须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3、税收缴纳证明：须提供2026年01月至今已缴纳的至少一个月纳税证明或完税证明，依法免税的单位应提供相关证明材料（以税款所属期为准）。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4、财务状况证明：提供经会计师事务所审计的2024年或2025年任意一年的财务审计报告（注册会计师统一监管平台申请赋码可查询）或在开标日期前六个月内其基本开户银行出具的资信证明。</w:t>
      </w:r>
    </w:p>
    <w:p>
      <w:pPr>
        <w:pStyle w:val="null3"/>
      </w:pPr>
      <w:r>
        <w:rPr>
          <w:rFonts w:ascii="仿宋_GB2312" w:hAnsi="仿宋_GB2312" w:cs="仿宋_GB2312" w:eastAsia="仿宋_GB2312"/>
        </w:rPr>
        <w:t>5、无重大违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授权书：非法定代表人参加投标的，须提供法定代表人委托授权书及被授权人身份证及被授权人开标前六个月内任意一个月（不含开标当月）在本公司缴纳的社保证明；法定代表人参加投标时,须提供法定代表人身份证明书。</w:t>
      </w:r>
    </w:p>
    <w:p>
      <w:pPr>
        <w:pStyle w:val="null3"/>
      </w:pPr>
      <w:r>
        <w:rPr>
          <w:rFonts w:ascii="仿宋_GB2312" w:hAnsi="仿宋_GB2312" w:cs="仿宋_GB2312" w:eastAsia="仿宋_GB2312"/>
        </w:rPr>
        <w:t>7、非联合体声明：本项目不接受联合体谈判。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说明：1、履约保证金待合同履约完毕后无息退还。 2、缴纳履约保证金时须注明项目编号及用途(履约保证金)。 西安邮电大学履约保证金账号： 户名：西安邮电大学 账号：61001723700050000897 行名：中国建设银行西安汇轩路支行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代理服务费收费标准：按照国家计委关于印发《招标代理服务收费管理暂行办法的通知》（计价格[2002]1980号）的收费标准收取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智慧物流与智能仿真实验平台项目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智慧物流与智能仿真实验平台项目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标的名称：智慧物流与智能仿真实验平台项目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3"/>
              <w:gridCol w:w="161"/>
              <w:gridCol w:w="202"/>
              <w:gridCol w:w="304"/>
              <w:gridCol w:w="391"/>
              <w:gridCol w:w="1285"/>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pPr>
                  <w:r>
                    <w:rPr>
                      <w:rFonts w:ascii="仿宋_GB2312" w:hAnsi="仿宋_GB2312" w:cs="仿宋_GB2312" w:eastAsia="仿宋_GB2312"/>
                      <w:sz w:val="19"/>
                    </w:rPr>
                    <w:t>序号</w:t>
                  </w:r>
                </w:p>
              </w:tc>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pPr>
                  <w:r>
                    <w:rPr>
                      <w:rFonts w:ascii="仿宋_GB2312" w:hAnsi="仿宋_GB2312" w:cs="仿宋_GB2312" w:eastAsia="仿宋_GB2312"/>
                      <w:sz w:val="19"/>
                    </w:rPr>
                    <w:t>参数性质</w:t>
                  </w:r>
                </w:p>
              </w:tc>
              <w:tc>
                <w:tcPr>
                  <w:tcW w:type="dxa" w:w="89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评价项目</w:t>
                  </w:r>
                </w:p>
              </w:tc>
              <w:tc>
                <w:tcPr>
                  <w:tcW w:type="dxa" w:w="1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3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供应链物流运营软件</w:t>
                  </w:r>
                  <w:r>
                    <w:rPr>
                      <w:rFonts w:ascii="仿宋_GB2312" w:hAnsi="仿宋_GB2312" w:cs="仿宋_GB2312" w:eastAsia="仿宋_GB2312"/>
                      <w:sz w:val="19"/>
                      <w:b/>
                    </w:rPr>
                    <w:t>技术参数要求</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.1</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left"/>
                  </w:pPr>
                  <w:r>
                    <w:rPr>
                      <w:rFonts w:ascii="仿宋_GB2312" w:hAnsi="仿宋_GB2312" w:cs="仿宋_GB2312" w:eastAsia="仿宋_GB2312"/>
                      <w:sz w:val="20"/>
                      <w:b/>
                    </w:rPr>
                    <w:t>能力训练实践载体功能</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大数据看板</w:t>
                  </w:r>
                </w:p>
                <w:p>
                  <w:pPr>
                    <w:pStyle w:val="null3"/>
                  </w:pPr>
                </w:p>
              </w:tc>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综合看板</w:t>
                  </w:r>
                </w:p>
              </w:tc>
              <w:tc>
                <w:tcPr>
                  <w:tcW w:type="dxa" w:w="1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以看板形式展现产业链生态及行业企业数据详情；桑基图展示产业链供应链合作关系；展示市场供需曲线；展示企业投资回报率、市场占有率、准时交货率等实时运营数据。</w:t>
                  </w:r>
                  <w:r>
                    <w:rPr>
                      <w:rFonts w:ascii="仿宋_GB2312" w:hAnsi="仿宋_GB2312" w:cs="仿宋_GB2312" w:eastAsia="仿宋_GB2312"/>
                      <w:sz w:val="20"/>
                      <w:b/>
                    </w:rPr>
                    <w:t>须</w:t>
                  </w:r>
                  <w:r>
                    <w:rPr>
                      <w:rFonts w:ascii="仿宋_GB2312" w:hAnsi="仿宋_GB2312" w:cs="仿宋_GB2312" w:eastAsia="仿宋_GB2312"/>
                      <w:sz w:val="20"/>
                      <w:b/>
                    </w:rPr>
                    <w:t>提供技术功能证明材料不限于软件功能界面截图、检测报告、产品彩页或者厂家技术白皮书等</w:t>
                  </w:r>
                  <w:r>
                    <w:rPr>
                      <w:rFonts w:ascii="仿宋_GB2312" w:hAnsi="仿宋_GB2312" w:cs="仿宋_GB2312" w:eastAsia="仿宋_GB2312"/>
                      <w:sz w:val="20"/>
                      <w:b/>
                    </w:rPr>
                    <w:t>。</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p>
                  <w:pPr>
                    <w:pStyle w:val="null3"/>
                  </w:pP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产业数据</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市场规模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查看市场产品总需求、本任务开放城市、市场规模及开放城市分布位置等数据。</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产品需求</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查看产品需求、需求趋势、历史需求可视图形、城市占比及产品市场需求数据。</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消费者分析</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查看消费者需求画像及产品创新发展路线。</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分类需求</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查看产品需求量和占比情况。</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竞争信息</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排行榜</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分别从投资回报率、准时交货率、库存周转率、市场占有率对经营企业进行排名展示。</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机会</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查看全国及开放市场的需求量及企业数量。</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竞争企业</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显示本任务里所有企业的数量、角色、分布位置等信息。</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我的企业</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企业建设</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可选择建设企业类型，支持供应链物流企业类型建设，支持多种企业规模、多个城市建设。</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集团信息</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查询企业详细信息、企业分布、人员信息、供应链战略匹配、供应链成本</w:t>
                  </w:r>
                  <w:r>
                    <w:rPr>
                      <w:rFonts w:ascii="仿宋_GB2312" w:hAnsi="仿宋_GB2312" w:cs="仿宋_GB2312" w:eastAsia="仿宋_GB2312"/>
                      <w:sz w:val="20"/>
                    </w:rPr>
                    <w:t>-响应性曲线、集团收支信息等。</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运营监控</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运营看板</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查看企业收支信息、销售信息、库存信息、采购生产信息等数据。</w:t>
                  </w:r>
                </w:p>
                <w:p>
                  <w:pPr>
                    <w:pStyle w:val="null3"/>
                    <w:jc w:val="both"/>
                  </w:pP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警报看板</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显示运营中出现的异常状态信息，辅助及时发现问题。</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数字孪生</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数字孪生</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实时显示有合作关系的所有上下游企业信息；可查看企业状态、盈利、库存、供应链网络、供应商、警报看板、订单、销售等运营实时数据。</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02"/>
                  <w:vMerge/>
                  <w:tcBorders>
                    <w:top w:val="single" w:color="000000" w:sz="4"/>
                    <w:left w:val="single" w:color="000000" w:sz="4"/>
                    <w:bottom w:val="single" w:color="000000" w:sz="4"/>
                    <w:right w:val="single" w:color="000000" w:sz="4"/>
                  </w:tcBorders>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需求预测</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需求预测</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提供五种预测方法和对应不同数据；学生根据数据特征选择合适预测方法和数据源，系统自动计算预测结果；图形展示日需求和月需求情况。</w:t>
                  </w:r>
                  <w:r>
                    <w:rPr>
                      <w:rFonts w:ascii="仿宋_GB2312" w:hAnsi="仿宋_GB2312" w:cs="仿宋_GB2312" w:eastAsia="仿宋_GB2312"/>
                      <w:sz w:val="20"/>
                      <w:b/>
                    </w:rPr>
                    <w:t>须</w:t>
                  </w:r>
                  <w:r>
                    <w:rPr>
                      <w:rFonts w:ascii="仿宋_GB2312" w:hAnsi="仿宋_GB2312" w:cs="仿宋_GB2312" w:eastAsia="仿宋_GB2312"/>
                      <w:sz w:val="20"/>
                      <w:b/>
                    </w:rPr>
                    <w:t>提供技术功能证明材料不限于软件功能界面截图、检测报告、产品彩页或者厂家技术白皮书等</w:t>
                  </w:r>
                  <w:r>
                    <w:rPr>
                      <w:rFonts w:ascii="仿宋_GB2312" w:hAnsi="仿宋_GB2312" w:cs="仿宋_GB2312" w:eastAsia="仿宋_GB2312"/>
                      <w:sz w:val="20"/>
                      <w:b/>
                    </w:rPr>
                    <w:t>。</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02"/>
                  <w:vMerge/>
                  <w:tcBorders>
                    <w:top w:val="single" w:color="000000" w:sz="4"/>
                    <w:left w:val="single" w:color="000000" w:sz="4"/>
                    <w:bottom w:val="single" w:color="000000" w:sz="4"/>
                    <w:right w:val="single" w:color="000000" w:sz="4"/>
                  </w:tcBorders>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S&amp;OP</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S&amp;OP</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包含需求计划、实际需求、差异度、供应计划、实际供应、差异度、仓储能力需求、总仓储能力、仓储利用率、运输能力需求、总运输能力、运力利用率等；可做出以数据为基础的经营决策。</w:t>
                  </w:r>
                  <w:r>
                    <w:rPr>
                      <w:rFonts w:ascii="仿宋_GB2312" w:hAnsi="仿宋_GB2312" w:cs="仿宋_GB2312" w:eastAsia="仿宋_GB2312"/>
                      <w:sz w:val="20"/>
                      <w:b/>
                    </w:rPr>
                    <w:t>须</w:t>
                  </w:r>
                  <w:r>
                    <w:rPr>
                      <w:rFonts w:ascii="仿宋_GB2312" w:hAnsi="仿宋_GB2312" w:cs="仿宋_GB2312" w:eastAsia="仿宋_GB2312"/>
                      <w:sz w:val="20"/>
                      <w:b/>
                    </w:rPr>
                    <w:t>提供技术功能证明材料不限于软件功能界面截图、检测报告、产品彩页或者厂家技术白皮书等</w:t>
                  </w:r>
                  <w:r>
                    <w:rPr>
                      <w:rFonts w:ascii="仿宋_GB2312" w:hAnsi="仿宋_GB2312" w:cs="仿宋_GB2312" w:eastAsia="仿宋_GB2312"/>
                      <w:sz w:val="20"/>
                      <w:b/>
                    </w:rPr>
                    <w:t>。</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销售管理</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市场调研</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按产品查询在商业市场的份额、准时交货率、品牌影响力等指标。</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仓库营销管理</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接受仓储合同并对销售合同进行管理。</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仓储销售</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设定仓储报价，查看仓库销售数据及计划。</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运输营销管理</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维护运输销售合同，管理运输销售合同及订单列表。</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运输销售</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设定运输线路报价，查看运输销售数据及计划。</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1.10</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物流设备采购</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设备采购</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采购不同型号车辆，设定车辆分配模式。</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1.11</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运输管理</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运输线路</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开辟物流运输线路，选择运输类型和车辆分配类型，查看运输线路分布图。</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运输计划</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导入导出车辆运输计划，查看线路、客户和运输计划详情。</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1.12</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仓库管理</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库存计划</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设定仓储出入库计划，查看仓库能力信息、仓库信息统计图表等数据。</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出入库能力计划</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设定出入库能力计划值。</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仓库综合信息</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通过对库容、员工、加班情况的管理调整库容和出入库能力，使仓库满足出入库要求。</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1.13</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财务管理</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集团财务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查看集团现金余额，以及历史的收入、支出和利润情况。</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分公司财务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分别展示集团下不同公司的历史收入支出及利润情况。</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融资贷款</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支持进行贷款操作。</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财务报表</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系统根据运营数据生成每个月的资产负债表及损益表。</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财务计划</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按月查询期初现金、企业建设、采购、库存成本、运输成本、运营成本、连锁店经营成本、渠道销售等费用明细，掌控财务资金计划，严控风险。</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1.14</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02"/>
                  <w:vMerge/>
                  <w:tcBorders>
                    <w:top w:val="singl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大数据分析</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图形与编排</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搭载物流大数据分析平台；提供柱状图、折线图、堆叠图、饼图、雷达图、散点图等基本统计图形；支持可视化编排叠加布局和紧凑布局方式；提供标尺、页面缩放等辅助工具进行精确布局；实现全拖拽式图形化编排，通过简单拖拽、配置完成数据分析呈现过程。</w:t>
                  </w:r>
                  <w:r>
                    <w:rPr>
                      <w:rFonts w:ascii="仿宋_GB2312" w:hAnsi="仿宋_GB2312" w:cs="仿宋_GB2312" w:eastAsia="仿宋_GB2312"/>
                      <w:sz w:val="20"/>
                      <w:b/>
                    </w:rPr>
                    <w:t>须</w:t>
                  </w:r>
                  <w:r>
                    <w:rPr>
                      <w:rFonts w:ascii="仿宋_GB2312" w:hAnsi="仿宋_GB2312" w:cs="仿宋_GB2312" w:eastAsia="仿宋_GB2312"/>
                      <w:sz w:val="20"/>
                      <w:b/>
                    </w:rPr>
                    <w:t>提供技术功能证明材料不限于软件功能界面截图、检测报告、产品彩页或者厂家技术白皮书等</w:t>
                  </w:r>
                  <w:r>
                    <w:rPr>
                      <w:rFonts w:ascii="仿宋_GB2312" w:hAnsi="仿宋_GB2312" w:cs="仿宋_GB2312" w:eastAsia="仿宋_GB2312"/>
                      <w:sz w:val="20"/>
                      <w:b/>
                    </w:rPr>
                    <w:t>。</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动态数据</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提供客户数据、产品数据、历史数据、我的企业运营数据、企业经营数据。</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1.15</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数字化教学实施功能</w:t>
                  </w: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教学活动</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沙盘仿真任务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系统支持融合仿真运营实践项目开展，支持课程实践环节引用仿真项目，直接进入仿真虚拟环境进行仿真运营。</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课堂测验</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支持电子答卷或仿真技能作业等灵活多样的随堂测验。</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课外作业</w:t>
                  </w:r>
                  <w:r>
                    <w:rPr>
                      <w:rFonts w:ascii="仿宋_GB2312" w:hAnsi="仿宋_GB2312" w:cs="仿宋_GB2312" w:eastAsia="仿宋_GB2312"/>
                      <w:sz w:val="19"/>
                    </w:rPr>
                    <w:t>/任务</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支持课后作业在线布置，作业形式多样。</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作业</w:t>
                  </w:r>
                  <w:r>
                    <w:rPr>
                      <w:rFonts w:ascii="仿宋_GB2312" w:hAnsi="仿宋_GB2312" w:cs="仿宋_GB2312" w:eastAsia="仿宋_GB2312"/>
                      <w:sz w:val="19"/>
                    </w:rPr>
                    <w:t>/作品提交</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支持对每一项课外作业进行管理，提交形式包括文档和压缩文件等。</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话题讨论</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支持课内、课外话题讨论，可设置有效时间。</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1.16</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02"/>
                  <w:vMerge/>
                  <w:tcBorders>
                    <w:top w:val="non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教学资源</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项目化任务案例</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每个教学项目任务均有多个企业案例，包括任务书、任务数据。</w:t>
                  </w:r>
                  <w:r>
                    <w:rPr>
                      <w:rFonts w:ascii="仿宋_GB2312" w:hAnsi="仿宋_GB2312" w:cs="仿宋_GB2312" w:eastAsia="仿宋_GB2312"/>
                      <w:sz w:val="20"/>
                      <w:b/>
                    </w:rPr>
                    <w:t>须</w:t>
                  </w:r>
                  <w:r>
                    <w:rPr>
                      <w:rFonts w:ascii="仿宋_GB2312" w:hAnsi="仿宋_GB2312" w:cs="仿宋_GB2312" w:eastAsia="仿宋_GB2312"/>
                      <w:sz w:val="20"/>
                      <w:b/>
                    </w:rPr>
                    <w:t>提供技术功能证明材料不限于软件功能界面截图、检测报告、产品彩页或者厂家技术白皮书等</w:t>
                  </w:r>
                  <w:r>
                    <w:rPr>
                      <w:rFonts w:ascii="仿宋_GB2312" w:hAnsi="仿宋_GB2312" w:cs="仿宋_GB2312" w:eastAsia="仿宋_GB2312"/>
                      <w:sz w:val="20"/>
                      <w:b/>
                    </w:rPr>
                    <w:t>。</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视频资源</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包含方案设计讲解视频和软件操作视频。</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知识链接</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提供与任务相对应的理论知识链接，老师可在后台自行上传。</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考核测验题库</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支持单选、多选、判断、连线、排序、表格与填空等题型；可用于课堂互动及课外测验。</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方案设计模版库</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提供方案设计模版库。</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个性化资源管理</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支持上传及管理文本内容、文档（</w:t>
                  </w:r>
                  <w:r>
                    <w:rPr>
                      <w:rFonts w:ascii="仿宋_GB2312" w:hAnsi="仿宋_GB2312" w:cs="仿宋_GB2312" w:eastAsia="仿宋_GB2312"/>
                      <w:sz w:val="20"/>
                    </w:rPr>
                    <w:t>WORD/PPT/PDF）、视频与音频文件、FLASH、图片、外部链接及压缩包等。</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1.17</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non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教学步骤</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任务描述</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说明本任务的内容要求和方法要求。</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知识与技能</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讲解完成任务所需要的相关理论知识等。</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方案设计与实施</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通过对任务分析、数据运算等方法制定方案设计，并根据方案进行仿真模拟实施</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评价总结</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教师依据评价标准对学生进行点评，学生对任务完成情况进行总结，形成总结报告。</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1.18</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non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教学模式</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平台管理</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基于数字化教学管理平台，全程对教学过程进行管理、记录与分析；支持移动端或电脑端开展教学活动；支持混合式、合作式、体验式、探究式等教学。</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作业管理</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支持线上作业布置与管理，客观题目提交后系统自动批改，可给出正确答案与答案解析。</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1.19</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智能化多元测评功能</w:t>
                  </w: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综合评价</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过程性与终结性评价</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系统对教与学整个过程进行记录并进行综合评价，支持过程性与终结性评价设置。</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权重配置</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支持个性化配置教学资源学习、课堂测验、作业、仿真实验实训等各分部权重。</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仿真评分</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支持仿真任务评分成绩与设定，包括投资回报率、市场占有率、库存周转率、准时交货率等，各权重值可个性化配置。</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non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评价项目</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成绩评价</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包含作业得分、作品得分、测验得分、方案得分、仿真得分及综合得分。</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自动评分</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仿真实验实训提供系统自动打分。</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学习轨迹</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系统对课程中学习时间、完成操作次数等进行记录，作为学情数据管理。</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1.21</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non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职业能力测评</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测评模型</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依据</w:t>
                  </w:r>
                  <w:r>
                    <w:rPr>
                      <w:rFonts w:ascii="仿宋_GB2312" w:hAnsi="仿宋_GB2312" w:cs="仿宋_GB2312" w:eastAsia="仿宋_GB2312"/>
                      <w:sz w:val="20"/>
                    </w:rPr>
                    <w:t>COMET职业能力测评模型，以典型工作任务作为考题，对学习者功能性能力、过程能力与设计能力等方面进行评价。</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测评范围</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覆盖过程性与终结性考核，包括测验、作业、方案设计、仿真实施等。</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报告导出</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系统支持导出测评报告。</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能力指标</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能力模型包含：直观性</w:t>
                  </w:r>
                  <w:r>
                    <w:rPr>
                      <w:rFonts w:ascii="仿宋_GB2312" w:hAnsi="仿宋_GB2312" w:cs="仿宋_GB2312" w:eastAsia="仿宋_GB2312"/>
                      <w:sz w:val="20"/>
                    </w:rPr>
                    <w:t>/展示(K1)、功能性(K2)、使用价值导向(K3)、经济性(K4)、工作过程与生产流程导向(K5)、社会接受度(K6)、环保性(K7)、创造性(K8)。</w:t>
                  </w:r>
                </w:p>
              </w:tc>
            </w:tr>
            <w:tr>
              <w:tc>
                <w:tcPr>
                  <w:tcW w:type="dxa" w:w="1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1.22</w:t>
                  </w:r>
                </w:p>
              </w:tc>
              <w:tc>
                <w:tcPr>
                  <w:tcW w:type="dxa" w:w="1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vMerge/>
                  <w:tcBorders>
                    <w:top w:val="none" w:color="000000" w:sz="4"/>
                    <w:left w:val="single" w:color="000000" w:sz="4"/>
                    <w:bottom w:val="single" w:color="000000" w:sz="4"/>
                    <w:right w:val="single" w:color="000000" w:sz="4"/>
                  </w:tcBorders>
                </w:tcPr>
                <w:p/>
              </w:tc>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教学诊断</w:t>
                  </w: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学情分析</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分析教学项目中仿真教学、方案设计及测验完成情况、重难点及成绩情况。</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课程报告</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可查看课程报告、能力报告及课堂报告。</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教学诊断</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统计并分析课程成绩比较、学习效率分析、学习态度分析及个人成绩分析。</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大数据平台</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统计所有课程上课情况，包括课程完成度、成绩综合对比、职业能力对比、课程访问情况、学习资源使用情况等。</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教学督导</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图形化横向展示同一课程下不同教师教学情况，纵向展示同一教师本届与历史教学成绩对比。</w:t>
                  </w:r>
                </w:p>
              </w:tc>
            </w:tr>
            <w:tr>
              <w:tc>
                <w:tcPr>
                  <w:tcW w:type="dxa" w:w="193"/>
                  <w:vMerge/>
                  <w:tcBorders>
                    <w:top w:val="none" w:color="000000" w:sz="4"/>
                    <w:left w:val="single" w:color="000000" w:sz="4"/>
                    <w:bottom w:val="single" w:color="000000" w:sz="4"/>
                    <w:right w:val="single" w:color="000000" w:sz="4"/>
                  </w:tcBorders>
                </w:tcPr>
                <w:p/>
              </w:tc>
              <w:tc>
                <w:tcPr>
                  <w:tcW w:type="dxa" w:w="161"/>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c>
                <w:tcPr>
                  <w:tcW w:type="dxa" w:w="304"/>
                  <w:vMerge/>
                  <w:tcBorders>
                    <w:top w:val="none" w:color="000000" w:sz="4"/>
                    <w:left w:val="single" w:color="000000" w:sz="4"/>
                    <w:bottom w:val="single" w:color="000000" w:sz="4"/>
                    <w:right w:val="single" w:color="000000" w:sz="4"/>
                  </w:tcBorders>
                </w:tcPr>
                <w:p/>
              </w:tc>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教学成果</w:t>
                  </w: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展示课程教学数据、互联网评价及团体能力报告。</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服务器参数要求</w:t>
                  </w:r>
                </w:p>
                <w:p>
                  <w:pPr>
                    <w:pStyle w:val="null3"/>
                  </w:p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1、规格：2U机架式，含摩擦导轨</w:t>
                  </w:r>
                </w:p>
                <w:p>
                  <w:pPr>
                    <w:pStyle w:val="null3"/>
                    <w:jc w:val="both"/>
                  </w:pPr>
                  <w:r>
                    <w:rPr>
                      <w:rFonts w:ascii="仿宋_GB2312" w:hAnsi="仿宋_GB2312" w:cs="仿宋_GB2312" w:eastAsia="仿宋_GB2312"/>
                      <w:sz w:val="20"/>
                    </w:rPr>
                    <w:t>2、处理器：配置不低于16核，不低于32线程</w:t>
                  </w:r>
                </w:p>
                <w:p>
                  <w:pPr>
                    <w:pStyle w:val="null3"/>
                    <w:jc w:val="both"/>
                  </w:pPr>
                  <w:r>
                    <w:rPr>
                      <w:rFonts w:ascii="仿宋_GB2312" w:hAnsi="仿宋_GB2312" w:cs="仿宋_GB2312" w:eastAsia="仿宋_GB2312"/>
                      <w:sz w:val="20"/>
                    </w:rPr>
                    <w:t>3、内存：容量不低于64GB 的DDR4/DDR5 ECC</w:t>
                  </w:r>
                  <w:r>
                    <w:rPr>
                      <w:rFonts w:ascii="仿宋_GB2312" w:hAnsi="仿宋_GB2312" w:cs="仿宋_GB2312" w:eastAsia="仿宋_GB2312"/>
                      <w:sz w:val="20"/>
                    </w:rPr>
                    <w:t>内存</w:t>
                  </w:r>
                </w:p>
                <w:p>
                  <w:pPr>
                    <w:pStyle w:val="null3"/>
                    <w:jc w:val="both"/>
                  </w:pPr>
                  <w:r>
                    <w:rPr>
                      <w:rFonts w:ascii="仿宋_GB2312" w:hAnsi="仿宋_GB2312" w:cs="仿宋_GB2312" w:eastAsia="仿宋_GB2312"/>
                      <w:sz w:val="20"/>
                    </w:rPr>
                    <w:t>4、RAID卡：配置S610-8i Raid卡或同等性能八通道RAID卡</w:t>
                  </w:r>
                </w:p>
                <w:p>
                  <w:pPr>
                    <w:pStyle w:val="null3"/>
                    <w:jc w:val="both"/>
                  </w:pPr>
                  <w:r>
                    <w:rPr>
                      <w:rFonts w:ascii="仿宋_GB2312" w:hAnsi="仿宋_GB2312" w:cs="仿宋_GB2312" w:eastAsia="仿宋_GB2312"/>
                      <w:sz w:val="20"/>
                    </w:rPr>
                    <w:t>5、网络接口：不低于2张双口10G SFP+网卡（含相应光模块）</w:t>
                  </w:r>
                </w:p>
                <w:p>
                  <w:pPr>
                    <w:pStyle w:val="null3"/>
                    <w:jc w:val="both"/>
                  </w:pPr>
                  <w:r>
                    <w:rPr>
                      <w:rFonts w:ascii="仿宋_GB2312" w:hAnsi="仿宋_GB2312" w:cs="仿宋_GB2312" w:eastAsia="仿宋_GB2312"/>
                      <w:sz w:val="20"/>
                    </w:rPr>
                    <w:t>6、硬盘：容量不低于1T的SATA SSD固态硬盘</w:t>
                  </w:r>
                </w:p>
                <w:p>
                  <w:pPr>
                    <w:pStyle w:val="null3"/>
                    <w:jc w:val="both"/>
                  </w:pPr>
                  <w:r>
                    <w:rPr>
                      <w:rFonts w:ascii="仿宋_GB2312" w:hAnsi="仿宋_GB2312" w:cs="仿宋_GB2312" w:eastAsia="仿宋_GB2312"/>
                      <w:sz w:val="20"/>
                    </w:rPr>
                    <w:t>7、电源：配置至少2个800W冗余电源（含电源线）</w:t>
                  </w:r>
                </w:p>
                <w:p>
                  <w:pPr>
                    <w:pStyle w:val="null3"/>
                    <w:jc w:val="both"/>
                  </w:pPr>
                  <w:r>
                    <w:rPr>
                      <w:rFonts w:ascii="仿宋_GB2312" w:hAnsi="仿宋_GB2312" w:cs="仿宋_GB2312" w:eastAsia="仿宋_GB2312"/>
                      <w:sz w:val="20"/>
                    </w:rPr>
                    <w:t>8、保修服务：提供原厂三年保修服务。</w:t>
                  </w:r>
                  <w:r>
                    <w:br/>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8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配套要求</w:t>
                  </w:r>
                </w:p>
                <w:p>
                  <w:pPr>
                    <w:pStyle w:val="null3"/>
                  </w:pPr>
                </w:p>
              </w:tc>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b/>
                    </w:rPr>
                    <w:t>教材要求</w:t>
                  </w:r>
                  <w:r>
                    <w:rPr>
                      <w:rFonts w:ascii="仿宋_GB2312" w:hAnsi="仿宋_GB2312" w:cs="仿宋_GB2312" w:eastAsia="仿宋_GB2312"/>
                      <w:sz w:val="20"/>
                    </w:rPr>
                    <w:t>：投标人须提供包含教学内容的理实一体化教材，要求每一个实验项目具有详细开展步骤截图。结果公告发布之后中标单位单独提供纸质版。</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b/>
                    </w:rPr>
                    <w:t>性能要求</w:t>
                  </w:r>
                  <w:r>
                    <w:rPr>
                      <w:rFonts w:ascii="仿宋_GB2312" w:hAnsi="仿宋_GB2312" w:cs="仿宋_GB2312" w:eastAsia="仿宋_GB2312"/>
                      <w:sz w:val="20"/>
                    </w:rPr>
                    <w:t>：软件须支持同时在线并发数不少于</w:t>
                  </w:r>
                  <w:r>
                    <w:rPr>
                      <w:rFonts w:ascii="仿宋_GB2312" w:hAnsi="仿宋_GB2312" w:cs="仿宋_GB2312" w:eastAsia="仿宋_GB2312"/>
                      <w:sz w:val="20"/>
                    </w:rPr>
                    <w:t>100人。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其他，验收合格后，凭成交供应商开具全额增值税专用发票，达到付款条件起10个工作日内，支付合同总金额的100.0%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硬件设备自验收合格之日起3年，软件自验收合格之日起3年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10、《陕西省财政厅关于加快推进我省中小企业政府采购信用融资工作的通知》（陕财办采〔2020〕15号）、关于印发《陕西省中小企业政府采购信用融资办法》（陕财办采〔2018〕23号）。 11、财政部关于进一步加大政府采购支持中小企业力度的通知（财库﹝2022﹞19号）。12、《关于在政府采购中实施本国产品标准及相关政策的通知 》（国办发〔2025〕34号） 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关于符合本国产品标准的声明函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须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提供经会计师事务所审计的2024年或2025年任意一年的财务审计报告（注册会计师统一监管平台申请赋码可查询）或在开标日期前六个月内其基本开户银行出具的资信证明。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及被授权人开标前六个月内任意一个月（不含开标当月）在本公司缴纳的社保证明；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02供应商资格证明资料.docx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01分项报价表.docx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01分项报价表.docx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响应文件封面 08投标保证金缴纳凭证.docx 06供应商承诺书.docx 03商务和技术响应偏离表.docx 07供应商业绩一览表.docx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08投标保证金缴纳凭证.docx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其他商务条款及技术要求</w:t>
            </w:r>
          </w:p>
        </w:tc>
        <w:tc>
          <w:tcPr>
            <w:tcW w:type="dxa" w:w="3322"/>
          </w:tcPr>
          <w:p>
            <w:pPr>
              <w:pStyle w:val="null3"/>
            </w:pPr>
            <w:r>
              <w:rPr>
                <w:rFonts w:ascii="仿宋_GB2312" w:hAnsi="仿宋_GB2312" w:cs="仿宋_GB2312" w:eastAsia="仿宋_GB2312"/>
              </w:rPr>
              <w:t>是否符合采购文件要求</w:t>
            </w:r>
          </w:p>
        </w:tc>
        <w:tc>
          <w:tcPr>
            <w:tcW w:type="dxa" w:w="1661"/>
          </w:tcPr>
          <w:p>
            <w:pPr>
              <w:pStyle w:val="null3"/>
            </w:pPr>
            <w:r>
              <w:rPr>
                <w:rFonts w:ascii="仿宋_GB2312" w:hAnsi="仿宋_GB2312" w:cs="仿宋_GB2312" w:eastAsia="仿宋_GB2312"/>
              </w:rPr>
              <w:t>04技术支持资料及实施方案.docx 05供应商认为有必要说明的其他问题.docx 03商务和技术响应偏离表.docx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03商务和技术响应偏离表.docx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详见附件：03商务和技术响应偏离表.docx</w:t>
      </w:r>
    </w:p>
    <w:p>
      <w:pPr>
        <w:pStyle w:val="null3"/>
        <w:ind w:firstLine="960"/>
      </w:pPr>
      <w:r>
        <w:rPr>
          <w:rFonts w:ascii="仿宋_GB2312" w:hAnsi="仿宋_GB2312" w:cs="仿宋_GB2312" w:eastAsia="仿宋_GB2312"/>
        </w:rPr>
        <w:t>详见附件：04技术支持资料及实施方案.docx</w:t>
      </w:r>
    </w:p>
    <w:p>
      <w:pPr>
        <w:pStyle w:val="null3"/>
        <w:ind w:firstLine="960"/>
      </w:pPr>
      <w:r>
        <w:rPr>
          <w:rFonts w:ascii="仿宋_GB2312" w:hAnsi="仿宋_GB2312" w:cs="仿宋_GB2312" w:eastAsia="仿宋_GB2312"/>
        </w:rPr>
        <w:t>详见附件：05供应商认为有必要说明的其他问题.docx</w:t>
      </w:r>
    </w:p>
    <w:p>
      <w:pPr>
        <w:pStyle w:val="null3"/>
        <w:ind w:firstLine="960"/>
      </w:pPr>
      <w:r>
        <w:rPr>
          <w:rFonts w:ascii="仿宋_GB2312" w:hAnsi="仿宋_GB2312" w:cs="仿宋_GB2312" w:eastAsia="仿宋_GB2312"/>
        </w:rPr>
        <w:t>详见附件：06供应商承诺书.docx</w:t>
      </w:r>
    </w:p>
    <w:p>
      <w:pPr>
        <w:pStyle w:val="null3"/>
        <w:ind w:firstLine="960"/>
      </w:pPr>
      <w:r>
        <w:rPr>
          <w:rFonts w:ascii="仿宋_GB2312" w:hAnsi="仿宋_GB2312" w:cs="仿宋_GB2312" w:eastAsia="仿宋_GB2312"/>
        </w:rPr>
        <w:t>详见附件：07供应商业绩一览表.docx</w:t>
      </w:r>
    </w:p>
    <w:p>
      <w:pPr>
        <w:pStyle w:val="null3"/>
        <w:ind w:firstLine="960"/>
      </w:pPr>
      <w:r>
        <w:rPr>
          <w:rFonts w:ascii="仿宋_GB2312" w:hAnsi="仿宋_GB2312" w:cs="仿宋_GB2312" w:eastAsia="仿宋_GB2312"/>
        </w:rPr>
        <w:t>详见附件：08投标保证金缴纳凭证.docx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