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0FD46">
      <w:pPr>
        <w:adjustRightInd w:val="0"/>
        <w:snapToGrid w:val="0"/>
        <w:rPr>
          <w:rFonts w:hint="eastAsia" w:ascii="仿宋" w:hAnsi="仿宋" w:eastAsia="仿宋" w:cs="方正仿宋_GB2312"/>
          <w:color w:val="000000"/>
          <w:sz w:val="24"/>
        </w:rPr>
      </w:pPr>
    </w:p>
    <w:p w14:paraId="71FFF950">
      <w:pPr>
        <w:adjustRightInd w:val="0"/>
        <w:snapToGrid w:val="0"/>
        <w:jc w:val="center"/>
        <w:rPr>
          <w:rFonts w:hint="eastAsia" w:ascii="仿宋" w:hAnsi="仿宋" w:eastAsia="仿宋" w:cs="方正仿宋_GB2312"/>
          <w:b/>
          <w:color w:val="000000"/>
          <w:sz w:val="24"/>
        </w:rPr>
      </w:pPr>
      <w:r>
        <w:rPr>
          <w:rFonts w:hint="eastAsia" w:ascii="仿宋" w:hAnsi="仿宋" w:eastAsia="仿宋" w:cs="方正仿宋_GB2312"/>
          <w:b/>
          <w:color w:val="000000"/>
          <w:sz w:val="24"/>
        </w:rPr>
        <w:t>[  ]技术业务服务合同</w:t>
      </w:r>
    </w:p>
    <w:p w14:paraId="61A954D2">
      <w:pPr>
        <w:adjustRightInd w:val="0"/>
        <w:snapToGrid w:val="0"/>
        <w:rPr>
          <w:rFonts w:hint="eastAsia" w:ascii="仿宋" w:hAnsi="仿宋" w:eastAsia="仿宋" w:cs="方正仿宋_GB2312"/>
          <w:color w:val="000000"/>
          <w:sz w:val="24"/>
        </w:rPr>
      </w:pPr>
    </w:p>
    <w:p w14:paraId="12388FE1">
      <w:pPr>
        <w:adjustRightInd w:val="0"/>
        <w:snapToGrid w:val="0"/>
        <w:rPr>
          <w:rFonts w:hint="eastAsia" w:ascii="仿宋" w:hAnsi="仿宋" w:eastAsia="仿宋" w:cs="方正仿宋_GB2312"/>
          <w:color w:val="000000"/>
          <w:sz w:val="24"/>
        </w:rPr>
      </w:pPr>
    </w:p>
    <w:p w14:paraId="09836BC0">
      <w:pPr>
        <w:adjustRightInd w:val="0"/>
        <w:snapToGrid w:val="0"/>
        <w:rPr>
          <w:rFonts w:hint="eastAsia" w:ascii="仿宋" w:hAnsi="仿宋" w:eastAsia="仿宋" w:cs="方正仿宋_GB2312"/>
          <w:color w:val="000000"/>
          <w:sz w:val="24"/>
        </w:rPr>
      </w:pPr>
    </w:p>
    <w:p w14:paraId="23F74DC9">
      <w:pPr>
        <w:adjustRightInd w:val="0"/>
        <w:snapToGrid w:val="0"/>
        <w:rPr>
          <w:rFonts w:hint="eastAsia" w:ascii="仿宋" w:hAnsi="仿宋" w:eastAsia="仿宋" w:cs="方正仿宋_GB2312"/>
          <w:color w:val="000000"/>
          <w:sz w:val="24"/>
        </w:rPr>
      </w:pPr>
    </w:p>
    <w:p w14:paraId="39C8355C">
      <w:pPr>
        <w:adjustRightInd w:val="0"/>
        <w:snapToGrid w:val="0"/>
        <w:rPr>
          <w:rFonts w:hint="eastAsia" w:ascii="仿宋" w:hAnsi="仿宋" w:eastAsia="仿宋" w:cs="方正仿宋_GB2312"/>
          <w:color w:val="000000"/>
          <w:sz w:val="24"/>
        </w:rPr>
      </w:pPr>
    </w:p>
    <w:p w14:paraId="3CAE3E79">
      <w:pPr>
        <w:adjustRightInd w:val="0"/>
        <w:snapToGrid w:val="0"/>
        <w:rPr>
          <w:rFonts w:hint="eastAsia" w:ascii="仿宋" w:hAnsi="仿宋" w:eastAsia="仿宋" w:cs="方正仿宋_GB2312"/>
          <w:color w:val="000000"/>
          <w:sz w:val="24"/>
          <w:u w:val="single"/>
        </w:rPr>
      </w:pPr>
      <w:r>
        <w:rPr>
          <w:rFonts w:hint="eastAsia" w:ascii="仿宋" w:hAnsi="仿宋" w:eastAsia="仿宋" w:cs="方正仿宋_GB2312"/>
          <w:color w:val="000000"/>
          <w:sz w:val="24"/>
        </w:rPr>
        <w:t xml:space="preserve">项目名称: [  ]                                               </w:t>
      </w:r>
    </w:p>
    <w:p w14:paraId="6C877DB1">
      <w:pPr>
        <w:adjustRightInd w:val="0"/>
        <w:snapToGrid w:val="0"/>
        <w:rPr>
          <w:rFonts w:hint="eastAsia" w:ascii="仿宋" w:hAnsi="仿宋" w:eastAsia="仿宋" w:cs="方正仿宋_GB2312"/>
          <w:color w:val="000000"/>
          <w:sz w:val="24"/>
          <w:u w:val="single"/>
        </w:rPr>
      </w:pPr>
      <w:r>
        <w:rPr>
          <w:rFonts w:hint="eastAsia" w:ascii="仿宋" w:hAnsi="仿宋" w:eastAsia="仿宋" w:cs="方正仿宋_GB2312"/>
          <w:color w:val="000000"/>
          <w:sz w:val="24"/>
        </w:rPr>
        <w:t xml:space="preserve">委托方(甲方): [  ]                        </w:t>
      </w:r>
    </w:p>
    <w:p w14:paraId="1E194EAA">
      <w:pPr>
        <w:adjustRightInd w:val="0"/>
        <w:snapToGrid w:val="0"/>
        <w:rPr>
          <w:rFonts w:hint="eastAsia" w:ascii="仿宋" w:hAnsi="仿宋" w:eastAsia="仿宋" w:cs="方正仿宋_GB2312"/>
          <w:color w:val="000000"/>
          <w:sz w:val="24"/>
          <w:u w:val="single"/>
        </w:rPr>
      </w:pPr>
      <w:r>
        <w:rPr>
          <w:rFonts w:hint="eastAsia" w:ascii="仿宋" w:hAnsi="仿宋" w:eastAsia="仿宋" w:cs="方正仿宋_GB2312"/>
          <w:color w:val="000000"/>
          <w:sz w:val="24"/>
        </w:rPr>
        <w:t xml:space="preserve">受托方(乙方): [  ]公司   </w:t>
      </w:r>
    </w:p>
    <w:p w14:paraId="6F0FD891">
      <w:pPr>
        <w:adjustRightInd w:val="0"/>
        <w:snapToGrid w:val="0"/>
        <w:rPr>
          <w:rFonts w:hint="eastAsia" w:ascii="仿宋" w:hAnsi="仿宋" w:eastAsia="仿宋" w:cs="方正仿宋_GB2312"/>
          <w:color w:val="000000"/>
          <w:sz w:val="24"/>
          <w:u w:val="single"/>
        </w:rPr>
      </w:pPr>
    </w:p>
    <w:p w14:paraId="79E4C744">
      <w:pPr>
        <w:adjustRightInd w:val="0"/>
        <w:snapToGrid w:val="0"/>
        <w:rPr>
          <w:rFonts w:hint="eastAsia" w:ascii="仿宋" w:hAnsi="仿宋" w:eastAsia="仿宋" w:cs="方正仿宋_GB2312"/>
          <w:color w:val="000000"/>
          <w:sz w:val="24"/>
          <w:u w:val="single"/>
        </w:rPr>
      </w:pPr>
    </w:p>
    <w:p w14:paraId="5022CC36">
      <w:pPr>
        <w:adjustRightInd w:val="0"/>
        <w:snapToGrid w:val="0"/>
        <w:rPr>
          <w:rFonts w:hint="eastAsia" w:ascii="仿宋" w:hAnsi="仿宋" w:eastAsia="仿宋" w:cs="方正仿宋_GB2312"/>
          <w:color w:val="000000"/>
          <w:sz w:val="24"/>
        </w:rPr>
      </w:pPr>
    </w:p>
    <w:p w14:paraId="26C03352">
      <w:pPr>
        <w:adjustRightInd w:val="0"/>
        <w:snapToGrid w:val="0"/>
        <w:rPr>
          <w:rFonts w:hint="eastAsia" w:ascii="仿宋" w:hAnsi="仿宋" w:eastAsia="仿宋" w:cs="方正仿宋_GB2312"/>
          <w:color w:val="000000"/>
          <w:sz w:val="24"/>
        </w:rPr>
      </w:pPr>
    </w:p>
    <w:p w14:paraId="660F98EB">
      <w:pPr>
        <w:adjustRightInd w:val="0"/>
        <w:snapToGrid w:val="0"/>
        <w:jc w:val="center"/>
        <w:rPr>
          <w:rFonts w:hint="eastAsia" w:ascii="仿宋" w:hAnsi="仿宋" w:eastAsia="仿宋" w:cs="方正仿宋_GB2312"/>
          <w:color w:val="000000"/>
          <w:sz w:val="24"/>
        </w:rPr>
      </w:pPr>
      <w:r>
        <w:rPr>
          <w:rFonts w:hint="eastAsia" w:ascii="仿宋" w:hAnsi="仿宋" w:eastAsia="仿宋" w:cs="方正仿宋_GB2312"/>
          <w:color w:val="000000"/>
          <w:sz w:val="24"/>
        </w:rPr>
        <w:t>中华人民共和国科学技术部印制</w:t>
      </w:r>
      <w:r>
        <w:rPr>
          <w:rFonts w:hint="eastAsia" w:ascii="仿宋" w:hAnsi="仿宋" w:eastAsia="仿宋" w:cs="方正仿宋_GB2312"/>
          <w:color w:val="000000"/>
          <w:sz w:val="24"/>
        </w:rPr>
        <w:br w:type="page"/>
      </w:r>
    </w:p>
    <w:p w14:paraId="23871D9C">
      <w:pPr>
        <w:adjustRightInd w:val="0"/>
        <w:snapToGrid w:val="0"/>
        <w:jc w:val="center"/>
        <w:rPr>
          <w:rFonts w:hint="eastAsia" w:ascii="仿宋" w:hAnsi="仿宋" w:eastAsia="仿宋" w:cs="方正仿宋_GB2312"/>
          <w:color w:val="000000"/>
          <w:sz w:val="24"/>
        </w:rPr>
      </w:pPr>
      <w:r>
        <w:rPr>
          <w:rFonts w:hint="eastAsia" w:ascii="仿宋" w:hAnsi="仿宋" w:eastAsia="仿宋" w:cs="方正仿宋_GB2312"/>
          <w:color w:val="000000"/>
          <w:sz w:val="24"/>
        </w:rPr>
        <w:t>填写说明</w:t>
      </w:r>
    </w:p>
    <w:p w14:paraId="6ABD32D2">
      <w:pPr>
        <w:adjustRightInd w:val="0"/>
        <w:snapToGrid w:val="0"/>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一、本合同为中华人民共和国科学技术部印制的技术服务合同示范文本，各技术合同登记机构可推介技术合同当事人参照使用。</w:t>
      </w:r>
    </w:p>
    <w:p w14:paraId="733FF289">
      <w:pPr>
        <w:adjustRightInd w:val="0"/>
        <w:snapToGrid w:val="0"/>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二、本合同适用于一方当事人（受托方）以技术知识为另一方（委托方）解决特定技术问题所订立的合同。</w:t>
      </w:r>
    </w:p>
    <w:p w14:paraId="49FAD505">
      <w:pPr>
        <w:adjustRightInd w:val="0"/>
        <w:snapToGrid w:val="0"/>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三、签约一方为多个当事人的，可按各自在合同关系中的作用等，在“委托方”、“受托方”项下（增页）分别排列为共同委托人或共同受托人。</w:t>
      </w:r>
    </w:p>
    <w:p w14:paraId="5253906A">
      <w:pPr>
        <w:adjustRightInd w:val="0"/>
        <w:snapToGrid w:val="0"/>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四、本合同未尽事项，可由当事人附页另行约定补充协议，并作为本合同的组成部分。</w:t>
      </w:r>
    </w:p>
    <w:p w14:paraId="3293ECAA">
      <w:pPr>
        <w:pStyle w:val="2"/>
        <w:adjustRightInd w:val="0"/>
        <w:snapToGrid w:val="0"/>
        <w:ind w:firstLineChars="200"/>
        <w:rPr>
          <w:rFonts w:hint="eastAsia" w:ascii="仿宋" w:hAnsi="仿宋" w:eastAsia="仿宋" w:cs="方正仿宋_GB2312"/>
          <w:color w:val="000000"/>
          <w:szCs w:val="24"/>
        </w:rPr>
      </w:pPr>
      <w:r>
        <w:rPr>
          <w:rFonts w:hint="eastAsia" w:ascii="仿宋" w:hAnsi="仿宋" w:eastAsia="仿宋" w:cs="方正仿宋_GB2312"/>
          <w:color w:val="000000"/>
          <w:szCs w:val="24"/>
        </w:rPr>
        <w:t>五、当事人使用本合同时约定无需填写的条款，应当在该条款处注明“无”等字样。</w:t>
      </w:r>
    </w:p>
    <w:p w14:paraId="248618B0">
      <w:pPr>
        <w:pStyle w:val="2"/>
        <w:adjustRightInd w:val="0"/>
        <w:snapToGrid w:val="0"/>
        <w:ind w:firstLineChars="200"/>
        <w:rPr>
          <w:rFonts w:hint="eastAsia" w:ascii="仿宋" w:hAnsi="仿宋" w:eastAsia="仿宋" w:cs="方正仿宋_GB2312"/>
          <w:color w:val="000000"/>
          <w:szCs w:val="24"/>
        </w:rPr>
      </w:pPr>
      <w:r>
        <w:rPr>
          <w:rFonts w:hint="eastAsia" w:ascii="仿宋" w:hAnsi="仿宋" w:eastAsia="仿宋" w:cs="方正仿宋_GB2312"/>
          <w:color w:val="000000"/>
          <w:szCs w:val="24"/>
        </w:rPr>
        <w:t>六、如有必要，可另行签订保密协议。</w:t>
      </w:r>
    </w:p>
    <w:p w14:paraId="19E01C0B">
      <w:pPr>
        <w:pStyle w:val="2"/>
        <w:adjustRightInd w:val="0"/>
        <w:snapToGrid w:val="0"/>
        <w:spacing w:line="360" w:lineRule="exact"/>
        <w:ind w:firstLine="0"/>
        <w:rPr>
          <w:rFonts w:hint="eastAsia" w:ascii="仿宋" w:hAnsi="仿宋" w:eastAsia="仿宋" w:cs="方正仿宋_GB2312"/>
          <w:color w:val="000000"/>
          <w:szCs w:val="24"/>
        </w:rPr>
      </w:pPr>
    </w:p>
    <w:p w14:paraId="2FDB8352">
      <w:pPr>
        <w:pStyle w:val="2"/>
        <w:adjustRightInd w:val="0"/>
        <w:snapToGrid w:val="0"/>
        <w:spacing w:line="360" w:lineRule="exact"/>
        <w:ind w:firstLine="0"/>
        <w:rPr>
          <w:rFonts w:hint="eastAsia" w:ascii="仿宋" w:hAnsi="仿宋" w:eastAsia="仿宋" w:cs="方正仿宋_GB2312"/>
          <w:color w:val="000000"/>
          <w:szCs w:val="24"/>
        </w:rPr>
      </w:pPr>
    </w:p>
    <w:p w14:paraId="68F85707">
      <w:pPr>
        <w:pStyle w:val="2"/>
        <w:adjustRightInd w:val="0"/>
        <w:snapToGrid w:val="0"/>
        <w:spacing w:line="360" w:lineRule="exact"/>
        <w:ind w:firstLine="0"/>
        <w:rPr>
          <w:rFonts w:hint="eastAsia" w:ascii="仿宋" w:hAnsi="仿宋" w:eastAsia="仿宋" w:cs="方正仿宋_GB2312"/>
          <w:color w:val="000000"/>
          <w:szCs w:val="24"/>
        </w:rPr>
      </w:pPr>
    </w:p>
    <w:p w14:paraId="0C6322B9">
      <w:pPr>
        <w:pStyle w:val="2"/>
        <w:adjustRightInd w:val="0"/>
        <w:snapToGrid w:val="0"/>
        <w:spacing w:line="360" w:lineRule="exact"/>
        <w:ind w:firstLine="0"/>
        <w:rPr>
          <w:rFonts w:hint="eastAsia" w:ascii="仿宋" w:hAnsi="仿宋" w:eastAsia="仿宋" w:cs="方正仿宋_GB2312"/>
          <w:color w:val="000000"/>
          <w:szCs w:val="24"/>
        </w:rPr>
      </w:pPr>
      <w:r>
        <w:rPr>
          <w:rFonts w:hint="eastAsia" w:ascii="仿宋" w:hAnsi="仿宋" w:eastAsia="仿宋" w:cs="方正仿宋_GB2312"/>
          <w:color w:val="000000"/>
          <w:szCs w:val="24"/>
        </w:rPr>
        <w:br w:type="page"/>
      </w:r>
    </w:p>
    <w:p w14:paraId="6E8FE8EE">
      <w:pPr>
        <w:widowControl/>
        <w:adjustRightInd w:val="0"/>
        <w:snapToGrid w:val="0"/>
        <w:spacing w:line="360" w:lineRule="exact"/>
        <w:jc w:val="center"/>
        <w:rPr>
          <w:rFonts w:hint="eastAsia" w:ascii="仿宋" w:hAnsi="仿宋" w:eastAsia="仿宋" w:cs="方正仿宋_GB2312"/>
          <w:b/>
          <w:color w:val="000000"/>
          <w:sz w:val="24"/>
        </w:rPr>
      </w:pPr>
      <w:r>
        <w:rPr>
          <w:rFonts w:hint="eastAsia" w:ascii="仿宋" w:hAnsi="仿宋" w:eastAsia="仿宋" w:cs="方正仿宋_GB2312"/>
          <w:b/>
          <w:color w:val="000000"/>
          <w:sz w:val="24"/>
        </w:rPr>
        <w:t>[  ]技术业务服务合同</w:t>
      </w:r>
    </w:p>
    <w:p w14:paraId="2732D0F7">
      <w:pPr>
        <w:pStyle w:val="2"/>
        <w:adjustRightInd w:val="0"/>
        <w:snapToGrid w:val="0"/>
        <w:spacing w:line="360" w:lineRule="exact"/>
        <w:ind w:firstLine="0"/>
        <w:jc w:val="left"/>
        <w:rPr>
          <w:rFonts w:hint="eastAsia" w:ascii="仿宋" w:hAnsi="仿宋" w:eastAsia="仿宋" w:cs="方正仿宋_GB2312"/>
          <w:color w:val="000000"/>
          <w:szCs w:val="24"/>
        </w:rPr>
      </w:pPr>
    </w:p>
    <w:p w14:paraId="77258825">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委托方（甲方）：[  ]</w:t>
      </w:r>
    </w:p>
    <w:p w14:paraId="1A7E759E">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地址：[  ]     </w:t>
      </w:r>
    </w:p>
    <w:p w14:paraId="7112EF98">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法定代表人/负责人：[  ]        </w:t>
      </w:r>
    </w:p>
    <w:p w14:paraId="6067A81F">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项目联系人：[  ]           </w:t>
      </w:r>
    </w:p>
    <w:p w14:paraId="5EC9501E">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通讯地址：[  ]                                     </w:t>
      </w:r>
    </w:p>
    <w:p w14:paraId="50A5DE38">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电    话：[  ]                             </w:t>
      </w:r>
    </w:p>
    <w:p w14:paraId="67B2C206">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电子邮箱：[  ]                                          </w:t>
      </w:r>
    </w:p>
    <w:p w14:paraId="58E8D242">
      <w:pPr>
        <w:pStyle w:val="2"/>
        <w:adjustRightInd w:val="0"/>
        <w:snapToGrid w:val="0"/>
        <w:spacing w:line="360" w:lineRule="exact"/>
        <w:ind w:firstLineChars="200"/>
        <w:jc w:val="left"/>
        <w:rPr>
          <w:rFonts w:hint="eastAsia" w:ascii="仿宋" w:hAnsi="仿宋" w:eastAsia="仿宋" w:cs="方正仿宋_GB2312"/>
          <w:color w:val="000000"/>
          <w:szCs w:val="24"/>
        </w:rPr>
      </w:pPr>
    </w:p>
    <w:p w14:paraId="6643539A">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受托方（乙方）：[  ]公司                        </w:t>
      </w:r>
    </w:p>
    <w:p w14:paraId="500B1F76">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地址：[  ]     </w:t>
      </w:r>
    </w:p>
    <w:p w14:paraId="5259469F">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法定代表人/负责人：[  ]        </w:t>
      </w:r>
    </w:p>
    <w:p w14:paraId="70EDD478">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项目联系人：[  ]           </w:t>
      </w:r>
    </w:p>
    <w:p w14:paraId="3DCAFD50">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通讯地址：[  ]                                     </w:t>
      </w:r>
    </w:p>
    <w:p w14:paraId="694E5CDE">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电    话：[  ]                           </w:t>
      </w:r>
    </w:p>
    <w:p w14:paraId="356807D1">
      <w:pPr>
        <w:pStyle w:val="2"/>
        <w:adjustRightInd w:val="0"/>
        <w:snapToGrid w:val="0"/>
        <w:spacing w:line="360" w:lineRule="exact"/>
        <w:ind w:firstLine="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xml:space="preserve">电子邮箱：[  ]                                            </w:t>
      </w:r>
    </w:p>
    <w:p w14:paraId="2B28BF40">
      <w:pPr>
        <w:pStyle w:val="2"/>
        <w:adjustRightInd w:val="0"/>
        <w:snapToGrid w:val="0"/>
        <w:spacing w:line="360" w:lineRule="exact"/>
        <w:ind w:firstLineChars="200"/>
        <w:jc w:val="left"/>
        <w:rPr>
          <w:rFonts w:hint="eastAsia" w:ascii="仿宋" w:hAnsi="仿宋" w:eastAsia="仿宋" w:cs="方正仿宋_GB2312"/>
          <w:color w:val="000000"/>
          <w:szCs w:val="24"/>
        </w:rPr>
      </w:pPr>
    </w:p>
    <w:p w14:paraId="71B13B55">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本合同甲方委托乙方就[  ]项目（“项目”）进行专项技术服务，并支付相应的技术服务报酬。双方经过平等协商，在真实、充分地表达各自意愿的基础上，根据《中华人民共和国民法典》以及相关法律法规的规定，达成如下合同，并由双方共同恪守。</w:t>
      </w:r>
    </w:p>
    <w:p w14:paraId="5EB4D60D">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第一条技术服务内容</w:t>
      </w:r>
    </w:p>
    <w:p w14:paraId="352D10C9">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1.1技术服务的目标：[  ]。</w:t>
      </w:r>
    </w:p>
    <w:p w14:paraId="4D90BFE9">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1.2技术服务的内容：[  ]。</w:t>
      </w:r>
    </w:p>
    <w:p w14:paraId="2ABCDA1D">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1.3技术服务的方式：[  ]。</w:t>
      </w:r>
    </w:p>
    <w:p w14:paraId="40D45859">
      <w:pPr>
        <w:pStyle w:val="2"/>
        <w:adjustRightInd w:val="0"/>
        <w:snapToGrid w:val="0"/>
        <w:spacing w:line="360" w:lineRule="exact"/>
        <w:ind w:firstLine="482" w:firstLineChars="200"/>
        <w:jc w:val="left"/>
        <w:rPr>
          <w:rFonts w:hint="eastAsia" w:ascii="仿宋" w:hAnsi="仿宋" w:eastAsia="仿宋" w:cs="方正仿宋_GB2312"/>
          <w:b/>
          <w:color w:val="000000"/>
          <w:szCs w:val="24"/>
        </w:rPr>
      </w:pPr>
      <w:r>
        <w:rPr>
          <w:rFonts w:hint="eastAsia" w:ascii="仿宋" w:hAnsi="仿宋" w:eastAsia="仿宋" w:cs="方正仿宋_GB2312"/>
          <w:b/>
          <w:color w:val="000000"/>
          <w:szCs w:val="24"/>
        </w:rPr>
        <w:t>第二条技术服务时间和地点</w:t>
      </w:r>
    </w:p>
    <w:p w14:paraId="731525A9">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2.1技术服务地点：[  ]。</w:t>
      </w:r>
    </w:p>
    <w:p w14:paraId="6C1D4C86">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2.2技术服务期限：[  ]。</w:t>
      </w:r>
    </w:p>
    <w:p w14:paraId="55A20E7A">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第三条甲方提供的工作条件和协作事项</w:t>
      </w:r>
    </w:p>
    <w:p w14:paraId="41A868C5">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3.1提供技术资料：[  ]。</w:t>
      </w:r>
    </w:p>
    <w:p w14:paraId="15C101BB">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3.2提供工作条件：[  ]。</w:t>
      </w:r>
    </w:p>
    <w:p w14:paraId="67B47A60">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3.3其他配合协作事项：[  ]。</w:t>
      </w:r>
    </w:p>
    <w:p w14:paraId="0136EE41">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3.4甲方提供上述技术资料、工作条件和配合协作事项的时间及方式：[  ]。</w:t>
      </w:r>
    </w:p>
    <w:p w14:paraId="3BF141D4">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第四条合同费用</w:t>
      </w:r>
    </w:p>
    <w:p w14:paraId="491ED3F3">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4.1本合同费用总额（含税价）：</w:t>
      </w:r>
      <w:bookmarkStart w:id="0" w:name="OLE_LINK2"/>
      <w:bookmarkStart w:id="1" w:name="OLE_LINK1"/>
      <w:r>
        <w:rPr>
          <w:rFonts w:hint="eastAsia" w:ascii="仿宋" w:hAnsi="仿宋" w:eastAsia="仿宋" w:cs="方正仿宋_GB2312"/>
          <w:color w:val="000000"/>
          <w:sz w:val="24"/>
        </w:rPr>
        <w:t>大写人民币[  ]，¥[  ]；其中价款为大写人民币[  ]，¥[  ]，增值税款为大写人民币[  ]，¥[  ]。</w:t>
      </w:r>
      <w:bookmarkEnd w:id="0"/>
      <w:bookmarkEnd w:id="1"/>
    </w:p>
    <w:p w14:paraId="0F2111D3">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4.2合同总费用由甲方按照以下第（）方式向乙方支付：</w:t>
      </w:r>
    </w:p>
    <w:p w14:paraId="57A6BCCD">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（1）一次性支付</w:t>
      </w:r>
    </w:p>
    <w:p w14:paraId="4979E29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验收合格后[  ]个工作日内，甲方向乙方支付本合同费用。</w:t>
      </w:r>
    </w:p>
    <w:p w14:paraId="7FE66FD3">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（2）分期支付</w:t>
      </w:r>
    </w:p>
    <w:p w14:paraId="6E1E9D67">
      <w:pPr>
        <w:adjustRightInd w:val="0"/>
        <w:snapToGrid w:val="0"/>
        <w:spacing w:line="360" w:lineRule="exact"/>
        <w:ind w:firstLine="480" w:firstLineChars="200"/>
        <w:rPr>
          <w:rFonts w:hint="eastAsia" w:ascii="仿宋" w:hAnsi="仿宋" w:eastAsia="仿宋" w:cs="方正仿宋_GB2312"/>
          <w:color w:val="000000"/>
          <w:sz w:val="24"/>
          <w:shd w:val="pct10" w:color="auto" w:fill="FFFFFF"/>
        </w:rPr>
      </w:pPr>
      <w:r>
        <w:rPr>
          <w:rFonts w:hint="eastAsia" w:ascii="仿宋" w:hAnsi="仿宋" w:eastAsia="仿宋" w:cs="方正仿宋_GB2312"/>
          <w:color w:val="000000"/>
          <w:sz w:val="24"/>
        </w:rPr>
        <w:t>甲方分期向乙方支付本合同费用：[  ]。</w:t>
      </w:r>
    </w:p>
    <w:p w14:paraId="62E30307">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4.3甲乙双方银行账户信息和纳税人信息</w:t>
      </w:r>
    </w:p>
    <w:p w14:paraId="793C3B8B">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甲方信息如下：</w:t>
      </w:r>
    </w:p>
    <w:p w14:paraId="74D960A4">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开户行：[  ]</w:t>
      </w:r>
    </w:p>
    <w:p w14:paraId="1D6631D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银行地址：[  ]</w:t>
      </w:r>
    </w:p>
    <w:p w14:paraId="5FF72425">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户名：[  ]</w:t>
      </w:r>
    </w:p>
    <w:p w14:paraId="76621A4E">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账号：[  ]</w:t>
      </w:r>
    </w:p>
    <w:p w14:paraId="567514C4">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统一社会信用代码：[  ]</w:t>
      </w:r>
    </w:p>
    <w:p w14:paraId="74EFE2F8">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地址：[  ]</w:t>
      </w:r>
    </w:p>
    <w:p w14:paraId="1CCA8BB3">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电话：[  ] </w:t>
      </w:r>
    </w:p>
    <w:p w14:paraId="1FCC837B">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乙方信息如下：</w:t>
      </w:r>
    </w:p>
    <w:p w14:paraId="22D003E4">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开户行：[  ]</w:t>
      </w:r>
    </w:p>
    <w:p w14:paraId="2EAFEFF8">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银行地址：[  ]</w:t>
      </w:r>
    </w:p>
    <w:p w14:paraId="42C012EC">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户名：[  ]</w:t>
      </w:r>
    </w:p>
    <w:p w14:paraId="0E801082">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账号：[  ]</w:t>
      </w:r>
    </w:p>
    <w:p w14:paraId="767AA6A5">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统一社会信用代码：[  ]</w:t>
      </w:r>
    </w:p>
    <w:p w14:paraId="6DC2CC5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地址：[  ]</w:t>
      </w:r>
    </w:p>
    <w:p w14:paraId="0126F89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电话：[  ] </w:t>
      </w:r>
    </w:p>
    <w:p w14:paraId="3764BDD4">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4.4若甲方存在欠费情况的，不论乙方开具发票和收费通知单的具体时间，乙方每次收到甲方付款按照甲方欠费的先后顺序自动抵充先到期的欠费，直至抵缴完毕。</w:t>
      </w:r>
    </w:p>
    <w:p w14:paraId="1630B90A">
      <w:pPr>
        <w:adjustRightInd w:val="0"/>
        <w:snapToGrid w:val="0"/>
        <w:spacing w:line="360" w:lineRule="exact"/>
        <w:ind w:firstLine="482" w:firstLineChars="200"/>
        <w:rPr>
          <w:rFonts w:hint="eastAsia" w:ascii="仿宋" w:hAnsi="仿宋" w:eastAsia="仿宋" w:cs="方正仿宋_GB2312"/>
          <w:b/>
          <w:color w:val="000000"/>
          <w:sz w:val="24"/>
        </w:rPr>
      </w:pPr>
      <w:r>
        <w:rPr>
          <w:rFonts w:hint="eastAsia" w:ascii="仿宋" w:hAnsi="仿宋" w:eastAsia="仿宋" w:cs="方正仿宋_GB2312"/>
          <w:b/>
          <w:color w:val="000000"/>
          <w:sz w:val="24"/>
        </w:rPr>
        <w:t>第五条保密</w:t>
      </w:r>
    </w:p>
    <w:p w14:paraId="646D3F80">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5.1未经对方书面许可，任何一方不得向第三方提供或者披露因本合同的签订和履行而得知的与对方业务有关的资料和信息，法律、法规、规章或监管要求另有规定或本合同另有约定的除外。乙方向其关联公司提供或披露与甲方业务有关的资料和信息的，不受此限。</w:t>
      </w:r>
    </w:p>
    <w:p w14:paraId="04765E7D">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5.2 本保密条款在服务期限内及服务终止后二年之内持续有效。</w:t>
      </w:r>
    </w:p>
    <w:p w14:paraId="4F059734">
      <w:pPr>
        <w:pStyle w:val="2"/>
        <w:tabs>
          <w:tab w:val="left" w:pos="7980"/>
        </w:tabs>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第六条</w:t>
      </w:r>
      <w:r>
        <w:rPr>
          <w:rFonts w:hint="eastAsia" w:ascii="仿宋" w:hAnsi="仿宋" w:eastAsia="仿宋" w:cs="方正仿宋_GB2312"/>
          <w:color w:val="000000"/>
          <w:szCs w:val="24"/>
        </w:rPr>
        <w:t>本合同的变更应当由双方协商一致，并以书面形式确定。但有下列情形之一的，一方可以向另一方提出变更合同权利与义务的书面请求，另一方应当在收到书面请求后[  ]个工作日内予以答复；逾期未予答复的，视为同意：</w:t>
      </w:r>
    </w:p>
    <w:p w14:paraId="221D5EE5">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  ]。</w:t>
      </w:r>
    </w:p>
    <w:p w14:paraId="5E8A3FDE">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第七条验收</w:t>
      </w:r>
    </w:p>
    <w:p w14:paraId="5AB14449">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7.1乙方完成技术服务工作的形式：[  ]。</w:t>
      </w:r>
    </w:p>
    <w:p w14:paraId="3F2C9CB2">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7.2技术服务工作成果的验收标准：[  ]。</w:t>
      </w:r>
    </w:p>
    <w:p w14:paraId="634659E1">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7.3技术服务工作成果的验收方法：[  ]。</w:t>
      </w:r>
    </w:p>
    <w:p w14:paraId="57859C99">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7.4验收的时间和地点：[  ]。</w:t>
      </w:r>
    </w:p>
    <w:p w14:paraId="64502E95">
      <w:pPr>
        <w:pStyle w:val="2"/>
        <w:tabs>
          <w:tab w:val="left" w:pos="7980"/>
        </w:tabs>
        <w:adjustRightInd w:val="0"/>
        <w:snapToGrid w:val="0"/>
        <w:spacing w:line="360" w:lineRule="exact"/>
        <w:ind w:firstLine="482" w:firstLineChars="200"/>
        <w:jc w:val="left"/>
        <w:rPr>
          <w:rFonts w:hint="eastAsia" w:ascii="仿宋" w:hAnsi="仿宋" w:eastAsia="仿宋" w:cs="方正仿宋_GB2312"/>
          <w:b/>
          <w:color w:val="000000"/>
          <w:szCs w:val="24"/>
        </w:rPr>
      </w:pPr>
      <w:r>
        <w:rPr>
          <w:rFonts w:hint="eastAsia" w:ascii="仿宋" w:hAnsi="仿宋" w:eastAsia="仿宋" w:cs="方正仿宋_GB2312"/>
          <w:b/>
          <w:color w:val="000000"/>
          <w:szCs w:val="24"/>
        </w:rPr>
        <w:t>第八条侵权处理</w:t>
      </w:r>
    </w:p>
    <w:p w14:paraId="7F242C0E">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8.1如本合同以外的第三方指控乙方为甲方提供服务和/或其为甲方提供的服务成果侵犯该方的专利或著作权, 乙方自费就上述指控自行和/或与甲方共同辩护，并支付法院和行政执法机关最终裁定的或经乙方同意的和解中包括的一切费用、损害赔偿金和合理的律师费用，前提条件是甲方:</w:t>
      </w:r>
    </w:p>
    <w:p w14:paraId="547BEA54">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（1）就指控立即书面通知乙方。</w:t>
      </w:r>
    </w:p>
    <w:p w14:paraId="729A465A">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（2）容许乙方在辩护及任何有关的和解谈判中具有控制权，并配合乙方工作。</w:t>
      </w:r>
    </w:p>
    <w:p w14:paraId="1E690249">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在甲方满足上述条件的前提下，乙方就侵权指控对甲方承担本条约定的上述义务。</w:t>
      </w:r>
    </w:p>
    <w:p w14:paraId="60E99C7D">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8.2对因下列任何一项所引起的指控，无论本合同是否有其他约定，乙方均不承担责任：</w:t>
      </w:r>
    </w:p>
    <w:p w14:paraId="76C2F87D">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（1）甲方提供的被并入服务成果之中的任何东西，或乙方遵照甲方或代表甲方的第三方所提供的任何设计、规格或关于实施方法的指示而提供的任何东西。</w:t>
      </w:r>
    </w:p>
    <w:p w14:paraId="0D444E19">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（2）甲方修改服务成果。</w:t>
      </w:r>
    </w:p>
    <w:p w14:paraId="19443DA5">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（3）甲方将服务成果与非由乙方提供的任何产品、数据、装置或商业方法一起结合、操作或使用，或为甲方以外的第三方的利益发行、操作或使用服务成果。</w:t>
      </w:r>
    </w:p>
    <w:p w14:paraId="53B5B40E">
      <w:pPr>
        <w:tabs>
          <w:tab w:val="left" w:pos="7980"/>
        </w:tabs>
        <w:adjustRightInd w:val="0"/>
        <w:snapToGrid w:val="0"/>
        <w:spacing w:line="360" w:lineRule="exact"/>
        <w:ind w:firstLine="482" w:firstLineChars="200"/>
        <w:jc w:val="left"/>
        <w:rPr>
          <w:rFonts w:hint="eastAsia" w:ascii="仿宋" w:hAnsi="仿宋" w:eastAsia="仿宋" w:cs="方正仿宋_GB2312"/>
          <w:b/>
          <w:color w:val="000000"/>
          <w:sz w:val="24"/>
        </w:rPr>
      </w:pPr>
      <w:r>
        <w:rPr>
          <w:rFonts w:hint="eastAsia" w:ascii="仿宋" w:hAnsi="仿宋" w:eastAsia="仿宋" w:cs="方正仿宋_GB2312"/>
          <w:b/>
          <w:color w:val="000000"/>
          <w:sz w:val="24"/>
        </w:rPr>
        <w:t>第九条个人信息保护和数据安全</w:t>
      </w:r>
    </w:p>
    <w:p w14:paraId="3C089BC5">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为履行本合同，甲方委托乙方处理相关数据和个人信息的，双方同意按照本条约定执行：</w:t>
      </w:r>
    </w:p>
    <w:p w14:paraId="2760AD45">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9.1个人信息种类：[  ]；乙方处理数据和个人信息的期限为：[  ];处理方式为：[  ] 以及本合同约定的其他处理方式。</w:t>
      </w:r>
    </w:p>
    <w:p w14:paraId="749AC9B4">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9.2甲方保证，其委托乙方处理个人信息已经向个人信息主体履行了法定告知义务，并取得了其同意。甲方保证，其委托乙方处理的个人信息和数据来源合法合规，不存在违反法律法规、监管要求的情况。</w:t>
      </w:r>
    </w:p>
    <w:p w14:paraId="1A278A92">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9.3双方均应当严格按照相关法律法规规定，采取措施确保个人信息处理活动符合法律、行政法规的规定，防止未经授权的访问以及个人信息和数据的泄露、篡改、丢失。</w:t>
      </w:r>
    </w:p>
    <w:p w14:paraId="48323C9B">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9.4乙方有权对甲方提供的个人信息和数据来源合法合规性情况进行检查。对于乙方检查发现甲方个人信息和数据来源违反法律法规、监管要求，或者就其向乙方提供的个人信息未依法向个人履行法定告知义务、未取得个人同意，乙方有权要求甲方在一定期限内整改。如果甲方未按照乙方要求整改或整改未达到乙方的相关要求，乙方有权解除合同，且不承担赔偿责任；由此给乙方造成损失的，甲方应当全额赔偿。</w:t>
      </w:r>
    </w:p>
    <w:p w14:paraId="3ED266A7">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9.5甲方违反本合同及其附件个人信息保护和数据安全相关条款和相关法律法规、监管要求的，甲方应当承担一切民事、行政和刑事责任，如因此给个人信息主体、乙方或其他人造成任何损失的，甲方应当承担全部责任。</w:t>
      </w:r>
    </w:p>
    <w:p w14:paraId="7EA83DEA">
      <w:pPr>
        <w:pStyle w:val="2"/>
        <w:adjustRightInd w:val="0"/>
        <w:snapToGrid w:val="0"/>
        <w:spacing w:line="360" w:lineRule="exact"/>
        <w:ind w:firstLine="482" w:firstLineChars="200"/>
        <w:jc w:val="left"/>
        <w:rPr>
          <w:rFonts w:hint="eastAsia" w:ascii="仿宋" w:hAnsi="仿宋" w:eastAsia="仿宋" w:cs="方正仿宋_GB2312"/>
          <w:color w:val="000000"/>
          <w:kern w:val="2"/>
          <w:szCs w:val="24"/>
        </w:rPr>
      </w:pPr>
      <w:r>
        <w:rPr>
          <w:rFonts w:hint="eastAsia" w:ascii="仿宋" w:hAnsi="仿宋" w:eastAsia="仿宋" w:cs="方正仿宋_GB2312"/>
          <w:b/>
          <w:szCs w:val="24"/>
        </w:rPr>
        <w:t>第十条违约</w:t>
      </w:r>
      <w:r>
        <w:rPr>
          <w:rFonts w:hint="eastAsia" w:ascii="仿宋" w:hAnsi="仿宋" w:eastAsia="仿宋" w:cs="方正仿宋_GB2312"/>
          <w:b/>
          <w:color w:val="000000"/>
          <w:kern w:val="2"/>
          <w:szCs w:val="24"/>
        </w:rPr>
        <w:t>责任</w:t>
      </w:r>
    </w:p>
    <w:p w14:paraId="325FF141">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10.1双方确定，任何一方未履行或未完全履行本合同项下的义务，均构成违约。违约方应当赔偿因违约给对方造成的一切损失。</w:t>
      </w:r>
    </w:p>
    <w:p w14:paraId="5D0AD0B3">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10.2甲方未能按照本合同约定支付相关费用的，每逾期[1]日，甲方应当按照合同总费用[千分之三 ]向乙方支付违约金。逾期付费达[ 30 ]日的，乙方有权暂停提供服务；逾期付费达[ 60 ]日的，乙方有权终止提供服务；同时，甲方还应当承担乙方因追讨欠费支出的各项费用（包括但不限于律师费、诉讼费、保全费、财产保全担保费等）。</w:t>
      </w:r>
    </w:p>
    <w:p w14:paraId="4E752FFB">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10.3无论本合同其他条款是否有任何相反的约定，乙方在本合同项下应当承担的责任不超过乙方最近[12]个月已经收取费用总额的[100]%；乙方对因本合同项下行为而导致的甲方或第三方可得利益损失、商业信誉损失、数据丢失或损坏以及间接损失或后果性经济损失等其他损失不承担责任。甲方数据属甲方所有，甲方应当负责数据备份，乙方对甲方数据的丢失或损坏不承担责任。</w:t>
      </w:r>
    </w:p>
    <w:p w14:paraId="438A8C4E">
      <w:pPr>
        <w:pStyle w:val="2"/>
        <w:tabs>
          <w:tab w:val="left" w:pos="7980"/>
        </w:tabs>
        <w:adjustRightInd w:val="0"/>
        <w:snapToGrid w:val="0"/>
        <w:spacing w:line="360" w:lineRule="exact"/>
        <w:ind w:firstLineChars="200"/>
        <w:rPr>
          <w:rFonts w:hint="eastAsia" w:ascii="仿宋" w:hAnsi="仿宋" w:eastAsia="仿宋" w:cs="方正仿宋_GB2312"/>
          <w:color w:val="000000"/>
          <w:szCs w:val="24"/>
        </w:rPr>
      </w:pPr>
      <w:r>
        <w:rPr>
          <w:rFonts w:hint="eastAsia" w:ascii="仿宋" w:hAnsi="仿宋" w:eastAsia="仿宋" w:cs="方正仿宋_GB2312"/>
          <w:color w:val="000000"/>
          <w:szCs w:val="24"/>
        </w:rPr>
        <w:t>10.4甲方承诺遵守国家相关法律法规，不进行危害网络安全的活动，若乙方发现甲方有危害网络安全的事项等活动，乙方有权停止技术支持，并解除本合同不负违约责任，本合同项下所有款项不予退还。</w:t>
      </w:r>
    </w:p>
    <w:p w14:paraId="50A72C11">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10.5本合同履行过程中，如甲方发生以下任一情形的，乙方有权视情节严重程度采取中止或终止履行合同、解除合同等措施并不承担违约责任。如该情形导致第三方向乙方提出法律或行政程序，甲方应当负责解决。如该情形给乙方造成损失的，甲方应当全额赔偿：</w:t>
      </w:r>
    </w:p>
    <w:p w14:paraId="298AFCF1">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kern w:val="0"/>
          <w:sz w:val="24"/>
        </w:rPr>
        <w:t>（1）被行政机关纳入“严重违法失信”名单；</w:t>
      </w:r>
    </w:p>
    <w:p w14:paraId="7A4B1494">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kern w:val="0"/>
          <w:sz w:val="24"/>
        </w:rPr>
        <w:t>（2）被人民法院纳入“失信被执行人”名单；</w:t>
      </w:r>
    </w:p>
    <w:p w14:paraId="40021163">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kern w:val="0"/>
          <w:sz w:val="24"/>
        </w:rPr>
        <w:t>（3）被乙方（含乙方上级单位）纳入违规失信合作商名单；</w:t>
      </w:r>
    </w:p>
    <w:p w14:paraId="29D967F5">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kern w:val="0"/>
          <w:sz w:val="24"/>
        </w:rPr>
        <w:t>（4）如存在网络和信息安全违法、违规行为的,包括但不限于因网络和信息安全问题承担刑事责任或受到行政处罚，被列入各级公安机关的涉通讯信息诈骗违法犯罪高危自然人或法人名单、业务经营不良名单、失信名单等;</w:t>
      </w:r>
    </w:p>
    <w:p w14:paraId="4734F6F0">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kern w:val="0"/>
          <w:sz w:val="24"/>
        </w:rPr>
        <w:t>（5）其他相关法律法规规定或有权机关认定的违法失信情形，以及可能导致合同履行风险或侵害乙方合法权益或声誉的违规失信情形。</w:t>
      </w:r>
    </w:p>
    <w:p w14:paraId="6C57E456">
      <w:pPr>
        <w:pStyle w:val="2"/>
        <w:tabs>
          <w:tab w:val="left" w:pos="7980"/>
        </w:tabs>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第十一条</w:t>
      </w:r>
      <w:r>
        <w:rPr>
          <w:rFonts w:hint="eastAsia" w:ascii="仿宋" w:hAnsi="仿宋" w:eastAsia="仿宋" w:cs="方正仿宋_GB2312"/>
          <w:color w:val="000000"/>
          <w:szCs w:val="24"/>
        </w:rPr>
        <w:t>双方确定，在本合同有效期内，</w:t>
      </w:r>
      <w:r>
        <w:rPr>
          <w:rFonts w:hint="eastAsia" w:ascii="仿宋" w:hAnsi="仿宋" w:eastAsia="仿宋" w:cs="方正仿宋_GB2312"/>
          <w:szCs w:val="24"/>
        </w:rPr>
        <w:t>甲方指定[  ]为甲方项目联系人，联系电话为[  ]，地址[  ]，电子邮箱[  ];乙方指定[  ]为乙方项目联系人,联系电话为[   ]，地址[  ],电子邮箱[   ]。</w:t>
      </w:r>
    </w:p>
    <w:p w14:paraId="2724A319">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一方变更项目联系人的，应当及时以书面形式通知另一方。未及时通知并影响本合同履行或造成损失的，应当承担相应的责任。</w:t>
      </w:r>
    </w:p>
    <w:p w14:paraId="0DC7B637">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第十二条</w:t>
      </w:r>
      <w:r>
        <w:rPr>
          <w:rFonts w:hint="eastAsia" w:ascii="仿宋" w:hAnsi="仿宋" w:eastAsia="仿宋" w:cs="方正仿宋_GB2312"/>
          <w:color w:val="000000"/>
          <w:szCs w:val="24"/>
        </w:rPr>
        <w:t>双方确定，出现下列情形之一，致使本合同的履行成为不必要或不可能的，可以解除本合同：</w:t>
      </w:r>
    </w:p>
    <w:p w14:paraId="268B8C42">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12.1发生不可抗力。</w:t>
      </w:r>
    </w:p>
    <w:p w14:paraId="44891082">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12.2[  ]。</w:t>
      </w:r>
    </w:p>
    <w:p w14:paraId="5B5117D8">
      <w:pPr>
        <w:pStyle w:val="2"/>
        <w:adjustRightInd w:val="0"/>
        <w:snapToGrid w:val="0"/>
        <w:spacing w:line="360" w:lineRule="exact"/>
        <w:ind w:firstLine="482" w:firstLineChars="200"/>
        <w:jc w:val="left"/>
        <w:rPr>
          <w:rFonts w:hint="eastAsia" w:ascii="仿宋" w:hAnsi="仿宋" w:eastAsia="仿宋" w:cs="方正仿宋_GB2312"/>
          <w:color w:val="000000"/>
          <w:szCs w:val="24"/>
        </w:rPr>
      </w:pPr>
      <w:r>
        <w:rPr>
          <w:rFonts w:hint="eastAsia" w:ascii="仿宋" w:hAnsi="仿宋" w:eastAsia="仿宋" w:cs="方正仿宋_GB2312"/>
          <w:b/>
          <w:color w:val="000000"/>
          <w:szCs w:val="24"/>
        </w:rPr>
        <w:t>第十三条法律适用和争议解决</w:t>
      </w:r>
    </w:p>
    <w:p w14:paraId="7A131F1E">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13.1本合同适用中华人民共和国法律。</w:t>
      </w:r>
    </w:p>
    <w:p w14:paraId="70121F78">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13.2所有因本合同引起的或与本合同有关的任何争议通过双方友好协商解决。如果双方不能通过友好协商解决争议，则任何一方均可向[乙方住所地]有管辖权的人民法院起诉。</w:t>
      </w:r>
      <w:bookmarkStart w:id="2" w:name="_GoBack"/>
      <w:bookmarkEnd w:id="2"/>
    </w:p>
    <w:p w14:paraId="23F5710C">
      <w:pPr>
        <w:pStyle w:val="2"/>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13.3诉讼进行过程中，双方继续履行本合同未涉诉讼的其它部分。</w:t>
      </w:r>
    </w:p>
    <w:p w14:paraId="75A426FB">
      <w:pPr>
        <w:pStyle w:val="2"/>
        <w:adjustRightInd w:val="0"/>
        <w:snapToGrid w:val="0"/>
        <w:spacing w:line="360" w:lineRule="exact"/>
        <w:ind w:firstLine="482" w:firstLineChars="200"/>
        <w:jc w:val="left"/>
        <w:rPr>
          <w:rFonts w:hint="eastAsia" w:ascii="仿宋" w:hAnsi="仿宋" w:eastAsia="仿宋" w:cs="方正仿宋_GB2312"/>
          <w:b/>
          <w:color w:val="000000"/>
          <w:szCs w:val="24"/>
        </w:rPr>
      </w:pPr>
      <w:r>
        <w:rPr>
          <w:rFonts w:hint="eastAsia" w:ascii="仿宋" w:hAnsi="仿宋" w:eastAsia="仿宋" w:cs="方正仿宋_GB2312"/>
          <w:b/>
          <w:color w:val="000000"/>
          <w:szCs w:val="24"/>
        </w:rPr>
        <w:t>第十四条不可抗力及免责</w:t>
      </w:r>
    </w:p>
    <w:p w14:paraId="35506D62">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14.1如由于战争、骚乱、恐怖主义、灾害、国家法律法规或规章变动、网络安全、网络无法覆盖、停电、通信线路被人为破坏、黑客攻击、计算机病毒侵入或发作、突发事件等，导致甲乙双方或一方不能履行或不能完全履行本合同项下有关义务时，受影响方不承担违约责任，但应当尽快书面通知对方。在影响消除后的合理时间内，一方或双方应当继续履行合同。如因此导致合同不能或者没有必要继续履行的，本合同可由一方解除。</w:t>
      </w:r>
    </w:p>
    <w:p w14:paraId="654A9E2D">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t>14.2如乙方根据政府管理部门要求暂停或终止提供相应服务，乙方不承担任何责任。</w:t>
      </w:r>
    </w:p>
    <w:p w14:paraId="25D43462">
      <w:pPr>
        <w:tabs>
          <w:tab w:val="left" w:pos="7980"/>
        </w:tabs>
        <w:adjustRightInd w:val="0"/>
        <w:snapToGrid w:val="0"/>
        <w:spacing w:line="360" w:lineRule="exact"/>
        <w:ind w:firstLine="482" w:firstLineChars="200"/>
        <w:jc w:val="left"/>
        <w:rPr>
          <w:rFonts w:hint="eastAsia" w:ascii="仿宋" w:hAnsi="仿宋" w:eastAsia="仿宋" w:cs="方正仿宋_GB2312"/>
          <w:b/>
          <w:color w:val="000000"/>
          <w:kern w:val="0"/>
          <w:sz w:val="24"/>
        </w:rPr>
      </w:pPr>
      <w:r>
        <w:rPr>
          <w:rFonts w:hint="eastAsia" w:ascii="仿宋" w:hAnsi="仿宋" w:eastAsia="仿宋" w:cs="方正仿宋_GB2312"/>
          <w:b/>
          <w:color w:val="000000"/>
          <w:kern w:val="0"/>
          <w:sz w:val="24"/>
        </w:rPr>
        <w:t>第十五条合同生效和其他</w:t>
      </w:r>
    </w:p>
    <w:p w14:paraId="34426BED">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15.1本合同纸质文本一式四份，甲乙双方各执二份，自双方签字盖章之日起生效；若使用电子印章的，自双方盖章之日起生效。</w:t>
      </w:r>
    </w:p>
    <w:p w14:paraId="4700BF45">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若乙方加盖电子印章的，以加盖乙方电子印章的本合同电子文档所载内容为准。</w:t>
      </w:r>
    </w:p>
    <w:p w14:paraId="4446BDAC">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15.2如果本合同的任何条款在任何时候变成不合法、无效或不可强制执行而不从根本上影响本合同的效力时，本合同的其他条款不受影响。</w:t>
      </w:r>
    </w:p>
    <w:p w14:paraId="62EC6579">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15.3本合同各条标题仅为提示之用，应当以条文内容确定各方的权利义务。</w:t>
      </w:r>
    </w:p>
    <w:p w14:paraId="5831617F">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15.4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6A07BA25">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15.5本合同的任何内容不应当被视为或解释为双方之间具有合资、合伙关系。</w:t>
      </w:r>
    </w:p>
    <w:p w14:paraId="00620546">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15.6本合同替代此前双方所有关于本合同事项的口头或书面的纪要、备忘录、合同和协议等法律文件。</w:t>
      </w:r>
    </w:p>
    <w:p w14:paraId="6B5FA814">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15.7甲乙双方因履行本合同或与本合同有关的一切通知都应当按照本合同中的地址，以</w:t>
      </w:r>
      <w:r>
        <w:rPr>
          <w:rFonts w:ascii="仿宋" w:hAnsi="仿宋" w:eastAsia="仿宋" w:cs="方正仿宋_GB2312"/>
          <w:color w:val="000000"/>
          <w:sz w:val="24"/>
        </w:rPr>
        <w:t>本合同约定的方式</w:t>
      </w:r>
      <w:r>
        <w:rPr>
          <w:rFonts w:hint="eastAsia" w:ascii="仿宋" w:hAnsi="仿宋" w:eastAsia="仿宋" w:cs="方正仿宋_GB2312"/>
          <w:color w:val="000000"/>
          <w:sz w:val="24"/>
        </w:rPr>
        <w:t>进行。其中：</w:t>
      </w:r>
    </w:p>
    <w:p w14:paraId="34E776BC">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15.7.1除本合同另有约定外，有关下述任一事项的通知，均应当采用书面信函形式作出，否则，该通知无效，不产生本合同项下的任何通知效力：</w:t>
      </w:r>
    </w:p>
    <w:p w14:paraId="3C0E450C">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（1）与本合同费用及支付事宜有关的通知；</w:t>
      </w:r>
    </w:p>
    <w:p w14:paraId="624A4408">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（2）与本合同违约事宜有关的通知；</w:t>
      </w:r>
    </w:p>
    <w:p w14:paraId="74C6F992">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（3）与本合同终止、解除或变更事宜有关的通知；</w:t>
      </w:r>
    </w:p>
    <w:p w14:paraId="49C668E5">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（4）与本合同延续/续展有关的通知；</w:t>
      </w:r>
    </w:p>
    <w:p w14:paraId="496D865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（5）[  ]。</w:t>
      </w:r>
    </w:p>
    <w:p w14:paraId="51030A7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15.7.2本合同约定的各种通知方式的送达标准如下：</w:t>
      </w:r>
    </w:p>
    <w:p w14:paraId="45176701">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（1）如采用书面信函形式，应当使用挂号信或者具有良好信誉的特快专递送达，</w:t>
      </w:r>
      <w:r>
        <w:rPr>
          <w:rFonts w:ascii="仿宋" w:hAnsi="仿宋" w:eastAsia="仿宋" w:cs="方正仿宋_GB2312"/>
          <w:color w:val="000000"/>
          <w:sz w:val="24"/>
        </w:rPr>
        <w:t>接收方</w:t>
      </w:r>
      <w:r>
        <w:rPr>
          <w:rFonts w:hint="eastAsia" w:ascii="仿宋" w:hAnsi="仿宋" w:eastAsia="仿宋" w:cs="方正仿宋_GB2312"/>
          <w:color w:val="000000"/>
          <w:sz w:val="24"/>
        </w:rPr>
        <w:t>签收挂号信或特快专递的时间（以邮局或快递公司系统记录为准）为通知送达时间；</w:t>
      </w:r>
    </w:p>
    <w:p w14:paraId="080B318C">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（2）如采用电子邮件方式，电子邮件到达</w:t>
      </w:r>
      <w:r>
        <w:rPr>
          <w:rFonts w:ascii="仿宋" w:hAnsi="仿宋" w:eastAsia="仿宋" w:cs="方正仿宋_GB2312"/>
          <w:color w:val="000000"/>
          <w:sz w:val="24"/>
        </w:rPr>
        <w:t>接收方</w:t>
      </w:r>
      <w:r>
        <w:rPr>
          <w:rFonts w:hint="eastAsia" w:ascii="仿宋" w:hAnsi="仿宋" w:eastAsia="仿宋" w:cs="方正仿宋_GB2312"/>
          <w:color w:val="000000"/>
          <w:sz w:val="24"/>
        </w:rPr>
        <w:t>指定电子邮箱的时间为通知送达时间。</w:t>
      </w:r>
    </w:p>
    <w:p w14:paraId="56B02BEA">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如果因</w:t>
      </w:r>
      <w:r>
        <w:rPr>
          <w:rFonts w:ascii="仿宋" w:hAnsi="仿宋" w:eastAsia="仿宋" w:cs="方正仿宋_GB2312"/>
          <w:color w:val="000000"/>
          <w:sz w:val="24"/>
        </w:rPr>
        <w:t>接收方</w:t>
      </w:r>
      <w:r>
        <w:rPr>
          <w:rFonts w:hint="eastAsia" w:ascii="仿宋" w:hAnsi="仿宋" w:eastAsia="仿宋" w:cs="方正仿宋_GB2312"/>
          <w:color w:val="000000"/>
          <w:sz w:val="24"/>
        </w:rPr>
        <w:t>原因（包括但不限于</w:t>
      </w:r>
      <w:r>
        <w:rPr>
          <w:rFonts w:ascii="仿宋" w:hAnsi="仿宋" w:eastAsia="仿宋" w:cs="方正仿宋_GB2312"/>
          <w:color w:val="000000"/>
          <w:sz w:val="24"/>
        </w:rPr>
        <w:t>接收方</w:t>
      </w:r>
      <w:r>
        <w:rPr>
          <w:rFonts w:hint="eastAsia" w:ascii="仿宋" w:hAnsi="仿宋" w:eastAsia="仿宋" w:cs="方正仿宋_GB2312"/>
          <w:color w:val="000000"/>
          <w:sz w:val="24"/>
        </w:rPr>
        <w:t>拒收书面信函、</w:t>
      </w:r>
      <w:r>
        <w:rPr>
          <w:rFonts w:ascii="仿宋" w:hAnsi="仿宋" w:eastAsia="仿宋" w:cs="方正仿宋_GB2312"/>
          <w:color w:val="000000"/>
          <w:sz w:val="24"/>
        </w:rPr>
        <w:t>接收方</w:t>
      </w:r>
      <w:r>
        <w:rPr>
          <w:rFonts w:hint="eastAsia" w:ascii="仿宋" w:hAnsi="仿宋" w:eastAsia="仿宋" w:cs="方正仿宋_GB2312"/>
          <w:color w:val="000000"/>
          <w:sz w:val="24"/>
        </w:rPr>
        <w:t>电子邮箱地址不存在或者邮箱已满或者设置拒收等）导致通知发送失败，视为通知已经送达（发送方侧载明的书面信函寄出时间或者电子邮件发送时间视为通知送达时间）。</w:t>
      </w:r>
    </w:p>
    <w:p w14:paraId="60BC57CE">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15.7.3本合同双方通知地址及方式如下：</w:t>
      </w:r>
    </w:p>
    <w:p w14:paraId="43BBBEDF">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甲方：[  ] </w:t>
      </w:r>
    </w:p>
    <w:p w14:paraId="4191C158">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地址：[  ]     </w:t>
      </w:r>
    </w:p>
    <w:p w14:paraId="52020FB9">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联系人：[  ]     </w:t>
      </w:r>
    </w:p>
    <w:p w14:paraId="53737580">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电话：[  ]    </w:t>
      </w:r>
    </w:p>
    <w:p w14:paraId="2689B750">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电子邮箱：</w:t>
      </w:r>
      <w:r>
        <w:rPr>
          <w:rFonts w:hint="eastAsia" w:ascii="仿宋" w:hAnsi="仿宋" w:eastAsia="仿宋" w:cs="方正仿宋_GB2312"/>
          <w:color w:val="000000"/>
          <w:kern w:val="0"/>
          <w:sz w:val="24"/>
        </w:rPr>
        <w:t>[  ]</w:t>
      </w:r>
    </w:p>
    <w:p w14:paraId="5E7AE2CC">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乙方：[  ]公司              </w:t>
      </w:r>
    </w:p>
    <w:p w14:paraId="7385B61F">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地址：[  ]     </w:t>
      </w:r>
    </w:p>
    <w:p w14:paraId="26F80E11">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联系人：[  ]     </w:t>
      </w:r>
    </w:p>
    <w:p w14:paraId="1EC71F6F">
      <w:pPr>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 xml:space="preserve">电话：[  ]    </w:t>
      </w:r>
    </w:p>
    <w:p w14:paraId="7ABEF4B7">
      <w:pPr>
        <w:adjustRightInd w:val="0"/>
        <w:snapToGrid w:val="0"/>
        <w:spacing w:line="360" w:lineRule="exact"/>
        <w:ind w:firstLine="480" w:firstLineChars="200"/>
        <w:jc w:val="left"/>
        <w:rPr>
          <w:rFonts w:hint="eastAsia" w:ascii="仿宋" w:hAnsi="仿宋" w:eastAsia="仿宋" w:cs="方正仿宋_GB2312"/>
          <w:color w:val="000000"/>
          <w:kern w:val="0"/>
          <w:sz w:val="24"/>
        </w:rPr>
      </w:pPr>
      <w:r>
        <w:rPr>
          <w:rFonts w:hint="eastAsia" w:ascii="仿宋" w:hAnsi="仿宋" w:eastAsia="仿宋" w:cs="方正仿宋_GB2312"/>
          <w:color w:val="000000"/>
          <w:sz w:val="24"/>
        </w:rPr>
        <w:t>电子邮箱：</w:t>
      </w:r>
      <w:r>
        <w:rPr>
          <w:rFonts w:hint="eastAsia" w:ascii="仿宋" w:hAnsi="仿宋" w:eastAsia="仿宋" w:cs="方正仿宋_GB2312"/>
          <w:color w:val="000000"/>
          <w:kern w:val="0"/>
          <w:sz w:val="24"/>
        </w:rPr>
        <w:t>[  ]</w:t>
      </w:r>
    </w:p>
    <w:p w14:paraId="5ADCE75B">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上述任何信息发生变更的，变更方应当及时以书面形式通知另一方，未及时通知并影响本合同履行或造成损失的，应当承担相应的责任。</w:t>
      </w:r>
    </w:p>
    <w:p w14:paraId="5597857F">
      <w:pPr>
        <w:tabs>
          <w:tab w:val="left" w:pos="7980"/>
        </w:tabs>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15.8附件为本合同不可分割的部分。若附件与合同正文有任何冲突，以合同正文为准。</w:t>
      </w:r>
    </w:p>
    <w:p w14:paraId="11FB7922">
      <w:pPr>
        <w:tabs>
          <w:tab w:val="left" w:pos="7980"/>
        </w:tabs>
        <w:adjustRightInd w:val="0"/>
        <w:snapToGrid w:val="0"/>
        <w:spacing w:line="360" w:lineRule="exact"/>
        <w:ind w:firstLine="480" w:firstLineChars="200"/>
        <w:jc w:val="left"/>
        <w:rPr>
          <w:rFonts w:hint="eastAsia" w:ascii="仿宋" w:hAnsi="仿宋" w:eastAsia="仿宋" w:cs="方正仿宋_GB2312"/>
          <w:color w:val="000000"/>
          <w:sz w:val="24"/>
        </w:rPr>
      </w:pPr>
      <w:r>
        <w:rPr>
          <w:rFonts w:hint="eastAsia" w:ascii="仿宋" w:hAnsi="仿宋" w:eastAsia="仿宋" w:cs="方正仿宋_GB2312"/>
          <w:color w:val="000000"/>
          <w:sz w:val="24"/>
        </w:rPr>
        <w:t>本合同附件为：</w:t>
      </w:r>
    </w:p>
    <w:p w14:paraId="7F461850">
      <w:pPr>
        <w:adjustRightInd w:val="0"/>
        <w:snapToGrid w:val="0"/>
        <w:spacing w:line="360" w:lineRule="exact"/>
        <w:ind w:firstLine="480" w:firstLineChars="200"/>
        <w:rPr>
          <w:rFonts w:hint="eastAsia" w:ascii="仿宋" w:hAnsi="仿宋" w:eastAsia="仿宋" w:cs="方正仿宋_GB2312"/>
          <w:color w:val="000000"/>
          <w:sz w:val="24"/>
        </w:rPr>
      </w:pPr>
      <w:r>
        <w:rPr>
          <w:rFonts w:hint="eastAsia" w:ascii="仿宋" w:hAnsi="仿宋" w:eastAsia="仿宋" w:cs="方正仿宋_GB2312"/>
          <w:color w:val="000000"/>
          <w:sz w:val="24"/>
        </w:rPr>
        <w:t>附件：网络及信息安全承诺书</w:t>
      </w:r>
    </w:p>
    <w:p w14:paraId="70D27EB7">
      <w:pPr>
        <w:adjustRightInd w:val="0"/>
        <w:snapToGrid w:val="0"/>
        <w:jc w:val="center"/>
        <w:rPr>
          <w:rFonts w:hint="eastAsia" w:ascii="仿宋" w:hAnsi="仿宋" w:eastAsia="仿宋" w:cs="方正仿宋_GB2312"/>
          <w:b/>
          <w:color w:val="000000"/>
          <w:sz w:val="24"/>
        </w:rPr>
      </w:pPr>
    </w:p>
    <w:p w14:paraId="042ABFCF">
      <w:pPr>
        <w:adjustRightInd w:val="0"/>
        <w:snapToGrid w:val="0"/>
        <w:jc w:val="center"/>
        <w:rPr>
          <w:rFonts w:hint="eastAsia" w:ascii="仿宋" w:hAnsi="仿宋" w:eastAsia="仿宋" w:cs="方正仿宋_GB2312"/>
          <w:b/>
          <w:color w:val="000000"/>
          <w:sz w:val="24"/>
        </w:rPr>
      </w:pPr>
      <w:r>
        <w:rPr>
          <w:rFonts w:hint="eastAsia" w:ascii="仿宋" w:hAnsi="仿宋" w:eastAsia="仿宋" w:cs="方正仿宋_GB2312"/>
          <w:b/>
          <w:color w:val="000000"/>
          <w:sz w:val="24"/>
        </w:rPr>
        <w:t>补充附页</w:t>
      </w:r>
    </w:p>
    <w:p w14:paraId="48365234">
      <w:pPr>
        <w:adjustRightInd w:val="0"/>
        <w:snapToGrid w:val="0"/>
        <w:spacing w:line="360" w:lineRule="exact"/>
        <w:ind w:firstLine="480" w:firstLineChars="200"/>
        <w:rPr>
          <w:rFonts w:hint="eastAsia" w:ascii="仿宋" w:hAnsi="仿宋" w:eastAsia="仿宋" w:cs="方正仿宋_GB2312"/>
          <w:color w:val="000000"/>
          <w:kern w:val="0"/>
          <w:sz w:val="24"/>
        </w:rPr>
      </w:pPr>
      <w:r>
        <w:rPr>
          <w:rFonts w:hint="eastAsia" w:ascii="仿宋" w:hAnsi="仿宋" w:eastAsia="仿宋" w:cs="方正仿宋_GB2312"/>
          <w:color w:val="000000"/>
          <w:sz w:val="24"/>
        </w:rPr>
        <w:t>经友好协商，对本合同条款补充、修改如下，本补充附页为合同正文的一部分，与合同正文冲突时，以本补充附页为准：</w:t>
      </w:r>
      <w:r>
        <w:rPr>
          <w:rFonts w:hint="eastAsia" w:ascii="仿宋" w:hAnsi="仿宋" w:eastAsia="仿宋" w:cs="方正仿宋_GB2312"/>
          <w:color w:val="000000"/>
          <w:kern w:val="0"/>
          <w:sz w:val="24"/>
        </w:rPr>
        <w:t>[无]</w:t>
      </w:r>
    </w:p>
    <w:p w14:paraId="16DB2334">
      <w:pPr>
        <w:adjustRightInd w:val="0"/>
        <w:snapToGrid w:val="0"/>
        <w:spacing w:line="360" w:lineRule="exact"/>
        <w:jc w:val="center"/>
        <w:rPr>
          <w:rFonts w:hint="eastAsia" w:ascii="仿宋" w:hAnsi="仿宋" w:eastAsia="仿宋" w:cs="方正仿宋_GB2312"/>
          <w:color w:val="000000"/>
          <w:sz w:val="24"/>
        </w:rPr>
      </w:pPr>
      <w:r>
        <w:rPr>
          <w:rFonts w:hint="eastAsia" w:ascii="仿宋" w:hAnsi="仿宋" w:eastAsia="仿宋" w:cs="方正仿宋_GB2312"/>
          <w:color w:val="000000"/>
          <w:sz w:val="24"/>
        </w:rPr>
        <w:t>（以下无正文）</w:t>
      </w:r>
    </w:p>
    <w:p w14:paraId="6FE44397">
      <w:pPr>
        <w:adjustRightInd w:val="0"/>
        <w:snapToGrid w:val="0"/>
        <w:spacing w:line="360" w:lineRule="exact"/>
        <w:ind w:firstLine="480" w:firstLineChars="200"/>
        <w:rPr>
          <w:rFonts w:hint="eastAsia" w:ascii="仿宋" w:hAnsi="仿宋" w:eastAsia="仿宋" w:cs="方正仿宋_GB2312"/>
          <w:color w:val="000000"/>
          <w:sz w:val="24"/>
        </w:rPr>
      </w:pPr>
    </w:p>
    <w:p w14:paraId="0DFAB7CD">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p>
    <w:p w14:paraId="40077260">
      <w:pPr>
        <w:pStyle w:val="2"/>
        <w:tabs>
          <w:tab w:val="left" w:pos="7980"/>
        </w:tabs>
        <w:adjustRightInd w:val="0"/>
        <w:snapToGrid w:val="0"/>
        <w:spacing w:line="360" w:lineRule="exact"/>
        <w:ind w:firstLineChars="200"/>
        <w:jc w:val="left"/>
        <w:rPr>
          <w:rFonts w:hint="eastAsia" w:ascii="仿宋" w:hAnsi="仿宋" w:eastAsia="仿宋" w:cs="方正仿宋_GB2312"/>
          <w:color w:val="000000"/>
          <w:szCs w:val="24"/>
        </w:rPr>
      </w:pPr>
      <w:r>
        <w:rPr>
          <w:rFonts w:hint="eastAsia" w:ascii="仿宋" w:hAnsi="仿宋" w:eastAsia="仿宋" w:cs="方正仿宋_GB2312"/>
          <w:color w:val="000000"/>
          <w:szCs w:val="24"/>
        </w:rPr>
        <w:br w:type="page"/>
      </w:r>
    </w:p>
    <w:p w14:paraId="154E0BCC">
      <w:pPr>
        <w:adjustRightInd w:val="0"/>
        <w:snapToGrid w:val="0"/>
        <w:spacing w:line="360" w:lineRule="exact"/>
        <w:rPr>
          <w:rFonts w:hint="eastAsia" w:ascii="仿宋" w:hAnsi="仿宋" w:eastAsia="仿宋" w:cs="方正仿宋_GB2312"/>
          <w:color w:val="000000"/>
          <w:sz w:val="24"/>
        </w:rPr>
      </w:pPr>
    </w:p>
    <w:p w14:paraId="4B35E0B3">
      <w:pPr>
        <w:adjustRightInd w:val="0"/>
        <w:snapToGrid w:val="0"/>
        <w:spacing w:line="360" w:lineRule="exact"/>
        <w:rPr>
          <w:rFonts w:hint="eastAsia" w:ascii="仿宋" w:hAnsi="仿宋" w:eastAsia="仿宋" w:cs="方正仿宋_GB2312"/>
          <w:b/>
          <w:color w:val="000000"/>
          <w:sz w:val="24"/>
        </w:rPr>
      </w:pPr>
      <w:r>
        <w:rPr>
          <w:rFonts w:hint="eastAsia" w:ascii="仿宋" w:hAnsi="仿宋" w:eastAsia="仿宋" w:cs="方正仿宋_GB2312"/>
          <w:color w:val="000000"/>
          <w:sz w:val="24"/>
        </w:rPr>
        <w:t>甲方：</w:t>
      </w:r>
      <w:r>
        <w:rPr>
          <w:rFonts w:hint="eastAsia" w:ascii="仿宋" w:hAnsi="仿宋" w:eastAsia="仿宋" w:cs="方正仿宋_GB2312"/>
          <w:color w:val="000000"/>
          <w:kern w:val="0"/>
          <w:sz w:val="24"/>
        </w:rPr>
        <w:t>[  ]</w:t>
      </w:r>
    </w:p>
    <w:p w14:paraId="122B60FF">
      <w:pPr>
        <w:adjustRightInd w:val="0"/>
        <w:snapToGrid w:val="0"/>
        <w:spacing w:line="360" w:lineRule="exact"/>
        <w:rPr>
          <w:rFonts w:hint="eastAsia" w:ascii="仿宋" w:hAnsi="仿宋" w:eastAsia="仿宋" w:cs="方正仿宋_GB2312"/>
          <w:color w:val="000000"/>
          <w:sz w:val="24"/>
        </w:rPr>
      </w:pPr>
      <w:r>
        <w:rPr>
          <w:rFonts w:hint="eastAsia" w:ascii="仿宋" w:hAnsi="仿宋" w:eastAsia="仿宋" w:cs="方正仿宋_GB2312"/>
          <w:color w:val="000000"/>
          <w:sz w:val="24"/>
        </w:rPr>
        <w:t>法定代表人/负责人</w:t>
      </w:r>
    </w:p>
    <w:p w14:paraId="614E1256">
      <w:pPr>
        <w:adjustRightInd w:val="0"/>
        <w:snapToGrid w:val="0"/>
        <w:spacing w:line="360" w:lineRule="exact"/>
        <w:rPr>
          <w:rFonts w:hint="eastAsia" w:ascii="仿宋" w:hAnsi="仿宋" w:eastAsia="仿宋" w:cs="方正仿宋_GB2312"/>
          <w:color w:val="000000"/>
          <w:sz w:val="24"/>
        </w:rPr>
      </w:pPr>
      <w:r>
        <w:rPr>
          <w:rFonts w:hint="eastAsia" w:ascii="仿宋" w:hAnsi="仿宋" w:eastAsia="仿宋" w:cs="方正仿宋_GB2312"/>
          <w:color w:val="000000"/>
          <w:sz w:val="24"/>
        </w:rPr>
        <w:t>或授权代表：</w:t>
      </w:r>
    </w:p>
    <w:p w14:paraId="6E9A823F">
      <w:pPr>
        <w:adjustRightInd w:val="0"/>
        <w:snapToGrid w:val="0"/>
        <w:spacing w:line="360" w:lineRule="exact"/>
        <w:rPr>
          <w:rFonts w:hint="eastAsia" w:ascii="仿宋" w:hAnsi="仿宋" w:eastAsia="仿宋" w:cs="方正仿宋_GB2312"/>
          <w:color w:val="000000"/>
          <w:sz w:val="24"/>
        </w:rPr>
      </w:pPr>
    </w:p>
    <w:p w14:paraId="0632E096">
      <w:pPr>
        <w:adjustRightInd w:val="0"/>
        <w:snapToGrid w:val="0"/>
        <w:spacing w:line="360" w:lineRule="exact"/>
        <w:rPr>
          <w:rFonts w:hint="eastAsia" w:ascii="仿宋" w:hAnsi="仿宋" w:eastAsia="仿宋" w:cs="方正仿宋_GB2312"/>
          <w:color w:val="000000"/>
          <w:sz w:val="24"/>
        </w:rPr>
      </w:pPr>
    </w:p>
    <w:p w14:paraId="15EA4B4F">
      <w:pPr>
        <w:adjustRightInd w:val="0"/>
        <w:snapToGrid w:val="0"/>
        <w:spacing w:line="360" w:lineRule="exact"/>
        <w:jc w:val="left"/>
        <w:rPr>
          <w:rFonts w:hint="eastAsia" w:ascii="仿宋" w:hAnsi="仿宋" w:eastAsia="仿宋" w:cs="方正仿宋_GB2312"/>
          <w:color w:val="000000"/>
          <w:sz w:val="24"/>
        </w:rPr>
      </w:pPr>
    </w:p>
    <w:p w14:paraId="4266F188">
      <w:pPr>
        <w:adjustRightInd w:val="0"/>
        <w:snapToGrid w:val="0"/>
        <w:spacing w:line="360" w:lineRule="exact"/>
        <w:jc w:val="left"/>
        <w:rPr>
          <w:rFonts w:hint="eastAsia" w:ascii="仿宋" w:hAnsi="仿宋" w:eastAsia="仿宋" w:cs="方正仿宋_GB2312"/>
          <w:color w:val="000000"/>
          <w:sz w:val="24"/>
        </w:rPr>
      </w:pPr>
      <w:r>
        <w:rPr>
          <w:rFonts w:hint="eastAsia" w:ascii="仿宋" w:hAnsi="仿宋" w:eastAsia="仿宋" w:cs="方正仿宋_GB2312"/>
          <w:color w:val="000000"/>
          <w:sz w:val="24"/>
        </w:rPr>
        <w:t>乙方：</w:t>
      </w:r>
      <w:r>
        <w:rPr>
          <w:rFonts w:hint="eastAsia" w:ascii="仿宋" w:hAnsi="仿宋" w:eastAsia="仿宋" w:cs="方正仿宋_GB2312"/>
          <w:color w:val="000000"/>
          <w:kern w:val="0"/>
          <w:sz w:val="24"/>
        </w:rPr>
        <w:t>[  ]</w:t>
      </w:r>
      <w:r>
        <w:rPr>
          <w:rFonts w:hint="eastAsia" w:ascii="仿宋" w:hAnsi="仿宋" w:eastAsia="仿宋" w:cs="方正仿宋_GB2312"/>
          <w:color w:val="000000"/>
          <w:sz w:val="24"/>
        </w:rPr>
        <w:t>公司</w:t>
      </w:r>
    </w:p>
    <w:p w14:paraId="150F7279">
      <w:pPr>
        <w:adjustRightInd w:val="0"/>
        <w:snapToGrid w:val="0"/>
        <w:spacing w:line="360" w:lineRule="exact"/>
        <w:jc w:val="left"/>
        <w:rPr>
          <w:rFonts w:hint="eastAsia" w:ascii="仿宋" w:hAnsi="仿宋" w:eastAsia="仿宋" w:cs="方正仿宋_GB2312"/>
          <w:color w:val="000000"/>
          <w:sz w:val="24"/>
        </w:rPr>
      </w:pPr>
      <w:r>
        <w:rPr>
          <w:rFonts w:hint="eastAsia" w:ascii="仿宋" w:hAnsi="仿宋" w:eastAsia="仿宋" w:cs="方正仿宋_GB2312"/>
          <w:color w:val="000000"/>
          <w:sz w:val="24"/>
        </w:rPr>
        <w:t>法定代表人/负责人</w:t>
      </w:r>
    </w:p>
    <w:p w14:paraId="09AFD237">
      <w:pPr>
        <w:adjustRightInd w:val="0"/>
        <w:snapToGrid w:val="0"/>
        <w:spacing w:line="360" w:lineRule="exact"/>
        <w:jc w:val="left"/>
        <w:rPr>
          <w:rFonts w:hint="eastAsia" w:ascii="仿宋" w:hAnsi="仿宋" w:eastAsia="仿宋" w:cs="方正仿宋_GB2312"/>
          <w:color w:val="000000"/>
          <w:sz w:val="24"/>
        </w:rPr>
      </w:pPr>
      <w:r>
        <w:rPr>
          <w:rFonts w:hint="eastAsia" w:ascii="仿宋" w:hAnsi="仿宋" w:eastAsia="仿宋" w:cs="方正仿宋_GB2312"/>
          <w:color w:val="000000"/>
          <w:sz w:val="24"/>
        </w:rPr>
        <w:t>或授权代表：</w:t>
      </w:r>
    </w:p>
    <w:p w14:paraId="20A4EDBA">
      <w:pPr>
        <w:adjustRightInd w:val="0"/>
        <w:snapToGrid w:val="0"/>
        <w:spacing w:line="360" w:lineRule="exact"/>
        <w:jc w:val="left"/>
        <w:rPr>
          <w:rFonts w:hint="eastAsia" w:ascii="仿宋" w:hAnsi="仿宋" w:eastAsia="仿宋" w:cs="方正仿宋_GB2312"/>
          <w:color w:val="000000"/>
          <w:sz w:val="24"/>
        </w:rPr>
      </w:pPr>
    </w:p>
    <w:p w14:paraId="299903C8">
      <w:pPr>
        <w:adjustRightInd w:val="0"/>
        <w:snapToGrid w:val="0"/>
        <w:spacing w:line="360" w:lineRule="exact"/>
        <w:rPr>
          <w:rFonts w:hint="eastAsia" w:ascii="仿宋" w:hAnsi="仿宋" w:eastAsia="仿宋" w:cs="方正仿宋_GB2312"/>
          <w:color w:val="000000"/>
          <w:sz w:val="24"/>
        </w:rPr>
      </w:pPr>
      <w:r>
        <w:rPr>
          <w:rFonts w:hint="eastAsia" w:ascii="仿宋" w:hAnsi="仿宋" w:eastAsia="仿宋" w:cs="方正仿宋_GB2312"/>
          <w:color w:val="000000"/>
          <w:kern w:val="0"/>
          <w:sz w:val="24"/>
        </w:rPr>
        <w:t>签署日期：[  ]</w:t>
      </w:r>
      <w:r>
        <w:rPr>
          <w:rFonts w:hint="eastAsia" w:ascii="仿宋" w:hAnsi="仿宋" w:eastAsia="仿宋" w:cs="方正仿宋_GB2312"/>
          <w:color w:val="000000"/>
          <w:sz w:val="24"/>
        </w:rPr>
        <w:t>年</w:t>
      </w:r>
      <w:r>
        <w:rPr>
          <w:rFonts w:hint="eastAsia" w:ascii="仿宋" w:hAnsi="仿宋" w:eastAsia="仿宋" w:cs="方正仿宋_GB2312"/>
          <w:color w:val="000000"/>
          <w:kern w:val="0"/>
          <w:sz w:val="24"/>
        </w:rPr>
        <w:t>[  ]</w:t>
      </w:r>
      <w:r>
        <w:rPr>
          <w:rFonts w:hint="eastAsia" w:ascii="仿宋" w:hAnsi="仿宋" w:eastAsia="仿宋" w:cs="方正仿宋_GB2312"/>
          <w:color w:val="000000"/>
          <w:sz w:val="24"/>
        </w:rPr>
        <w:t>月</w:t>
      </w:r>
      <w:r>
        <w:rPr>
          <w:rFonts w:hint="eastAsia" w:ascii="仿宋" w:hAnsi="仿宋" w:eastAsia="仿宋" w:cs="方正仿宋_GB2312"/>
          <w:color w:val="000000"/>
          <w:kern w:val="0"/>
          <w:sz w:val="24"/>
        </w:rPr>
        <w:t>[  ]</w:t>
      </w:r>
      <w:r>
        <w:rPr>
          <w:rFonts w:hint="eastAsia" w:ascii="仿宋" w:hAnsi="仿宋" w:eastAsia="仿宋" w:cs="方正仿宋_GB2312"/>
          <w:color w:val="000000"/>
          <w:sz w:val="24"/>
        </w:rPr>
        <w:t>日</w:t>
      </w:r>
    </w:p>
    <w:p w14:paraId="74401F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Malgun Gothic Semilight"/>
    <w:panose1 w:val="02000000000000000000"/>
    <w:charset w:val="86"/>
    <w:family w:val="auto"/>
    <w:pitch w:val="default"/>
    <w:sig w:usb0="00000000" w:usb1="00000000" w:usb2="00000012"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2181A"/>
    <w:rsid w:val="45042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3"/>
    <w:basedOn w:val="1"/>
    <w:qFormat/>
    <w:uiPriority w:val="99"/>
    <w:pPr>
      <w:ind w:firstLine="480"/>
    </w:pPr>
    <w:rPr>
      <w:rFonts w:eastAsia="仿宋_GB2312"/>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4831</Words>
  <Characters>4979</Characters>
  <Lines>0</Lines>
  <Paragraphs>0</Paragraphs>
  <TotalTime>10</TotalTime>
  <ScaleCrop>false</ScaleCrop>
  <LinksUpToDate>false</LinksUpToDate>
  <CharactersWithSpaces>5577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2026-08-13T03:19:00Z</dcterms:created>
  <dc:creator>Administrator</dc:creator>
  <cp:lastModifiedBy>princess</cp:lastModifiedBy>
  <dcterms:modified xsi:type="dcterms:W3CDTF">2026-08-13T03:31:37Z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eyJoZGlkIjoiM2I2Njc3ZjU0OGM2YTE4ZjQyMTg0NGM3NjgwMjBkOTIiLCJ1c2VySWQiOiI0MjMxNDc2ODYifQ==</vt:lpwstr>
  </property>
  <property fmtid="{D5CDD505-2E9C-101B-9397-08002B2CF9AE}" pid="4" name="ICV">
    <vt:lpwstr>916427E70CCE44C88830A1406A5DD78A_12</vt:lpwstr>
  </property>
</Properties>
</file>