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版本号：SXWZ2026ZB-SGLJ-17720260824001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网络主体数据更新服务项目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SXWZ2026ZB-SGLJ-177</w:t>
      </w:r>
      <w:r>
        <w:br/>
      </w:r>
      <w:r>
        <w:br/>
      </w:r>
      <w:r>
        <w:br/>
      </w:r>
    </w:p>
    <w:p>
      <w:pPr>
        <w:pStyle w:val="null3"/>
        <w:jc w:val="center"/>
        <w:outlineLvl w:val="2"/>
      </w:pPr>
      <w:r>
        <w:rPr>
          <w:rFonts w:ascii="仿宋_GB2312" w:hAnsi="仿宋_GB2312" w:cs="仿宋_GB2312" w:eastAsia="仿宋_GB2312"/>
          <w:sz w:val="28"/>
          <w:b/>
        </w:rPr>
        <w:t>西安市市场监督管理局</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w:t>
      </w:r>
      <w:r>
        <w:rPr>
          <w:rFonts w:ascii="仿宋_GB2312" w:hAnsi="仿宋_GB2312" w:cs="仿宋_GB2312" w:eastAsia="仿宋_GB2312"/>
        </w:rPr>
        <w:t>委托，拟对</w:t>
      </w:r>
      <w:r>
        <w:rPr>
          <w:rFonts w:ascii="仿宋_GB2312" w:hAnsi="仿宋_GB2312" w:cs="仿宋_GB2312" w:eastAsia="仿宋_GB2312"/>
        </w:rPr>
        <w:t>网络主体数据更新服务项目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SXWZ2026ZB-SGLJ-177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网络主体数据更新服务项目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网络主体数据更新服务项目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采购包1（网络主体数据更新服务项目）：属于专门面向中小企业采购。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授权书：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p>
      <w:pPr>
        <w:pStyle w:val="null3"/>
      </w:pPr>
      <w:r>
        <w:rPr>
          <w:rFonts w:ascii="仿宋_GB2312" w:hAnsi="仿宋_GB2312" w:cs="仿宋_GB2312" w:eastAsia="仿宋_GB2312"/>
        </w:rPr>
        <w:t>7、中小企业声明函：本项目专门面向中小企业，供应商须提供中小企业声明函。</w:t>
      </w:r>
    </w:p>
    <w:p>
      <w:pPr>
        <w:pStyle w:val="null3"/>
      </w:pPr>
      <w:r>
        <w:rPr>
          <w:rFonts w:ascii="仿宋_GB2312" w:hAnsi="仿宋_GB2312" w:cs="仿宋_GB2312" w:eastAsia="仿宋_GB2312"/>
        </w:rPr>
        <w:t>8、非联合体声明：本项目不接受联合体磋商。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凤城八路109号2号楼五层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029-67098148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代理服务费收费标准：以本采购项目成交价为基数，参照（计价格[2002]1980号）文件规定的标准收费，由成交供应商在领取成交通知书时向招标代理机构交纳代理服务费，不足3000元的，按3000元计取.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联系人：张航波 张刘艳</w:t>
      </w:r>
    </w:p>
    <w:p>
      <w:pPr>
        <w:pStyle w:val="null3"/>
      </w:pPr>
      <w:r>
        <w:rPr>
          <w:rFonts w:ascii="仿宋_GB2312" w:hAnsi="仿宋_GB2312" w:cs="仿宋_GB2312" w:eastAsia="仿宋_GB2312"/>
        </w:rPr>
        <w:t>联系电话：029-88319689-8006/07</w:t>
      </w:r>
    </w:p>
    <w:p>
      <w:pPr>
        <w:pStyle w:val="null3"/>
      </w:pPr>
      <w:r>
        <w:rPr>
          <w:rFonts w:ascii="仿宋_GB2312" w:hAnsi="仿宋_GB2312" w:cs="仿宋_GB2312" w:eastAsia="仿宋_GB2312"/>
        </w:rPr>
        <w:t>地址：西安市高新区旺座现代城C座2502室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网络主体数据更新服务项目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网络主体数据更新服务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标的名称：网络主体数据更新服务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一、商务条款</w:t>
            </w:r>
          </w:p>
          <w:p>
            <w:pPr>
              <w:pStyle w:val="null3"/>
              <w:ind w:firstLine="496"/>
              <w:jc w:val="left"/>
            </w:pPr>
            <w:r>
              <w:rPr>
                <w:rFonts w:ascii="仿宋_GB2312" w:hAnsi="仿宋_GB2312" w:cs="仿宋_GB2312" w:eastAsia="仿宋_GB2312"/>
                <w:sz w:val="21"/>
              </w:rPr>
              <w:t>1.服务期：</w:t>
            </w:r>
            <w:r>
              <w:rPr>
                <w:rFonts w:ascii="仿宋_GB2312" w:hAnsi="仿宋_GB2312" w:cs="仿宋_GB2312" w:eastAsia="仿宋_GB2312"/>
                <w:sz w:val="21"/>
              </w:rPr>
              <w:t>自</w:t>
            </w:r>
            <w:r>
              <w:rPr>
                <w:rFonts w:ascii="仿宋_GB2312" w:hAnsi="仿宋_GB2312" w:cs="仿宋_GB2312" w:eastAsia="仿宋_GB2312"/>
                <w:sz w:val="21"/>
              </w:rPr>
              <w:t>2026年12月03日起一年</w:t>
            </w:r>
            <w:r>
              <w:rPr>
                <w:rFonts w:ascii="仿宋_GB2312" w:hAnsi="仿宋_GB2312" w:cs="仿宋_GB2312" w:eastAsia="仿宋_GB2312"/>
                <w:sz w:val="21"/>
              </w:rPr>
              <w:t>。</w:t>
            </w:r>
          </w:p>
          <w:p>
            <w:pPr>
              <w:pStyle w:val="null3"/>
              <w:ind w:firstLine="496"/>
              <w:jc w:val="left"/>
            </w:pPr>
            <w:r>
              <w:rPr>
                <w:rFonts w:ascii="仿宋_GB2312" w:hAnsi="仿宋_GB2312" w:cs="仿宋_GB2312" w:eastAsia="仿宋_GB2312"/>
                <w:sz w:val="21"/>
              </w:rPr>
              <w:t>2.服务地点：西安市市场监督管理局指定地点</w:t>
            </w:r>
          </w:p>
          <w:p>
            <w:pPr>
              <w:pStyle w:val="null3"/>
            </w:pPr>
            <w:r>
              <w:rPr>
                <w:rFonts w:ascii="仿宋_GB2312" w:hAnsi="仿宋_GB2312" w:cs="仿宋_GB2312" w:eastAsia="仿宋_GB2312"/>
                <w:sz w:val="21"/>
              </w:rPr>
              <w:t>3.付款方式： 合同签订后 ，达到付款条件起 1</w:t>
            </w:r>
            <w:r>
              <w:rPr>
                <w:rFonts w:ascii="仿宋_GB2312" w:hAnsi="仿宋_GB2312" w:cs="仿宋_GB2312" w:eastAsia="仿宋_GB2312"/>
                <w:sz w:val="21"/>
              </w:rPr>
              <w:t>0个工作日</w:t>
            </w:r>
            <w:r>
              <w:rPr>
                <w:rFonts w:ascii="仿宋_GB2312" w:hAnsi="仿宋_GB2312" w:cs="仿宋_GB2312" w:eastAsia="仿宋_GB2312"/>
                <w:sz w:val="21"/>
              </w:rPr>
              <w:t>内，支付合同总金额的</w:t>
            </w:r>
            <w:r>
              <w:rPr>
                <w:rFonts w:ascii="仿宋_GB2312" w:hAnsi="仿宋_GB2312" w:cs="仿宋_GB2312" w:eastAsia="仿宋_GB2312"/>
                <w:sz w:val="21"/>
              </w:rPr>
              <w:t>80</w:t>
            </w:r>
            <w:r>
              <w:rPr>
                <w:rFonts w:ascii="仿宋_GB2312" w:hAnsi="仿宋_GB2312" w:cs="仿宋_GB2312" w:eastAsia="仿宋_GB2312"/>
                <w:sz w:val="21"/>
              </w:rPr>
              <w:t>%。</w:t>
            </w:r>
            <w:r>
              <w:rPr>
                <w:rFonts w:ascii="仿宋_GB2312" w:hAnsi="仿宋_GB2312" w:cs="仿宋_GB2312" w:eastAsia="仿宋_GB2312"/>
                <w:sz w:val="21"/>
              </w:rPr>
              <w:t>服务期满，验收合格后，</w:t>
            </w:r>
            <w:r>
              <w:rPr>
                <w:rFonts w:ascii="仿宋_GB2312" w:hAnsi="仿宋_GB2312" w:cs="仿宋_GB2312" w:eastAsia="仿宋_GB2312"/>
                <w:sz w:val="21"/>
              </w:rPr>
              <w:t>达到付款条件起</w:t>
            </w:r>
            <w:r>
              <w:rPr>
                <w:rFonts w:ascii="仿宋_GB2312" w:hAnsi="仿宋_GB2312" w:cs="仿宋_GB2312" w:eastAsia="仿宋_GB2312"/>
                <w:sz w:val="21"/>
              </w:rPr>
              <w:t>1</w:t>
            </w:r>
            <w:r>
              <w:rPr>
                <w:rFonts w:ascii="仿宋_GB2312" w:hAnsi="仿宋_GB2312" w:cs="仿宋_GB2312" w:eastAsia="仿宋_GB2312"/>
                <w:sz w:val="21"/>
              </w:rPr>
              <w:t>0个工作日</w:t>
            </w:r>
            <w:r>
              <w:rPr>
                <w:rFonts w:ascii="仿宋_GB2312" w:hAnsi="仿宋_GB2312" w:cs="仿宋_GB2312" w:eastAsia="仿宋_GB2312"/>
                <w:sz w:val="21"/>
              </w:rPr>
              <w:t>内，支付合同总金额的</w:t>
            </w:r>
            <w:r>
              <w:rPr>
                <w:rFonts w:ascii="仿宋_GB2312" w:hAnsi="仿宋_GB2312" w:cs="仿宋_GB2312" w:eastAsia="仿宋_GB2312"/>
                <w:sz w:val="21"/>
              </w:rPr>
              <w:t>20</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after="105"/>
              <w:jc w:val="both"/>
              <w:outlineLvl w:val="0"/>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采购内容及要求</w:t>
            </w:r>
          </w:p>
          <w:p>
            <w:pPr>
              <w:pStyle w:val="null3"/>
              <w:spacing w:before="105" w:after="105"/>
              <w:jc w:val="left"/>
              <w:outlineLvl w:val="1"/>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总体要求</w:t>
            </w:r>
          </w:p>
          <w:p>
            <w:pPr>
              <w:pStyle w:val="null3"/>
              <w:ind w:firstLine="396"/>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合规性</w:t>
            </w:r>
            <w:r>
              <w:rPr>
                <w:rFonts w:ascii="仿宋_GB2312" w:hAnsi="仿宋_GB2312" w:cs="仿宋_GB2312" w:eastAsia="仿宋_GB2312"/>
                <w:sz w:val="21"/>
              </w:rPr>
              <w:t>：严格遵守《中华人民共和国电子商务法》《数据安全法》《个人信息保护法》《市场主体登记管理条例》等法律法规，确保数据采集、归集、存储、使用全流程合法合规。</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完整性</w:t>
            </w:r>
            <w:r>
              <w:rPr>
                <w:rFonts w:ascii="仿宋_GB2312" w:hAnsi="仿宋_GB2312" w:cs="仿宋_GB2312" w:eastAsia="仿宋_GB2312"/>
                <w:sz w:val="21"/>
              </w:rPr>
              <w:t>：全面归集西安市网络经营主体、平台内经营者、本地电商平台及餐饮、食品、医疗器械、药品、化妆品</w:t>
            </w:r>
            <w:r>
              <w:rPr>
                <w:rFonts w:ascii="仿宋_GB2312" w:hAnsi="仿宋_GB2312" w:cs="仿宋_GB2312" w:eastAsia="仿宋_GB2312"/>
                <w:sz w:val="21"/>
              </w:rPr>
              <w:t>等</w:t>
            </w:r>
            <w:r>
              <w:rPr>
                <w:rFonts w:ascii="仿宋_GB2312" w:hAnsi="仿宋_GB2312" w:cs="仿宋_GB2312" w:eastAsia="仿宋_GB2312"/>
                <w:sz w:val="21"/>
              </w:rPr>
              <w:t>行业主体数据，确保数据覆盖全面、字段完整。</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准确性</w:t>
            </w:r>
            <w:r>
              <w:rPr>
                <w:rFonts w:ascii="仿宋_GB2312" w:hAnsi="仿宋_GB2312" w:cs="仿宋_GB2312" w:eastAsia="仿宋_GB2312"/>
                <w:sz w:val="21"/>
              </w:rPr>
              <w:t>：建立数据质量核查机制，通过技术校验、人工复核等方式，确保数据真实、准确、有效，无虚假、错误信息。</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时效性</w:t>
            </w:r>
            <w:r>
              <w:rPr>
                <w:rFonts w:ascii="仿宋_GB2312" w:hAnsi="仿宋_GB2312" w:cs="仿宋_GB2312" w:eastAsia="仿宋_GB2312"/>
                <w:sz w:val="21"/>
              </w:rPr>
              <w:t>：严格按照主体库季度更新、行业库月度更新要求，及时完成数据更新，保障数据与实际经营情况同步。</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安全性</w:t>
            </w:r>
            <w:r>
              <w:rPr>
                <w:rFonts w:ascii="仿宋_GB2312" w:hAnsi="仿宋_GB2312" w:cs="仿宋_GB2312" w:eastAsia="仿宋_GB2312"/>
                <w:sz w:val="21"/>
              </w:rPr>
              <w:t>：构建全流程数据安全防护体系，防范数据泄露、篡改、丢失风险，保障数据安全可控。</w:t>
            </w:r>
          </w:p>
          <w:p>
            <w:pPr>
              <w:pStyle w:val="null3"/>
              <w:spacing w:before="105" w:after="105"/>
              <w:jc w:val="left"/>
              <w:outlineLvl w:val="1"/>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具体采购内容及技术要求</w:t>
            </w:r>
          </w:p>
          <w:p>
            <w:pPr>
              <w:pStyle w:val="null3"/>
              <w:ind w:firstLine="420"/>
              <w:jc w:val="both"/>
            </w:pPr>
            <w:r>
              <w:rPr>
                <w:rFonts w:ascii="仿宋_GB2312" w:hAnsi="仿宋_GB2312" w:cs="仿宋_GB2312" w:eastAsia="仿宋_GB2312"/>
                <w:sz w:val="21"/>
                <w:b/>
              </w:rPr>
              <w:t>2.1主体数据库建设与更新</w:t>
            </w:r>
          </w:p>
          <w:p>
            <w:pPr>
              <w:pStyle w:val="null3"/>
              <w:ind w:firstLine="420"/>
              <w:jc w:val="both"/>
            </w:pPr>
            <w:r>
              <w:rPr>
                <w:rFonts w:ascii="仿宋_GB2312" w:hAnsi="仿宋_GB2312" w:cs="仿宋_GB2312" w:eastAsia="仿宋_GB2312"/>
                <w:sz w:val="21"/>
                <w:b/>
              </w:rPr>
              <w:t>（</w:t>
            </w:r>
            <w:r>
              <w:rPr>
                <w:rFonts w:ascii="仿宋_GB2312" w:hAnsi="仿宋_GB2312" w:cs="仿宋_GB2312" w:eastAsia="仿宋_GB2312"/>
                <w:sz w:val="21"/>
                <w:b/>
              </w:rPr>
              <w:t>1）网络经营主体库</w:t>
            </w:r>
          </w:p>
          <w:p>
            <w:pPr>
              <w:pStyle w:val="null3"/>
              <w:ind w:firstLine="396"/>
              <w:jc w:val="both"/>
            </w:pPr>
            <w:r>
              <w:rPr>
                <w:rFonts w:ascii="仿宋_GB2312" w:hAnsi="仿宋_GB2312" w:cs="仿宋_GB2312" w:eastAsia="仿宋_GB2312"/>
                <w:sz w:val="21"/>
              </w:rPr>
              <w:t>数据范围：</w:t>
            </w:r>
            <w:r>
              <w:rPr>
                <w:rFonts w:ascii="仿宋_GB2312" w:hAnsi="仿宋_GB2312" w:cs="仿宋_GB2312" w:eastAsia="仿宋_GB2312"/>
                <w:sz w:val="21"/>
              </w:rPr>
              <w:t>西安市行政区域内从事网络经营活动的法人、非法人组织及个体工商户</w:t>
            </w:r>
            <w:r>
              <w:rPr>
                <w:rFonts w:ascii="仿宋_GB2312" w:hAnsi="仿宋_GB2312" w:cs="仿宋_GB2312" w:eastAsia="仿宋_GB2312"/>
                <w:sz w:val="21"/>
              </w:rPr>
              <w:t>等</w:t>
            </w:r>
            <w:r>
              <w:rPr>
                <w:rFonts w:ascii="仿宋_GB2312" w:hAnsi="仿宋_GB2312" w:cs="仿宋_GB2312" w:eastAsia="仿宋_GB2312"/>
                <w:sz w:val="21"/>
              </w:rPr>
              <w:t>，包括自建网站经营者、第三方平台入驻经营者等。</w:t>
            </w:r>
          </w:p>
          <w:p>
            <w:pPr>
              <w:pStyle w:val="null3"/>
              <w:ind w:firstLine="396"/>
              <w:jc w:val="both"/>
            </w:pPr>
            <w:r>
              <w:rPr>
                <w:rFonts w:ascii="仿宋_GB2312" w:hAnsi="仿宋_GB2312" w:cs="仿宋_GB2312" w:eastAsia="仿宋_GB2312"/>
                <w:sz w:val="21"/>
              </w:rPr>
              <w:t>核心字段：</w:t>
            </w:r>
            <w:r>
              <w:rPr>
                <w:rFonts w:ascii="仿宋_GB2312" w:hAnsi="仿宋_GB2312" w:cs="仿宋_GB2312" w:eastAsia="仿宋_GB2312"/>
                <w:sz w:val="21"/>
              </w:rPr>
              <w:t>主体名称、统一社会信用代码、法定代表人（负责人）、经营地址、经营范围、经营状态、注册时间</w:t>
            </w:r>
            <w:r>
              <w:rPr>
                <w:rFonts w:ascii="仿宋_GB2312" w:hAnsi="仿宋_GB2312" w:cs="仿宋_GB2312" w:eastAsia="仿宋_GB2312"/>
                <w:sz w:val="21"/>
              </w:rPr>
              <w:t>及营业额</w:t>
            </w:r>
            <w:r>
              <w:rPr>
                <w:rFonts w:ascii="仿宋_GB2312" w:hAnsi="仿宋_GB2312" w:cs="仿宋_GB2312" w:eastAsia="仿宋_GB2312"/>
                <w:sz w:val="21"/>
              </w:rPr>
              <w:t>等。</w:t>
            </w:r>
          </w:p>
          <w:p>
            <w:pPr>
              <w:pStyle w:val="null3"/>
              <w:ind w:firstLine="396"/>
              <w:jc w:val="both"/>
            </w:pPr>
            <w:r>
              <w:rPr>
                <w:rFonts w:ascii="仿宋_GB2312" w:hAnsi="仿宋_GB2312" w:cs="仿宋_GB2312" w:eastAsia="仿宋_GB2312"/>
                <w:sz w:val="21"/>
              </w:rPr>
              <w:t>数据数量：</w:t>
            </w:r>
            <w:r>
              <w:rPr>
                <w:rFonts w:ascii="仿宋_GB2312" w:hAnsi="仿宋_GB2312" w:cs="仿宋_GB2312" w:eastAsia="仿宋_GB2312"/>
                <w:sz w:val="21"/>
              </w:rPr>
              <w:t>归集数据</w:t>
            </w:r>
            <w:r>
              <w:rPr>
                <w:rFonts w:ascii="仿宋_GB2312" w:hAnsi="仿宋_GB2312" w:cs="仿宋_GB2312" w:eastAsia="仿宋_GB2312"/>
                <w:sz w:val="21"/>
              </w:rPr>
              <w:t>≥10万家。</w:t>
            </w:r>
          </w:p>
          <w:p>
            <w:pPr>
              <w:pStyle w:val="null3"/>
              <w:ind w:firstLine="396"/>
              <w:jc w:val="both"/>
            </w:pPr>
            <w:r>
              <w:rPr>
                <w:rFonts w:ascii="仿宋_GB2312" w:hAnsi="仿宋_GB2312" w:cs="仿宋_GB2312" w:eastAsia="仿宋_GB2312"/>
                <w:sz w:val="21"/>
              </w:rPr>
              <w:t>更新频率：</w:t>
            </w:r>
            <w:r>
              <w:rPr>
                <w:rFonts w:ascii="仿宋_GB2312" w:hAnsi="仿宋_GB2312" w:cs="仿宋_GB2312" w:eastAsia="仿宋_GB2312"/>
                <w:sz w:val="21"/>
              </w:rPr>
              <w:t>季度更新，每季度末月</w:t>
            </w:r>
            <w:r>
              <w:rPr>
                <w:rFonts w:ascii="仿宋_GB2312" w:hAnsi="仿宋_GB2312" w:cs="仿宋_GB2312" w:eastAsia="仿宋_GB2312"/>
                <w:sz w:val="21"/>
              </w:rPr>
              <w:t>25 日前完成更新并同步至甲方系统。</w:t>
            </w:r>
          </w:p>
          <w:p>
            <w:pPr>
              <w:pStyle w:val="null3"/>
              <w:ind w:firstLine="420"/>
              <w:jc w:val="both"/>
            </w:pPr>
            <w:r>
              <w:rPr>
                <w:rFonts w:ascii="仿宋_GB2312" w:hAnsi="仿宋_GB2312" w:cs="仿宋_GB2312" w:eastAsia="仿宋_GB2312"/>
                <w:sz w:val="21"/>
                <w:b/>
              </w:rPr>
              <w:t>（</w:t>
            </w:r>
            <w:r>
              <w:rPr>
                <w:rFonts w:ascii="仿宋_GB2312" w:hAnsi="仿宋_GB2312" w:cs="仿宋_GB2312" w:eastAsia="仿宋_GB2312"/>
                <w:sz w:val="21"/>
                <w:b/>
              </w:rPr>
              <w:t>2） 平台内经营者数据库</w:t>
            </w:r>
          </w:p>
          <w:p>
            <w:pPr>
              <w:pStyle w:val="null3"/>
              <w:ind w:firstLine="396"/>
              <w:jc w:val="both"/>
            </w:pPr>
            <w:r>
              <w:rPr>
                <w:rFonts w:ascii="仿宋_GB2312" w:hAnsi="仿宋_GB2312" w:cs="仿宋_GB2312" w:eastAsia="仿宋_GB2312"/>
                <w:sz w:val="21"/>
              </w:rPr>
              <w:t>数据范围：</w:t>
            </w:r>
            <w:r>
              <w:rPr>
                <w:rFonts w:ascii="仿宋_GB2312" w:hAnsi="仿宋_GB2312" w:cs="仿宋_GB2312" w:eastAsia="仿宋_GB2312"/>
                <w:sz w:val="21"/>
              </w:rPr>
              <w:t>入驻淘宝、京东、拼多多、抖音、快手等主流电商平台及直播电商平台，注册地或经营地在西安市的经营者。</w:t>
            </w:r>
          </w:p>
          <w:p>
            <w:pPr>
              <w:pStyle w:val="null3"/>
              <w:ind w:firstLine="396"/>
              <w:jc w:val="both"/>
            </w:pPr>
            <w:r>
              <w:rPr>
                <w:rFonts w:ascii="仿宋_GB2312" w:hAnsi="仿宋_GB2312" w:cs="仿宋_GB2312" w:eastAsia="仿宋_GB2312"/>
                <w:sz w:val="21"/>
              </w:rPr>
              <w:t>核心字段：店铺名称、</w:t>
            </w:r>
            <w:r>
              <w:rPr>
                <w:rFonts w:ascii="仿宋_GB2312" w:hAnsi="仿宋_GB2312" w:cs="仿宋_GB2312" w:eastAsia="仿宋_GB2312"/>
                <w:sz w:val="21"/>
              </w:rPr>
              <w:t>店铺</w:t>
            </w:r>
            <w:r>
              <w:rPr>
                <w:rFonts w:ascii="仿宋_GB2312" w:hAnsi="仿宋_GB2312" w:cs="仿宋_GB2312" w:eastAsia="仿宋_GB2312"/>
                <w:sz w:val="21"/>
              </w:rPr>
              <w:t>url、</w:t>
            </w:r>
            <w:r>
              <w:rPr>
                <w:rFonts w:ascii="仿宋_GB2312" w:hAnsi="仿宋_GB2312" w:cs="仿宋_GB2312" w:eastAsia="仿宋_GB2312"/>
                <w:sz w:val="21"/>
              </w:rPr>
              <w:t>平台账号、统一社会信用代码（个体工商户为身份证号）、店铺地址、经营类目</w:t>
            </w:r>
            <w:r>
              <w:rPr>
                <w:rFonts w:ascii="仿宋_GB2312" w:hAnsi="仿宋_GB2312" w:cs="仿宋_GB2312" w:eastAsia="仿宋_GB2312"/>
                <w:sz w:val="21"/>
              </w:rPr>
              <w:t>及营业额</w:t>
            </w:r>
            <w:r>
              <w:rPr>
                <w:rFonts w:ascii="仿宋_GB2312" w:hAnsi="仿宋_GB2312" w:cs="仿宋_GB2312" w:eastAsia="仿宋_GB2312"/>
                <w:sz w:val="21"/>
              </w:rPr>
              <w:t>等。</w:t>
            </w:r>
          </w:p>
          <w:p>
            <w:pPr>
              <w:pStyle w:val="null3"/>
              <w:ind w:firstLine="396"/>
              <w:jc w:val="both"/>
            </w:pPr>
            <w:r>
              <w:rPr>
                <w:rFonts w:ascii="仿宋_GB2312" w:hAnsi="仿宋_GB2312" w:cs="仿宋_GB2312" w:eastAsia="仿宋_GB2312"/>
                <w:sz w:val="21"/>
              </w:rPr>
              <w:t>更新频率：季度更新，与网络经营主体库同步完成。</w:t>
            </w:r>
          </w:p>
          <w:p>
            <w:pPr>
              <w:pStyle w:val="null3"/>
              <w:ind w:firstLine="420"/>
              <w:jc w:val="both"/>
            </w:pPr>
            <w:r>
              <w:rPr>
                <w:rFonts w:ascii="仿宋_GB2312" w:hAnsi="仿宋_GB2312" w:cs="仿宋_GB2312" w:eastAsia="仿宋_GB2312"/>
                <w:sz w:val="21"/>
                <w:b/>
              </w:rPr>
              <w:t>（</w:t>
            </w:r>
            <w:r>
              <w:rPr>
                <w:rFonts w:ascii="仿宋_GB2312" w:hAnsi="仿宋_GB2312" w:cs="仿宋_GB2312" w:eastAsia="仿宋_GB2312"/>
                <w:sz w:val="21"/>
                <w:b/>
              </w:rPr>
              <w:t>3） 本地电商平台数据库</w:t>
            </w:r>
          </w:p>
          <w:p>
            <w:pPr>
              <w:pStyle w:val="null3"/>
              <w:ind w:firstLine="396"/>
              <w:jc w:val="both"/>
            </w:pPr>
            <w:r>
              <w:rPr>
                <w:rFonts w:ascii="仿宋_GB2312" w:hAnsi="仿宋_GB2312" w:cs="仿宋_GB2312" w:eastAsia="仿宋_GB2312"/>
                <w:sz w:val="21"/>
              </w:rPr>
              <w:t>数据范围：注册地在西安市的本土电商平台、直播电商平台及社交电商平台。</w:t>
            </w:r>
          </w:p>
          <w:p>
            <w:pPr>
              <w:pStyle w:val="null3"/>
              <w:ind w:firstLine="396"/>
              <w:jc w:val="both"/>
            </w:pPr>
            <w:r>
              <w:rPr>
                <w:rFonts w:ascii="仿宋_GB2312" w:hAnsi="仿宋_GB2312" w:cs="仿宋_GB2312" w:eastAsia="仿宋_GB2312"/>
                <w:sz w:val="21"/>
              </w:rPr>
              <w:t>核心字段：平台名称、统一社会信用代码、法定代表人、平台地址、平台类型、入驻商家数量、交易规模</w:t>
            </w:r>
            <w:r>
              <w:rPr>
                <w:rFonts w:ascii="仿宋_GB2312" w:hAnsi="仿宋_GB2312" w:cs="仿宋_GB2312" w:eastAsia="仿宋_GB2312"/>
                <w:sz w:val="21"/>
              </w:rPr>
              <w:t>及营业额</w:t>
            </w:r>
            <w:r>
              <w:rPr>
                <w:rFonts w:ascii="仿宋_GB2312" w:hAnsi="仿宋_GB2312" w:cs="仿宋_GB2312" w:eastAsia="仿宋_GB2312"/>
                <w:sz w:val="21"/>
              </w:rPr>
              <w:t>等。</w:t>
            </w:r>
          </w:p>
          <w:p>
            <w:pPr>
              <w:pStyle w:val="null3"/>
              <w:ind w:firstLine="396"/>
              <w:jc w:val="both"/>
            </w:pPr>
            <w:r>
              <w:rPr>
                <w:rFonts w:ascii="仿宋_GB2312" w:hAnsi="仿宋_GB2312" w:cs="仿宋_GB2312" w:eastAsia="仿宋_GB2312"/>
                <w:sz w:val="21"/>
              </w:rPr>
              <w:t>更新频率：季度更新。</w:t>
            </w:r>
          </w:p>
          <w:p>
            <w:pPr>
              <w:pStyle w:val="null3"/>
              <w:ind w:firstLine="420"/>
              <w:jc w:val="both"/>
            </w:pPr>
            <w:r>
              <w:rPr>
                <w:rFonts w:ascii="仿宋_GB2312" w:hAnsi="仿宋_GB2312" w:cs="仿宋_GB2312" w:eastAsia="仿宋_GB2312"/>
                <w:sz w:val="21"/>
                <w:b/>
              </w:rPr>
              <w:t>2.2</w:t>
            </w:r>
            <w:r>
              <w:rPr>
                <w:rFonts w:ascii="仿宋_GB2312" w:hAnsi="仿宋_GB2312" w:cs="仿宋_GB2312" w:eastAsia="仿宋_GB2312"/>
                <w:sz w:val="21"/>
                <w:b/>
              </w:rPr>
              <w:t>行业数据库建设与更新</w:t>
            </w:r>
          </w:p>
          <w:p>
            <w:pPr>
              <w:pStyle w:val="null3"/>
              <w:ind w:firstLine="420"/>
              <w:jc w:val="both"/>
            </w:pP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餐饮行业数据库</w:t>
            </w:r>
          </w:p>
          <w:p>
            <w:pPr>
              <w:pStyle w:val="null3"/>
              <w:ind w:firstLine="396"/>
              <w:jc w:val="both"/>
            </w:pPr>
            <w:r>
              <w:rPr>
                <w:rFonts w:ascii="仿宋_GB2312" w:hAnsi="仿宋_GB2312" w:cs="仿宋_GB2312" w:eastAsia="仿宋_GB2312"/>
                <w:sz w:val="21"/>
              </w:rPr>
              <w:t>数据范围：西安市行政区域内从事餐饮服务的线上线下经营者，含外卖平台入驻餐饮店铺。</w:t>
            </w:r>
          </w:p>
          <w:p>
            <w:pPr>
              <w:pStyle w:val="null3"/>
              <w:ind w:firstLine="396"/>
              <w:jc w:val="both"/>
            </w:pPr>
            <w:r>
              <w:rPr>
                <w:rFonts w:ascii="仿宋_GB2312" w:hAnsi="仿宋_GB2312" w:cs="仿宋_GB2312" w:eastAsia="仿宋_GB2312"/>
                <w:sz w:val="21"/>
              </w:rPr>
              <w:t>店铺</w:t>
            </w:r>
            <w:r>
              <w:rPr>
                <w:rFonts w:ascii="仿宋_GB2312" w:hAnsi="仿宋_GB2312" w:cs="仿宋_GB2312" w:eastAsia="仿宋_GB2312"/>
                <w:sz w:val="21"/>
              </w:rPr>
              <w:t>核心字段：店铺名称、店铺链接、店铺类别、经营地址、所属商圈、所属平台、</w:t>
            </w:r>
            <w:r>
              <w:rPr>
                <w:rFonts w:ascii="仿宋_GB2312" w:hAnsi="仿宋_GB2312" w:cs="仿宋_GB2312" w:eastAsia="仿宋_GB2312"/>
                <w:sz w:val="21"/>
              </w:rPr>
              <w:t>营业额</w:t>
            </w:r>
            <w:r>
              <w:rPr>
                <w:rFonts w:ascii="仿宋_GB2312" w:hAnsi="仿宋_GB2312" w:cs="仿宋_GB2312" w:eastAsia="仿宋_GB2312"/>
                <w:sz w:val="21"/>
              </w:rPr>
              <w:t>、店铺评分等。</w:t>
            </w:r>
          </w:p>
          <w:p>
            <w:pPr>
              <w:pStyle w:val="null3"/>
              <w:ind w:firstLine="396"/>
              <w:jc w:val="both"/>
            </w:pPr>
            <w:r>
              <w:rPr>
                <w:rFonts w:ascii="仿宋_GB2312" w:hAnsi="仿宋_GB2312" w:cs="仿宋_GB2312" w:eastAsia="仿宋_GB2312"/>
                <w:sz w:val="21"/>
              </w:rPr>
              <w:t>商品数据字段：商品名称、商品链接、商品图</w:t>
            </w:r>
            <w:r>
              <w:rPr>
                <w:rFonts w:ascii="仿宋_GB2312" w:hAnsi="仿宋_GB2312" w:cs="仿宋_GB2312" w:eastAsia="仿宋_GB2312"/>
                <w:sz w:val="21"/>
              </w:rPr>
              <w:t>OCR信息、平台名称、店铺/网站链接、商品分类、行政区划、抓取时间等。</w:t>
            </w:r>
          </w:p>
          <w:p>
            <w:pPr>
              <w:pStyle w:val="null3"/>
              <w:ind w:firstLine="396"/>
              <w:jc w:val="both"/>
            </w:pPr>
            <w:r>
              <w:rPr>
                <w:rFonts w:ascii="仿宋_GB2312" w:hAnsi="仿宋_GB2312" w:cs="仿宋_GB2312" w:eastAsia="仿宋_GB2312"/>
                <w:sz w:val="21"/>
              </w:rPr>
              <w:t>数据数量：店铺数据</w:t>
            </w:r>
            <w:r>
              <w:rPr>
                <w:rFonts w:ascii="仿宋_GB2312" w:hAnsi="仿宋_GB2312" w:cs="仿宋_GB2312" w:eastAsia="仿宋_GB2312"/>
                <w:sz w:val="21"/>
              </w:rPr>
              <w:t>≥10万家。</w:t>
            </w:r>
          </w:p>
          <w:p>
            <w:pPr>
              <w:pStyle w:val="null3"/>
              <w:ind w:firstLine="412"/>
              <w:jc w:val="both"/>
            </w:pPr>
            <w:r>
              <w:rPr>
                <w:rFonts w:ascii="仿宋_GB2312" w:hAnsi="仿宋_GB2312" w:cs="仿宋_GB2312" w:eastAsia="仿宋_GB2312"/>
                <w:sz w:val="21"/>
              </w:rPr>
              <w:t>更新频率：月度更新，每月</w:t>
            </w:r>
            <w:r>
              <w:rPr>
                <w:rFonts w:ascii="仿宋_GB2312" w:hAnsi="仿宋_GB2312" w:cs="仿宋_GB2312" w:eastAsia="仿宋_GB2312"/>
                <w:sz w:val="21"/>
              </w:rPr>
              <w:t>25</w:t>
            </w:r>
            <w:r>
              <w:rPr>
                <w:rFonts w:ascii="仿宋_GB2312" w:hAnsi="仿宋_GB2312" w:cs="仿宋_GB2312" w:eastAsia="仿宋_GB2312"/>
                <w:sz w:val="21"/>
              </w:rPr>
              <w:t xml:space="preserve"> </w:t>
            </w:r>
            <w:r>
              <w:rPr>
                <w:rFonts w:ascii="仿宋_GB2312" w:hAnsi="仿宋_GB2312" w:cs="仿宋_GB2312" w:eastAsia="仿宋_GB2312"/>
                <w:sz w:val="21"/>
              </w:rPr>
              <w:t>日前完成更新并同步至甲</w:t>
            </w:r>
            <w:r>
              <w:rPr>
                <w:rFonts w:ascii="仿宋_GB2312" w:hAnsi="仿宋_GB2312" w:cs="仿宋_GB2312" w:eastAsia="仿宋_GB2312"/>
                <w:sz w:val="21"/>
              </w:rPr>
              <w:t>方</w:t>
            </w:r>
            <w:r>
              <w:rPr>
                <w:rFonts w:ascii="仿宋_GB2312" w:hAnsi="仿宋_GB2312" w:cs="仿宋_GB2312" w:eastAsia="仿宋_GB2312"/>
                <w:sz w:val="21"/>
              </w:rPr>
              <w:t>系统。</w:t>
            </w:r>
          </w:p>
          <w:p>
            <w:pPr>
              <w:pStyle w:val="null3"/>
              <w:ind w:firstLine="420"/>
              <w:jc w:val="both"/>
            </w:pPr>
            <w:r>
              <w:rPr>
                <w:rFonts w:ascii="仿宋_GB2312" w:hAnsi="仿宋_GB2312" w:cs="仿宋_GB2312" w:eastAsia="仿宋_GB2312"/>
                <w:sz w:val="21"/>
                <w:b/>
              </w:rPr>
              <w:t>（</w:t>
            </w:r>
            <w:r>
              <w:rPr>
                <w:rFonts w:ascii="仿宋_GB2312" w:hAnsi="仿宋_GB2312" w:cs="仿宋_GB2312" w:eastAsia="仿宋_GB2312"/>
                <w:sz w:val="21"/>
                <w:b/>
              </w:rPr>
              <w:t>2）食品行业数据库</w:t>
            </w:r>
          </w:p>
          <w:p>
            <w:pPr>
              <w:pStyle w:val="null3"/>
              <w:ind w:firstLine="396"/>
              <w:jc w:val="both"/>
            </w:pPr>
            <w:r>
              <w:rPr>
                <w:rFonts w:ascii="仿宋_GB2312" w:hAnsi="仿宋_GB2312" w:cs="仿宋_GB2312" w:eastAsia="仿宋_GB2312"/>
                <w:sz w:val="21"/>
              </w:rPr>
              <w:t>数据范围：西安市行政区域内从事食品生产、销售、加工的线上经营者，含预包装食品、散装食品、保健食品经营者。</w:t>
            </w:r>
          </w:p>
          <w:p>
            <w:pPr>
              <w:pStyle w:val="null3"/>
              <w:ind w:firstLine="396"/>
              <w:jc w:val="both"/>
            </w:pPr>
            <w:r>
              <w:rPr>
                <w:rFonts w:ascii="仿宋_GB2312" w:hAnsi="仿宋_GB2312" w:cs="仿宋_GB2312" w:eastAsia="仿宋_GB2312"/>
                <w:sz w:val="21"/>
              </w:rPr>
              <w:t>店铺</w:t>
            </w:r>
            <w:r>
              <w:rPr>
                <w:rFonts w:ascii="仿宋_GB2312" w:hAnsi="仿宋_GB2312" w:cs="仿宋_GB2312" w:eastAsia="仿宋_GB2312"/>
                <w:sz w:val="21"/>
              </w:rPr>
              <w:t>核心字段</w:t>
            </w:r>
            <w:r>
              <w:rPr>
                <w:rFonts w:ascii="仿宋_GB2312" w:hAnsi="仿宋_GB2312" w:cs="仿宋_GB2312" w:eastAsia="仿宋_GB2312"/>
                <w:sz w:val="21"/>
              </w:rPr>
              <w:t>：店铺名称、店铺链接、平台、主体名称、统一社会信用代码、注册地址、登记机关</w:t>
            </w:r>
            <w:r>
              <w:rPr>
                <w:rFonts w:ascii="仿宋_GB2312" w:hAnsi="仿宋_GB2312" w:cs="仿宋_GB2312" w:eastAsia="仿宋_GB2312"/>
                <w:sz w:val="21"/>
              </w:rPr>
              <w:t>（</w:t>
            </w:r>
            <w:r>
              <w:rPr>
                <w:rFonts w:ascii="仿宋_GB2312" w:hAnsi="仿宋_GB2312" w:cs="仿宋_GB2312" w:eastAsia="仿宋_GB2312"/>
                <w:sz w:val="21"/>
              </w:rPr>
              <w:t>省、市、区</w:t>
            </w:r>
            <w:r>
              <w:rPr>
                <w:rFonts w:ascii="仿宋_GB2312" w:hAnsi="仿宋_GB2312" w:cs="仿宋_GB2312" w:eastAsia="仿宋_GB2312"/>
                <w:sz w:val="21"/>
              </w:rPr>
              <w:t>）</w:t>
            </w:r>
            <w:r>
              <w:rPr>
                <w:rFonts w:ascii="仿宋_GB2312" w:hAnsi="仿宋_GB2312" w:cs="仿宋_GB2312" w:eastAsia="仿宋_GB2312"/>
                <w:sz w:val="21"/>
              </w:rPr>
              <w:t>及营业额</w:t>
            </w:r>
            <w:r>
              <w:rPr>
                <w:rFonts w:ascii="仿宋_GB2312" w:hAnsi="仿宋_GB2312" w:cs="仿宋_GB2312" w:eastAsia="仿宋_GB2312"/>
                <w:sz w:val="21"/>
              </w:rPr>
              <w:t>等。</w:t>
            </w:r>
          </w:p>
          <w:p>
            <w:pPr>
              <w:pStyle w:val="null3"/>
              <w:ind w:firstLine="396"/>
              <w:jc w:val="both"/>
            </w:pPr>
            <w:r>
              <w:rPr>
                <w:rFonts w:ascii="仿宋_GB2312" w:hAnsi="仿宋_GB2312" w:cs="仿宋_GB2312" w:eastAsia="仿宋_GB2312"/>
                <w:sz w:val="21"/>
              </w:rPr>
              <w:t>商品数据字段：商品名称、商品链接、商品图</w:t>
            </w:r>
            <w:r>
              <w:rPr>
                <w:rFonts w:ascii="仿宋_GB2312" w:hAnsi="仿宋_GB2312" w:cs="仿宋_GB2312" w:eastAsia="仿宋_GB2312"/>
                <w:sz w:val="21"/>
              </w:rPr>
              <w:t>OCR信息、平台名称、店铺/网站链接、商品分类、行政区划、抓取时间等。</w:t>
            </w:r>
          </w:p>
          <w:p>
            <w:pPr>
              <w:pStyle w:val="null3"/>
              <w:ind w:firstLine="396"/>
              <w:jc w:val="both"/>
            </w:pPr>
            <w:r>
              <w:rPr>
                <w:rFonts w:ascii="仿宋_GB2312" w:hAnsi="仿宋_GB2312" w:cs="仿宋_GB2312" w:eastAsia="仿宋_GB2312"/>
                <w:sz w:val="21"/>
              </w:rPr>
              <w:t>数据数量：店铺数据</w:t>
            </w:r>
            <w:r>
              <w:rPr>
                <w:rFonts w:ascii="仿宋_GB2312" w:hAnsi="仿宋_GB2312" w:cs="仿宋_GB2312" w:eastAsia="仿宋_GB2312"/>
                <w:sz w:val="21"/>
              </w:rPr>
              <w:t>≥1万 家。</w:t>
            </w:r>
          </w:p>
          <w:p>
            <w:pPr>
              <w:pStyle w:val="null3"/>
              <w:ind w:firstLine="396"/>
              <w:jc w:val="both"/>
            </w:pPr>
            <w:r>
              <w:rPr>
                <w:rFonts w:ascii="仿宋_GB2312" w:hAnsi="仿宋_GB2312" w:cs="仿宋_GB2312" w:eastAsia="仿宋_GB2312"/>
                <w:sz w:val="21"/>
              </w:rPr>
              <w:t>更新频率：月度更新。</w:t>
            </w:r>
          </w:p>
          <w:p>
            <w:pPr>
              <w:pStyle w:val="null3"/>
              <w:ind w:firstLine="420"/>
              <w:jc w:val="both"/>
            </w:pPr>
            <w:r>
              <w:rPr>
                <w:rFonts w:ascii="仿宋_GB2312" w:hAnsi="仿宋_GB2312" w:cs="仿宋_GB2312" w:eastAsia="仿宋_GB2312"/>
                <w:sz w:val="21"/>
                <w:b/>
              </w:rPr>
              <w:t>（</w:t>
            </w:r>
            <w:r>
              <w:rPr>
                <w:rFonts w:ascii="仿宋_GB2312" w:hAnsi="仿宋_GB2312" w:cs="仿宋_GB2312" w:eastAsia="仿宋_GB2312"/>
                <w:sz w:val="21"/>
                <w:b/>
              </w:rPr>
              <w:t>3）医疗器械行业数据库</w:t>
            </w:r>
          </w:p>
          <w:p>
            <w:pPr>
              <w:pStyle w:val="null3"/>
              <w:ind w:firstLine="396"/>
              <w:jc w:val="both"/>
            </w:pPr>
            <w:r>
              <w:rPr>
                <w:rFonts w:ascii="仿宋_GB2312" w:hAnsi="仿宋_GB2312" w:cs="仿宋_GB2312" w:eastAsia="仿宋_GB2312"/>
                <w:sz w:val="21"/>
              </w:rPr>
              <w:t>数据范围：西安市行政区域内从事医疗器械生产、经营、销售的线上线下经营者，含一类、二类、三类医疗器械经营者。</w:t>
            </w:r>
          </w:p>
          <w:p>
            <w:pPr>
              <w:pStyle w:val="null3"/>
              <w:ind w:firstLine="396"/>
              <w:jc w:val="both"/>
            </w:pPr>
            <w:r>
              <w:rPr>
                <w:rFonts w:ascii="仿宋_GB2312" w:hAnsi="仿宋_GB2312" w:cs="仿宋_GB2312" w:eastAsia="仿宋_GB2312"/>
                <w:sz w:val="21"/>
              </w:rPr>
              <w:t>店铺</w:t>
            </w:r>
            <w:r>
              <w:rPr>
                <w:rFonts w:ascii="仿宋_GB2312" w:hAnsi="仿宋_GB2312" w:cs="仿宋_GB2312" w:eastAsia="仿宋_GB2312"/>
                <w:sz w:val="21"/>
              </w:rPr>
              <w:t>核心字段</w:t>
            </w:r>
            <w:r>
              <w:rPr>
                <w:rFonts w:ascii="仿宋_GB2312" w:hAnsi="仿宋_GB2312" w:cs="仿宋_GB2312" w:eastAsia="仿宋_GB2312"/>
                <w:sz w:val="21"/>
              </w:rPr>
              <w:t>：网店名称、所属平台、店铺主体类型、销量、网店地址、发货地、店铺类别</w:t>
            </w:r>
            <w:r>
              <w:rPr>
                <w:rFonts w:ascii="仿宋_GB2312" w:hAnsi="仿宋_GB2312" w:cs="仿宋_GB2312" w:eastAsia="仿宋_GB2312"/>
                <w:sz w:val="21"/>
              </w:rPr>
              <w:t>及营业额</w:t>
            </w:r>
            <w:r>
              <w:rPr>
                <w:rFonts w:ascii="仿宋_GB2312" w:hAnsi="仿宋_GB2312" w:cs="仿宋_GB2312" w:eastAsia="仿宋_GB2312"/>
                <w:sz w:val="21"/>
              </w:rPr>
              <w:t>等。</w:t>
            </w:r>
          </w:p>
          <w:p>
            <w:pPr>
              <w:pStyle w:val="null3"/>
              <w:ind w:firstLine="396"/>
              <w:jc w:val="both"/>
            </w:pPr>
            <w:r>
              <w:rPr>
                <w:rFonts w:ascii="仿宋_GB2312" w:hAnsi="仿宋_GB2312" w:cs="仿宋_GB2312" w:eastAsia="仿宋_GB2312"/>
                <w:sz w:val="21"/>
              </w:rPr>
              <w:t>商品数据字段：商品名称、商品链接、商品图</w:t>
            </w:r>
            <w:r>
              <w:rPr>
                <w:rFonts w:ascii="仿宋_GB2312" w:hAnsi="仿宋_GB2312" w:cs="仿宋_GB2312" w:eastAsia="仿宋_GB2312"/>
                <w:sz w:val="21"/>
              </w:rPr>
              <w:t>OCR信息、平台名称、店铺/网站链接、商品分类、行政区划、抓取时间等。</w:t>
            </w:r>
          </w:p>
          <w:p>
            <w:pPr>
              <w:pStyle w:val="null3"/>
              <w:ind w:firstLine="396"/>
              <w:jc w:val="both"/>
            </w:pPr>
            <w:r>
              <w:rPr>
                <w:rFonts w:ascii="仿宋_GB2312" w:hAnsi="仿宋_GB2312" w:cs="仿宋_GB2312" w:eastAsia="仿宋_GB2312"/>
                <w:sz w:val="21"/>
              </w:rPr>
              <w:t>更新频率：</w:t>
            </w:r>
            <w:r>
              <w:rPr>
                <w:rFonts w:ascii="仿宋_GB2312" w:hAnsi="仿宋_GB2312" w:cs="仿宋_GB2312" w:eastAsia="仿宋_GB2312"/>
                <w:sz w:val="21"/>
              </w:rPr>
              <w:t>月度更新。</w:t>
            </w:r>
          </w:p>
          <w:p>
            <w:pPr>
              <w:pStyle w:val="null3"/>
              <w:ind w:firstLine="420"/>
              <w:jc w:val="both"/>
            </w:pPr>
            <w:r>
              <w:rPr>
                <w:rFonts w:ascii="仿宋_GB2312" w:hAnsi="仿宋_GB2312" w:cs="仿宋_GB2312" w:eastAsia="仿宋_GB2312"/>
                <w:sz w:val="21"/>
                <w:b/>
              </w:rPr>
              <w:t>（</w:t>
            </w:r>
            <w:r>
              <w:rPr>
                <w:rFonts w:ascii="仿宋_GB2312" w:hAnsi="仿宋_GB2312" w:cs="仿宋_GB2312" w:eastAsia="仿宋_GB2312"/>
                <w:sz w:val="21"/>
                <w:b/>
              </w:rPr>
              <w:t>4）药品行业数据库</w:t>
            </w:r>
          </w:p>
          <w:p>
            <w:pPr>
              <w:pStyle w:val="null3"/>
              <w:ind w:firstLine="396"/>
              <w:jc w:val="both"/>
            </w:pPr>
            <w:r>
              <w:rPr>
                <w:rFonts w:ascii="仿宋_GB2312" w:hAnsi="仿宋_GB2312" w:cs="仿宋_GB2312" w:eastAsia="仿宋_GB2312"/>
                <w:sz w:val="21"/>
              </w:rPr>
              <w:t>数据范围：</w:t>
            </w:r>
            <w:r>
              <w:rPr>
                <w:rFonts w:ascii="仿宋_GB2312" w:hAnsi="仿宋_GB2312" w:cs="仿宋_GB2312" w:eastAsia="仿宋_GB2312"/>
                <w:sz w:val="21"/>
              </w:rPr>
              <w:t>西安市行政区域内从事药品生产、经营、零售的线上线下经营者，含药店、药品批发企业、药品生产企业。</w:t>
            </w:r>
          </w:p>
          <w:p>
            <w:pPr>
              <w:pStyle w:val="null3"/>
              <w:ind w:firstLine="396"/>
              <w:jc w:val="both"/>
            </w:pPr>
            <w:r>
              <w:rPr>
                <w:rFonts w:ascii="仿宋_GB2312" w:hAnsi="仿宋_GB2312" w:cs="仿宋_GB2312" w:eastAsia="仿宋_GB2312"/>
                <w:sz w:val="21"/>
              </w:rPr>
              <w:t>核心字段：</w:t>
            </w:r>
            <w:r>
              <w:rPr>
                <w:rFonts w:ascii="仿宋_GB2312" w:hAnsi="仿宋_GB2312" w:cs="仿宋_GB2312" w:eastAsia="仿宋_GB2312"/>
                <w:sz w:val="21"/>
              </w:rPr>
              <w:t>网店名称、所属平台、店铺主体类型、销量、网店地址、发货地、店铺类别</w:t>
            </w:r>
            <w:r>
              <w:rPr>
                <w:rFonts w:ascii="仿宋_GB2312" w:hAnsi="仿宋_GB2312" w:cs="仿宋_GB2312" w:eastAsia="仿宋_GB2312"/>
                <w:sz w:val="21"/>
              </w:rPr>
              <w:t>及营业额</w:t>
            </w:r>
            <w:r>
              <w:rPr>
                <w:rFonts w:ascii="仿宋_GB2312" w:hAnsi="仿宋_GB2312" w:cs="仿宋_GB2312" w:eastAsia="仿宋_GB2312"/>
                <w:sz w:val="21"/>
              </w:rPr>
              <w:t>等。</w:t>
            </w:r>
          </w:p>
          <w:p>
            <w:pPr>
              <w:pStyle w:val="null3"/>
              <w:ind w:firstLine="396"/>
              <w:jc w:val="both"/>
            </w:pPr>
            <w:r>
              <w:rPr>
                <w:rFonts w:ascii="仿宋_GB2312" w:hAnsi="仿宋_GB2312" w:cs="仿宋_GB2312" w:eastAsia="仿宋_GB2312"/>
                <w:sz w:val="21"/>
              </w:rPr>
              <w:t>商品数据字段：商品名称、商品链接、商品图</w:t>
            </w:r>
            <w:r>
              <w:rPr>
                <w:rFonts w:ascii="仿宋_GB2312" w:hAnsi="仿宋_GB2312" w:cs="仿宋_GB2312" w:eastAsia="仿宋_GB2312"/>
                <w:sz w:val="21"/>
              </w:rPr>
              <w:t>OCR信息、平台名称、店铺/网站链接、商品分类、行政区划、抓取时间等。</w:t>
            </w:r>
          </w:p>
          <w:p>
            <w:pPr>
              <w:pStyle w:val="null3"/>
              <w:ind w:firstLine="396"/>
              <w:jc w:val="both"/>
            </w:pPr>
            <w:r>
              <w:rPr>
                <w:rFonts w:ascii="仿宋_GB2312" w:hAnsi="仿宋_GB2312" w:cs="仿宋_GB2312" w:eastAsia="仿宋_GB2312"/>
                <w:sz w:val="21"/>
              </w:rPr>
              <w:t>数据数量：</w:t>
            </w:r>
            <w:r>
              <w:rPr>
                <w:rFonts w:ascii="仿宋_GB2312" w:hAnsi="仿宋_GB2312" w:cs="仿宋_GB2312" w:eastAsia="仿宋_GB2312"/>
                <w:sz w:val="21"/>
              </w:rPr>
              <w:t>店铺数据</w:t>
            </w:r>
            <w:r>
              <w:rPr>
                <w:rFonts w:ascii="仿宋_GB2312" w:hAnsi="仿宋_GB2312" w:cs="仿宋_GB2312" w:eastAsia="仿宋_GB2312"/>
                <w:sz w:val="21"/>
              </w:rPr>
              <w:t>≥5000家。</w:t>
            </w:r>
          </w:p>
          <w:p>
            <w:pPr>
              <w:pStyle w:val="null3"/>
              <w:ind w:firstLine="396"/>
              <w:jc w:val="both"/>
            </w:pPr>
            <w:r>
              <w:rPr>
                <w:rFonts w:ascii="仿宋_GB2312" w:hAnsi="仿宋_GB2312" w:cs="仿宋_GB2312" w:eastAsia="仿宋_GB2312"/>
                <w:sz w:val="21"/>
              </w:rPr>
              <w:t>更新频率：</w:t>
            </w:r>
            <w:r>
              <w:rPr>
                <w:rFonts w:ascii="仿宋_GB2312" w:hAnsi="仿宋_GB2312" w:cs="仿宋_GB2312" w:eastAsia="仿宋_GB2312"/>
                <w:sz w:val="21"/>
              </w:rPr>
              <w:t>月度更新。</w:t>
            </w:r>
          </w:p>
          <w:p>
            <w:pPr>
              <w:pStyle w:val="null3"/>
              <w:ind w:firstLine="420"/>
              <w:jc w:val="both"/>
            </w:pPr>
            <w:r>
              <w:rPr>
                <w:rFonts w:ascii="仿宋_GB2312" w:hAnsi="仿宋_GB2312" w:cs="仿宋_GB2312" w:eastAsia="仿宋_GB2312"/>
                <w:sz w:val="21"/>
                <w:b/>
              </w:rPr>
              <w:t>（</w:t>
            </w:r>
            <w:r>
              <w:rPr>
                <w:rFonts w:ascii="仿宋_GB2312" w:hAnsi="仿宋_GB2312" w:cs="仿宋_GB2312" w:eastAsia="仿宋_GB2312"/>
                <w:sz w:val="21"/>
                <w:b/>
              </w:rPr>
              <w:t>5）化妆品行业数据库</w:t>
            </w:r>
          </w:p>
          <w:p>
            <w:pPr>
              <w:pStyle w:val="null3"/>
              <w:ind w:firstLine="396"/>
              <w:jc w:val="both"/>
            </w:pPr>
            <w:r>
              <w:rPr>
                <w:rFonts w:ascii="仿宋_GB2312" w:hAnsi="仿宋_GB2312" w:cs="仿宋_GB2312" w:eastAsia="仿宋_GB2312"/>
                <w:sz w:val="21"/>
              </w:rPr>
              <w:t>数据范围：</w:t>
            </w:r>
            <w:r>
              <w:rPr>
                <w:rFonts w:ascii="仿宋_GB2312" w:hAnsi="仿宋_GB2312" w:cs="仿宋_GB2312" w:eastAsia="仿宋_GB2312"/>
                <w:sz w:val="21"/>
              </w:rPr>
              <w:t>西安市行政区域内从事化妆品生产、销售、经营的线上线下经营者，含普通化妆品、特殊化妆品经营者。</w:t>
            </w:r>
          </w:p>
          <w:p>
            <w:pPr>
              <w:pStyle w:val="null3"/>
              <w:ind w:firstLine="396"/>
              <w:jc w:val="both"/>
            </w:pPr>
            <w:r>
              <w:rPr>
                <w:rFonts w:ascii="仿宋_GB2312" w:hAnsi="仿宋_GB2312" w:cs="仿宋_GB2312" w:eastAsia="仿宋_GB2312"/>
                <w:sz w:val="21"/>
              </w:rPr>
              <w:t>核心字段：</w:t>
            </w:r>
            <w:r>
              <w:rPr>
                <w:rFonts w:ascii="仿宋_GB2312" w:hAnsi="仿宋_GB2312" w:cs="仿宋_GB2312" w:eastAsia="仿宋_GB2312"/>
                <w:sz w:val="21"/>
              </w:rPr>
              <w:t>网店名称、所属平台、店铺主体类型、销量、网店地址、发货地、店铺类别</w:t>
            </w:r>
            <w:r>
              <w:rPr>
                <w:rFonts w:ascii="仿宋_GB2312" w:hAnsi="仿宋_GB2312" w:cs="仿宋_GB2312" w:eastAsia="仿宋_GB2312"/>
                <w:sz w:val="21"/>
              </w:rPr>
              <w:t>及营业额</w:t>
            </w:r>
            <w:r>
              <w:rPr>
                <w:rFonts w:ascii="仿宋_GB2312" w:hAnsi="仿宋_GB2312" w:cs="仿宋_GB2312" w:eastAsia="仿宋_GB2312"/>
                <w:sz w:val="21"/>
              </w:rPr>
              <w:t>等。</w:t>
            </w:r>
          </w:p>
          <w:p>
            <w:pPr>
              <w:pStyle w:val="null3"/>
              <w:ind w:firstLine="396"/>
              <w:jc w:val="both"/>
            </w:pPr>
            <w:r>
              <w:rPr>
                <w:rFonts w:ascii="仿宋_GB2312" w:hAnsi="仿宋_GB2312" w:cs="仿宋_GB2312" w:eastAsia="仿宋_GB2312"/>
                <w:sz w:val="21"/>
              </w:rPr>
              <w:t>更新频率：</w:t>
            </w:r>
            <w:r>
              <w:rPr>
                <w:rFonts w:ascii="仿宋_GB2312" w:hAnsi="仿宋_GB2312" w:cs="仿宋_GB2312" w:eastAsia="仿宋_GB2312"/>
                <w:sz w:val="21"/>
              </w:rPr>
              <w:t>月度更新。</w:t>
            </w:r>
          </w:p>
          <w:p>
            <w:pPr>
              <w:pStyle w:val="null3"/>
              <w:ind w:firstLine="396"/>
              <w:jc w:val="both"/>
            </w:pPr>
            <w:r>
              <w:rPr>
                <w:rFonts w:ascii="仿宋_GB2312" w:hAnsi="仿宋_GB2312" w:cs="仿宋_GB2312" w:eastAsia="仿宋_GB2312"/>
                <w:sz w:val="21"/>
                <w:b/>
              </w:rPr>
              <w:t>2.3数据治理与质量要求</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数据采集</w:t>
            </w:r>
            <w:r>
              <w:rPr>
                <w:rFonts w:ascii="仿宋_GB2312" w:hAnsi="仿宋_GB2312" w:cs="仿宋_GB2312" w:eastAsia="仿宋_GB2312"/>
                <w:sz w:val="21"/>
              </w:rPr>
              <w:t>：通过官方</w:t>
            </w:r>
            <w:r>
              <w:rPr>
                <w:rFonts w:ascii="仿宋_GB2312" w:hAnsi="仿宋_GB2312" w:cs="仿宋_GB2312" w:eastAsia="仿宋_GB2312"/>
                <w:sz w:val="21"/>
              </w:rPr>
              <w:t>API接口、合规数据对接、公开信息抓取等方式采集数据，严禁非法获取数据；对接主流电商平台、直播平台及政府部门数据系统，保障数据来源合法、稳定。</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数据清洗</w:t>
            </w:r>
            <w:r>
              <w:rPr>
                <w:rFonts w:ascii="仿宋_GB2312" w:hAnsi="仿宋_GB2312" w:cs="仿宋_GB2312" w:eastAsia="仿宋_GB2312"/>
                <w:sz w:val="21"/>
              </w:rPr>
              <w:t>：对采集的原始数据进行去重、纠错、补全、标准化处理，统一数据格式、字段命名、编码规则，消除数据冗余、错误、缺失问题。</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数据校验</w:t>
            </w:r>
            <w:r>
              <w:rPr>
                <w:rFonts w:ascii="仿宋_GB2312" w:hAnsi="仿宋_GB2312" w:cs="仿宋_GB2312" w:eastAsia="仿宋_GB2312"/>
                <w:sz w:val="21"/>
              </w:rPr>
              <w:t>：建立多维度数据校验规则，包括逻辑校验、合规校验、完整性校验、准确性校验，校验不合格的数据需退回整改，确保数据质量达标。</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数据入库</w:t>
            </w:r>
            <w:r>
              <w:rPr>
                <w:rFonts w:ascii="仿宋_GB2312" w:hAnsi="仿宋_GB2312" w:cs="仿宋_GB2312" w:eastAsia="仿宋_GB2312"/>
                <w:sz w:val="21"/>
              </w:rPr>
              <w:t>：清洗、校验合格的数据，按统一数据模型入库存储，建立数据索引，保障数据查询、调用高效便捷；支持与甲方现有市场监管系统无缝对接。</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32"/>
              </w:rPr>
              <w:t xml:space="preserve"> </w:t>
            </w:r>
            <w:r>
              <w:rPr>
                <w:rFonts w:ascii="仿宋_GB2312" w:hAnsi="仿宋_GB2312" w:cs="仿宋_GB2312" w:eastAsia="仿宋_GB2312"/>
                <w:sz w:val="21"/>
              </w:rPr>
              <w:t>质量指标</w:t>
            </w:r>
            <w:r>
              <w:rPr>
                <w:rFonts w:ascii="仿宋_GB2312" w:hAnsi="仿宋_GB2312" w:cs="仿宋_GB2312" w:eastAsia="仿宋_GB2312"/>
                <w:sz w:val="21"/>
              </w:rPr>
              <w:t>：数据完整率</w:t>
            </w:r>
            <w:r>
              <w:rPr>
                <w:rFonts w:ascii="仿宋_GB2312" w:hAnsi="仿宋_GB2312" w:cs="仿宋_GB2312" w:eastAsia="仿宋_GB2312"/>
                <w:sz w:val="21"/>
              </w:rPr>
              <w:t>≥99％、数据准确率≥99.5％、数据重复率≤0.1％、数据更新及时率 100％。</w:t>
            </w:r>
          </w:p>
          <w:p>
            <w:pPr>
              <w:pStyle w:val="null3"/>
              <w:ind w:firstLine="420"/>
              <w:jc w:val="both"/>
            </w:pPr>
            <w:r>
              <w:rPr>
                <w:rFonts w:ascii="仿宋_GB2312" w:hAnsi="仿宋_GB2312" w:cs="仿宋_GB2312" w:eastAsia="仿宋_GB2312"/>
                <w:sz w:val="21"/>
                <w:b/>
              </w:rPr>
              <w:t>2.4数据安全保障要求</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数据加密</w:t>
            </w:r>
            <w:r>
              <w:rPr>
                <w:rFonts w:ascii="仿宋_GB2312" w:hAnsi="仿宋_GB2312" w:cs="仿宋_GB2312" w:eastAsia="仿宋_GB2312"/>
                <w:sz w:val="21"/>
              </w:rPr>
              <w:t>：数据传输采用</w:t>
            </w:r>
            <w:r>
              <w:rPr>
                <w:rFonts w:ascii="仿宋_GB2312" w:hAnsi="仿宋_GB2312" w:cs="仿宋_GB2312" w:eastAsia="仿宋_GB2312"/>
                <w:sz w:val="21"/>
              </w:rPr>
              <w:t>SSL／TLS 加密协议，数据存储采用 AES－256 加密算法，敏感数据（如身份证号、联系方式）脱敏处理，防止数据泄露。</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32"/>
              </w:rPr>
              <w:t xml:space="preserve"> </w:t>
            </w:r>
            <w:r>
              <w:rPr>
                <w:rFonts w:ascii="仿宋_GB2312" w:hAnsi="仿宋_GB2312" w:cs="仿宋_GB2312" w:eastAsia="仿宋_GB2312"/>
                <w:sz w:val="21"/>
              </w:rPr>
              <w:t>访问控制</w:t>
            </w:r>
            <w:r>
              <w:rPr>
                <w:rFonts w:ascii="仿宋_GB2312" w:hAnsi="仿宋_GB2312" w:cs="仿宋_GB2312" w:eastAsia="仿宋_GB2312"/>
                <w:sz w:val="21"/>
              </w:rPr>
              <w:t>：建立分级权限管理机制，明确不同角色访问权限，操作行为全程留痕、可追溯；定期开展权限审计，及时清理冗余权限。</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备份恢复</w:t>
            </w:r>
            <w:r>
              <w:rPr>
                <w:rFonts w:ascii="仿宋_GB2312" w:hAnsi="仿宋_GB2312" w:cs="仿宋_GB2312" w:eastAsia="仿宋_GB2312"/>
                <w:sz w:val="21"/>
              </w:rPr>
              <w:t>：采用</w:t>
            </w:r>
            <w:r>
              <w:rPr>
                <w:rFonts w:ascii="仿宋_GB2312" w:hAnsi="仿宋_GB2312" w:cs="仿宋_GB2312" w:eastAsia="仿宋_GB2312"/>
                <w:sz w:val="21"/>
              </w:rPr>
              <w:t>“本地备份 ＋ 异地备份”双重备份机制，每日自动备份数据，备份数据保留周期≥6个月；建立数据应急恢复预案，确保数据丢失后 24 小时内恢复。</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安全审计</w:t>
            </w:r>
            <w:r>
              <w:rPr>
                <w:rFonts w:ascii="仿宋_GB2312" w:hAnsi="仿宋_GB2312" w:cs="仿宋_GB2312" w:eastAsia="仿宋_GB2312"/>
                <w:sz w:val="21"/>
              </w:rPr>
              <w:t>：部署安全审计系统，对数据采集、存储、使用、传输全流程进行实时监控、日志记录，定期生成安全审计报告，及时发现并处置安全风险。</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合规管理</w:t>
            </w:r>
            <w:r>
              <w:rPr>
                <w:rFonts w:ascii="仿宋_GB2312" w:hAnsi="仿宋_GB2312" w:cs="仿宋_GB2312" w:eastAsia="仿宋_GB2312"/>
                <w:sz w:val="21"/>
              </w:rPr>
              <w:t>：严格遵守数据安全相关法律法规，建立数据安全管理制度、操作规程及应急预案；定期开展数据安全培训、风险评估，确保数据安全合规。</w:t>
            </w:r>
          </w:p>
          <w:p>
            <w:pPr>
              <w:pStyle w:val="null3"/>
              <w:ind w:firstLine="396"/>
              <w:jc w:val="both"/>
            </w:pPr>
            <w:r>
              <w:rPr>
                <w:rFonts w:ascii="仿宋_GB2312" w:hAnsi="仿宋_GB2312" w:cs="仿宋_GB2312" w:eastAsia="仿宋_GB2312"/>
                <w:sz w:val="21"/>
              </w:rPr>
              <w:t>3.服务要求</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1）服务团队：乙方组建专属服务团队，团队成员≥5 人，包含项目负责人、数据分析师、数据资产管理人员、法律风险识别专员、监理专员、技术支持人员，均具备同类项目经验，人员稳定，不得随意更换。</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2）服务周期：自合同签订之日起 1 年，初始化建设周期 30 日历天，周期性更新服务按时执行；服务期满后，可优先续约。</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3）响应服务：提供 7×24 小时技术支持服务，通过电话、邮件、远程协助等方式响应甲方需求；一般问题响应时间≤2 小时，解决时间≤24 小时；重大问题响应时间≤1 小时，解决时间≤12 小时。</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4）报告提交：初始化建设完成后，提交《网络交易市场主体分析报告》《数据归集初始化报告》《数据质量核查报告》《数据安全评估报告》。</w:t>
            </w:r>
          </w:p>
          <w:p>
            <w:pPr>
              <w:pStyle w:val="null3"/>
              <w:ind w:firstLine="396"/>
              <w:jc w:val="both"/>
            </w:pPr>
            <w:r>
              <w:rPr>
                <w:rFonts w:ascii="仿宋_GB2312" w:hAnsi="仿宋_GB2312" w:cs="仿宋_GB2312" w:eastAsia="仿宋_GB2312"/>
                <w:sz w:val="21"/>
              </w:rPr>
              <w:t>每季度末提交《主体数据库更新报告》《网络交易市场主体季度分析报告》等，每月末提交《行业数据库更新报告》等；</w:t>
            </w:r>
          </w:p>
          <w:p>
            <w:pPr>
              <w:pStyle w:val="null3"/>
              <w:ind w:firstLine="396"/>
              <w:jc w:val="both"/>
            </w:pPr>
            <w:r>
              <w:rPr>
                <w:rFonts w:ascii="仿宋_GB2312" w:hAnsi="仿宋_GB2312" w:cs="仿宋_GB2312" w:eastAsia="仿宋_GB2312"/>
                <w:sz w:val="21"/>
              </w:rPr>
              <w:t>服务期满后，提交《项目总结报告》《数据质量总报告》《数据安全运维报告》等。</w:t>
            </w:r>
          </w:p>
          <w:p>
            <w:pPr>
              <w:pStyle w:val="null3"/>
              <w:ind w:firstLine="396"/>
              <w:jc w:val="both"/>
            </w:pPr>
            <w:r>
              <w:rPr>
                <w:rFonts w:ascii="仿宋_GB2312" w:hAnsi="仿宋_GB2312" w:cs="仿宋_GB2312" w:eastAsia="仿宋_GB2312"/>
                <w:sz w:val="21"/>
              </w:rPr>
              <w:t>4.交付成果</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1）主体数据库（网络经营主体库、平台内经营者数据库、本地电商平台数据库）完整数据集及季度更新数据包等；</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2）行业数据库（餐饮、食品、医疗器械、药品、化妆品行业）完整数据集及月度更新数据包等；</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3）数据归集方案、数据更新方案、数据治理方案、数据安全方案、质量保障方案等；</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4）各类数据报告（初始化报告、更新报告、质量报告、安全报告、总结报告等）等；</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5）数据对接接口文档、系统操作手册、培训文档等；</w:t>
            </w:r>
          </w:p>
          <w:p>
            <w:pPr>
              <w:pStyle w:val="null3"/>
              <w:ind w:firstLine="396"/>
              <w:jc w:val="both"/>
            </w:pPr>
            <w:r>
              <w:rPr>
                <w:rFonts w:ascii="仿宋_GB2312" w:hAnsi="仿宋_GB2312" w:cs="仿宋_GB2312" w:eastAsia="仿宋_GB2312"/>
                <w:sz w:val="21"/>
              </w:rPr>
              <w:t>（</w:t>
            </w:r>
            <w:r>
              <w:rPr>
                <w:rFonts w:ascii="仿宋_GB2312" w:hAnsi="仿宋_GB2312" w:cs="仿宋_GB2312" w:eastAsia="仿宋_GB2312"/>
                <w:sz w:val="21"/>
              </w:rPr>
              <w:t>6）甲方要求的其他相关资料等。</w:t>
            </w:r>
          </w:p>
          <w:p>
            <w:pPr>
              <w:pStyle w:val="null3"/>
              <w:ind w:firstLine="618"/>
              <w:jc w:val="both"/>
            </w:pPr>
            <w:r>
              <w:rPr>
                <w:rFonts w:ascii="仿宋_GB2312" w:hAnsi="仿宋_GB2312" w:cs="仿宋_GB2312" w:eastAsia="仿宋_GB2312"/>
                <w:sz w:val="21"/>
                <w:b/>
              </w:rPr>
              <w:t>5.服务周期</w:t>
            </w:r>
          </w:p>
          <w:p>
            <w:pPr>
              <w:pStyle w:val="null3"/>
              <w:ind w:firstLine="618"/>
              <w:jc w:val="both"/>
            </w:pPr>
            <w:r>
              <w:rPr>
                <w:rFonts w:ascii="仿宋_GB2312" w:hAnsi="仿宋_GB2312" w:cs="仿宋_GB2312" w:eastAsia="仿宋_GB2312"/>
                <w:sz w:val="21"/>
              </w:rPr>
              <w:t>本项目服务周期</w:t>
            </w:r>
            <w:r>
              <w:rPr>
                <w:rFonts w:ascii="仿宋_GB2312" w:hAnsi="仿宋_GB2312" w:cs="仿宋_GB2312" w:eastAsia="仿宋_GB2312"/>
                <w:sz w:val="21"/>
              </w:rPr>
              <w:t xml:space="preserve">  </w:t>
            </w:r>
            <w:r>
              <w:rPr>
                <w:rFonts w:ascii="仿宋_GB2312" w:hAnsi="仿宋_GB2312" w:cs="仿宋_GB2312" w:eastAsia="仿宋_GB2312"/>
                <w:sz w:val="21"/>
              </w:rPr>
              <w:t>1  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自2026年12月03日起一年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符合采购文件、响应文件和合同文件相关考核验收标准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进度款，服务期满，验收合格后，达到付款条件起10个工作日内，支付合同总金额的20.0%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符合采购文件、响应文件和合同文件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2.供应商需要在线提交所有通过电子化交易平台实施的政府采购项目的投标文件，同时，中标供应商须在发布中标公告后线下提交投标文件正本壹份、副本贰份。 线下提交投标文件地点：西安市高新区唐延路旺座现代城 C 座 25 楼 2502室 ；联系电话：029-88319689转8006 邮箱：sxwzzb@126.com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 12、《关于在政府采购中实施本国产品标准及相关政策的通知》（国办发〔2025〕34号）。13、其他需要落实的政府采购政策；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授权代表参与投标的，提供授权代表开标前三个月内至少一个月的社会保险参保缴费情况证明）；法定代表人参加投标时,须提供法定代表人身份证明书；</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本项目专门面向中小企业，供应商须提供中小企业声明函。</w:t>
            </w:r>
          </w:p>
        </w:tc>
        <w:tc>
          <w:tcPr>
            <w:tcW w:type="dxa" w:w="1661"/>
          </w:tcPr>
          <w:p>
            <w:pPr>
              <w:pStyle w:val="null3"/>
            </w:pPr>
            <w:r>
              <w:rPr>
                <w:rFonts w:ascii="仿宋_GB2312" w:hAnsi="仿宋_GB2312" w:cs="仿宋_GB2312" w:eastAsia="仿宋_GB2312"/>
              </w:rPr>
              <w:t>2供应商资格证明资料-中小.docx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2供应商资格证明资料-中小.docx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2供应商资格证明资料-中小.docx 9.供应商业绩一览表.docx 1分项报价表.docx 中小企业声明函 标的清单 报价表 3.商务和服务响应偏离表.docx 响应函 10.供应商承诺书.docx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3.商务和服务响应偏离表.docx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是否符合法律法规和磋商文件规定的其他实质性要求</w:t>
            </w:r>
          </w:p>
        </w:tc>
        <w:tc>
          <w:tcPr>
            <w:tcW w:type="dxa" w:w="1661"/>
          </w:tcPr>
          <w:p>
            <w:pPr>
              <w:pStyle w:val="null3"/>
            </w:pPr>
            <w:r>
              <w:rPr>
                <w:rFonts w:ascii="仿宋_GB2312" w:hAnsi="仿宋_GB2312" w:cs="仿宋_GB2312" w:eastAsia="仿宋_GB2312"/>
              </w:rPr>
              <w:t>3.商务和服务响应偏离表.docx 10.供应商承诺书.docx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根据供应商提供的项目分析进行评审，包括：（1）对项目的认识分析；（2）需求响应及分析；（3）对项目重难点分析； 上述3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6分，每缺少一项内容扣2分，扣完为止；单项内容每存在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4项目需求分析及数据归集方案.docx</w:t>
            </w:r>
          </w:p>
        </w:tc>
      </w:tr>
      <w:tr>
        <w:tc>
          <w:tcPr>
            <w:tcW w:type="dxa" w:w="831"/>
            <w:vMerge/>
          </w:tcPr>
          <w:p/>
        </w:tc>
        <w:tc>
          <w:tcPr>
            <w:tcW w:type="dxa" w:w="1661"/>
          </w:tcPr>
          <w:p>
            <w:pPr>
              <w:pStyle w:val="null3"/>
            </w:pPr>
            <w:r>
              <w:rPr>
                <w:rFonts w:ascii="仿宋_GB2312" w:hAnsi="仿宋_GB2312" w:cs="仿宋_GB2312" w:eastAsia="仿宋_GB2312"/>
              </w:rPr>
              <w:t>数据归集方案</w:t>
            </w:r>
          </w:p>
        </w:tc>
        <w:tc>
          <w:tcPr>
            <w:tcW w:type="dxa" w:w="2492"/>
          </w:tcPr>
          <w:p>
            <w:pPr>
              <w:pStyle w:val="null3"/>
            </w:pPr>
            <w:r>
              <w:rPr>
                <w:rFonts w:ascii="仿宋_GB2312" w:hAnsi="仿宋_GB2312" w:cs="仿宋_GB2312" w:eastAsia="仿宋_GB2312"/>
              </w:rPr>
              <w:t>供应商提供的数据归集方案应覆盖主体数据库、行业数据库所有数据类型，明确数据来源、采集方式、归集流程，适配西安本地市场监管场景，可实现多平台数据无缝对接、精准归集；从（1）数据类型（2）数据来源（3）采集方式（4）归集流程等方面进行评审； 上述4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12分，每缺少一项内容扣3分，扣完为止；单项内容每存在一处缺陷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4项目需求分析及数据归集方案.docx</w:t>
            </w:r>
          </w:p>
        </w:tc>
      </w:tr>
      <w:tr>
        <w:tc>
          <w:tcPr>
            <w:tcW w:type="dxa" w:w="831"/>
            <w:vMerge/>
          </w:tcPr>
          <w:p/>
        </w:tc>
        <w:tc>
          <w:tcPr>
            <w:tcW w:type="dxa" w:w="1661"/>
          </w:tcPr>
          <w:p>
            <w:pPr>
              <w:pStyle w:val="null3"/>
            </w:pPr>
            <w:r>
              <w:rPr>
                <w:rFonts w:ascii="仿宋_GB2312" w:hAnsi="仿宋_GB2312" w:cs="仿宋_GB2312" w:eastAsia="仿宋_GB2312"/>
              </w:rPr>
              <w:t>数据更新方案</w:t>
            </w:r>
          </w:p>
        </w:tc>
        <w:tc>
          <w:tcPr>
            <w:tcW w:type="dxa" w:w="2492"/>
          </w:tcPr>
          <w:p>
            <w:pPr>
              <w:pStyle w:val="null3"/>
            </w:pPr>
            <w:r>
              <w:rPr>
                <w:rFonts w:ascii="仿宋_GB2312" w:hAnsi="仿宋_GB2312" w:cs="仿宋_GB2312" w:eastAsia="仿宋_GB2312"/>
              </w:rPr>
              <w:t>供应商提供的数据更新方案应严格匹配主体库季度更新、行业库月度更新要求，更新流程规范完整，包含数据监测、清洗、去重、校验、入库、归档全环节，可全面保障数据准确性、时效性、连续性；从（1）匹配更新频次（2）更新流程规范（3）更新数据精准及时连续等方面进行评审； 上述3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9分，每缺少一项内容扣3分，扣完为止；单项内容每存在一处缺陷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5.数据更新方案和数据安全方案.docx</w:t>
            </w:r>
          </w:p>
        </w:tc>
      </w:tr>
      <w:tr>
        <w:tc>
          <w:tcPr>
            <w:tcW w:type="dxa" w:w="831"/>
            <w:vMerge/>
          </w:tcPr>
          <w:p/>
        </w:tc>
        <w:tc>
          <w:tcPr>
            <w:tcW w:type="dxa" w:w="1661"/>
          </w:tcPr>
          <w:p>
            <w:pPr>
              <w:pStyle w:val="null3"/>
            </w:pPr>
            <w:r>
              <w:rPr>
                <w:rFonts w:ascii="仿宋_GB2312" w:hAnsi="仿宋_GB2312" w:cs="仿宋_GB2312" w:eastAsia="仿宋_GB2312"/>
              </w:rPr>
              <w:t>数据安全方案</w:t>
            </w:r>
          </w:p>
        </w:tc>
        <w:tc>
          <w:tcPr>
            <w:tcW w:type="dxa" w:w="2492"/>
          </w:tcPr>
          <w:p>
            <w:pPr>
              <w:pStyle w:val="null3"/>
            </w:pPr>
            <w:r>
              <w:rPr>
                <w:rFonts w:ascii="仿宋_GB2312" w:hAnsi="仿宋_GB2312" w:cs="仿宋_GB2312" w:eastAsia="仿宋_GB2312"/>
              </w:rPr>
              <w:t>供应商提供的方案应契合《数据安全法》《个人信息保护法》等法规要求，涵盖数据传输、存储、使用、备份、脱敏、审计、应急处置等全流程安全措施及防护体系；从（1）数据的合规处理（2）全流程的安全措施覆盖（3）防护体系的建立等方面进行评审 上述3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6分，每缺少一项内容扣2分，扣完为止；单项内容每存在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5.数据更新方案和数据安全方案.docx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1.建立覆盖数据采集、清洗、入库、应用全生命周期的质量核查机制，得2分； 2.书面承诺项目交付后数据完整率≥90%，得2分； 3.书面承诺项目交付后数据准确率≥95.5%，得2分； 4.明确每月不少于1次的常态化质量核查频次，得2分； 5.建立完整的问题溯源、整改、复核闭环流程，得2分。缺任意一项对应分值不得分。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6.质量保障和服务响应承诺.docx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1.书面承诺项目初始化建设周期严格控制在30日历天内，明确周期性数据更新的全流程执行节点与时限要求，得2分； 2.提供7×24小时全天候技术支持承诺，得2分； 3.书面承诺一般问题2小时内响应、24小时内解决；重大问题1小时内响应、12小时内处置完毕。得2分。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6.质量保障和服务响应承诺.docx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团队（7分）：针对本项目组建专属稳定服务团队，成员≥5人（包括不少于项目负责人、数据分析师、数据资产管理人员、法律风险识别专员、监理专员、技术支持人员），所有核心人员均具备政务数据更新、市场监管数据服务同类项目经验；人员齐全人员配置齐全、分工明确，得5分；在5人基础上每多配备一人加1分，最多加2分。本项最高计7分。 2.证书（5分）：①负责人需持有项目管理类证书，每提供1本有效证书得1分，最高得1分。②团队人员持有数据分析师、数据资产管理、项目管理、法律职业资格等相关专业证书。每提供1本有效证书得1分，最高得4分。 注：提供持证人员在本单位缴纳的近6个月内任意一个月的社保缴费证明。</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7.项目团队.docx</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1.企业专业认证资质（3分）：供应商具备有效的ISO9001质量管理体系认证、ISO27001信息安全管理体系认证、ISO20000信息技术服务管理体系认证、业务连续性管理体系认证，每提供1项有效认证得1分，满分3分（需提供有效证书佐证并加盖供应商公章，过期、无效证书不得分）。 2.数据专业认证资质（3分）：供应商通过国家标准《数据管理能力成熟度评估模型》(GB/T36073-2025)评估，获得数据管理能力成熟度等级资质的，按等级梯度进行评分：初始级（1级）得 1 分，受管理级（2 级）得 2 分，稳健级（3 级）及以上得 3分，未提供证书不得分。（需提供有效证书佐证并加盖供应商公章，过期、无效证书不得分）。 3.软件著作权成果（7分）：供应商拥有数据采集类、数据分析类、数据处理类、死链检测类、监测大模型类、数据管理类、风险预警类等相关软件著作权，每提供1项有效软著得1分，最高得7分（同一类别提供多个证书的不重复计分；未提供的不得分；提供国家版权局颁发的软件著作权登记证书复印件加盖供应商公章，证书中软件名称应能体现与上述类别的对应关系）</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8.企业综合实力和服务及培训.docx</w:t>
            </w:r>
          </w:p>
        </w:tc>
      </w:tr>
      <w:tr>
        <w:tc>
          <w:tcPr>
            <w:tcW w:type="dxa" w:w="831"/>
            <w:vMerge/>
          </w:tcPr>
          <w:p/>
        </w:tc>
        <w:tc>
          <w:tcPr>
            <w:tcW w:type="dxa" w:w="1661"/>
          </w:tcPr>
          <w:p>
            <w:pPr>
              <w:pStyle w:val="null3"/>
            </w:pPr>
            <w:r>
              <w:rPr>
                <w:rFonts w:ascii="仿宋_GB2312" w:hAnsi="仿宋_GB2312" w:cs="仿宋_GB2312" w:eastAsia="仿宋_GB2312"/>
              </w:rPr>
              <w:t>服务及培训</w:t>
            </w:r>
          </w:p>
        </w:tc>
        <w:tc>
          <w:tcPr>
            <w:tcW w:type="dxa" w:w="2492"/>
          </w:tcPr>
          <w:p>
            <w:pPr>
              <w:pStyle w:val="null3"/>
            </w:pPr>
            <w:r>
              <w:rPr>
                <w:rFonts w:ascii="仿宋_GB2312" w:hAnsi="仿宋_GB2312" w:cs="仿宋_GB2312" w:eastAsia="仿宋_GB2312"/>
              </w:rPr>
              <w:t>根据项目实际需求提供售后方案，包括：（1）提供至少1年免费全程运维服务方案（包含数据更新纠错、系统适配优化、常态化质量巡检、安全运维等）（2）服务期满后的技术升级服务及优惠续服承诺；（3）专项培训服务方案（至少2次）。上述3项内容齐全且无缺陷（缺陷是指内容缺少关键点；非专门针对本项目或不适用本项目特性、套用其他项目内容；对同一问题前后表述矛盾；存在逻辑漏洞、科学原理或常识错误；不利于本项目目标的实现、现有技术条件下不可能出现的情形等任意一种情形）得6分，每缺少一项内容扣2分，扣完为止；单项内容每存在一处缺陷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8.企业综合实力和服务及培训.docx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供应商提供2023年1月至今（以合同签订时间为准）的同类型业绩，每提供一个计1分，满分10分。（须在响应文件中提供合同的复印件加盖公章及发票，否则不计分。）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9.供应商业绩一览表.docx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详见附件：2供应商资格证明资料-中小.docx</w:t>
      </w:r>
    </w:p>
    <w:p>
      <w:pPr>
        <w:pStyle w:val="null3"/>
        <w:ind w:firstLine="960"/>
      </w:pPr>
      <w:r>
        <w:rPr>
          <w:rFonts w:ascii="仿宋_GB2312" w:hAnsi="仿宋_GB2312" w:cs="仿宋_GB2312" w:eastAsia="仿宋_GB2312"/>
        </w:rPr>
        <w:t>详见附件：3.商务和服务响应偏离表.docx</w:t>
      </w:r>
    </w:p>
    <w:p>
      <w:pPr>
        <w:pStyle w:val="null3"/>
        <w:ind w:firstLine="960"/>
      </w:pPr>
      <w:r>
        <w:rPr>
          <w:rFonts w:ascii="仿宋_GB2312" w:hAnsi="仿宋_GB2312" w:cs="仿宋_GB2312" w:eastAsia="仿宋_GB2312"/>
        </w:rPr>
        <w:t>详见附件：4项目需求分析及数据归集方案.docx</w:t>
      </w:r>
    </w:p>
    <w:p>
      <w:pPr>
        <w:pStyle w:val="null3"/>
        <w:ind w:firstLine="960"/>
      </w:pPr>
      <w:r>
        <w:rPr>
          <w:rFonts w:ascii="仿宋_GB2312" w:hAnsi="仿宋_GB2312" w:cs="仿宋_GB2312" w:eastAsia="仿宋_GB2312"/>
        </w:rPr>
        <w:t>详见附件：5.数据更新方案和数据安全方案.docx</w:t>
      </w:r>
    </w:p>
    <w:p>
      <w:pPr>
        <w:pStyle w:val="null3"/>
        <w:ind w:firstLine="960"/>
      </w:pPr>
      <w:r>
        <w:rPr>
          <w:rFonts w:ascii="仿宋_GB2312" w:hAnsi="仿宋_GB2312" w:cs="仿宋_GB2312" w:eastAsia="仿宋_GB2312"/>
        </w:rPr>
        <w:t>详见附件：6.质量保障和服务响应承诺.docx</w:t>
      </w:r>
    </w:p>
    <w:p>
      <w:pPr>
        <w:pStyle w:val="null3"/>
        <w:ind w:firstLine="960"/>
      </w:pPr>
      <w:r>
        <w:rPr>
          <w:rFonts w:ascii="仿宋_GB2312" w:hAnsi="仿宋_GB2312" w:cs="仿宋_GB2312" w:eastAsia="仿宋_GB2312"/>
        </w:rPr>
        <w:t>详见附件：7.项目团队.docx</w:t>
      </w:r>
    </w:p>
    <w:p>
      <w:pPr>
        <w:pStyle w:val="null3"/>
        <w:ind w:firstLine="960"/>
      </w:pPr>
      <w:r>
        <w:rPr>
          <w:rFonts w:ascii="仿宋_GB2312" w:hAnsi="仿宋_GB2312" w:cs="仿宋_GB2312" w:eastAsia="仿宋_GB2312"/>
        </w:rPr>
        <w:t>详见附件：8.企业综合实力和服务及培训.docx</w:t>
      </w:r>
    </w:p>
    <w:p>
      <w:pPr>
        <w:pStyle w:val="null3"/>
        <w:ind w:firstLine="960"/>
      </w:pPr>
      <w:r>
        <w:rPr>
          <w:rFonts w:ascii="仿宋_GB2312" w:hAnsi="仿宋_GB2312" w:cs="仿宋_GB2312" w:eastAsia="仿宋_GB2312"/>
        </w:rPr>
        <w:t>详见附件：9.供应商业绩一览表.docx</w:t>
      </w:r>
    </w:p>
    <w:p>
      <w:pPr>
        <w:pStyle w:val="null3"/>
        <w:ind w:firstLine="960"/>
      </w:pPr>
      <w:r>
        <w:rPr>
          <w:rFonts w:ascii="仿宋_GB2312" w:hAnsi="仿宋_GB2312" w:cs="仿宋_GB2312" w:eastAsia="仿宋_GB2312"/>
        </w:rPr>
        <w:t>详见附件：10.供应商承诺书.docx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