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版本号：ZHZB-2026-5020260428001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铜川剧院购买演出服务项目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ZHZB-2026-50</w:t>
      </w:r>
      <w:r>
        <w:br/>
      </w:r>
      <w:r>
        <w:br/>
      </w:r>
      <w:r>
        <w:br/>
      </w:r>
    </w:p>
    <w:p>
      <w:pPr>
        <w:pStyle w:val="null3"/>
        <w:jc w:val="center"/>
        <w:outlineLvl w:val="2"/>
      </w:pPr>
      <w:r>
        <w:rPr>
          <w:rFonts w:ascii="仿宋_GB2312" w:hAnsi="仿宋_GB2312" w:cs="仿宋_GB2312" w:eastAsia="仿宋_GB2312"/>
          <w:sz w:val="28"/>
          <w:b/>
        </w:rPr>
        <w:t>铜川市文化和旅游局</w:t>
      </w:r>
    </w:p>
    <w:p>
      <w:pPr>
        <w:pStyle w:val="null3"/>
        <w:jc w:val="center"/>
        <w:outlineLvl w:val="2"/>
      </w:pPr>
      <w:r>
        <w:rPr>
          <w:rFonts w:ascii="仿宋_GB2312" w:hAnsi="仿宋_GB2312" w:cs="仿宋_GB2312" w:eastAsia="仿宋_GB2312"/>
          <w:sz w:val="28"/>
          <w:b/>
        </w:rPr>
        <w:t>众合国际项目管理有限公司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众合国际项目管理有限公司</w:t>
      </w:r>
      <w:r>
        <w:rPr>
          <w:rFonts w:ascii="仿宋_GB2312" w:hAnsi="仿宋_GB2312" w:cs="仿宋_GB2312" w:eastAsia="仿宋_GB2312"/>
        </w:rPr>
        <w:t>（以下简称“代理机构”）受</w:t>
      </w:r>
      <w:r>
        <w:rPr>
          <w:rFonts w:ascii="仿宋_GB2312" w:hAnsi="仿宋_GB2312" w:cs="仿宋_GB2312" w:eastAsia="仿宋_GB2312"/>
        </w:rPr>
        <w:t>铜川市文化和旅游局</w:t>
      </w:r>
      <w:r>
        <w:rPr>
          <w:rFonts w:ascii="仿宋_GB2312" w:hAnsi="仿宋_GB2312" w:cs="仿宋_GB2312" w:eastAsia="仿宋_GB2312"/>
        </w:rPr>
        <w:t>委托，拟对</w:t>
      </w:r>
      <w:r>
        <w:rPr>
          <w:rFonts w:ascii="仿宋_GB2312" w:hAnsi="仿宋_GB2312" w:cs="仿宋_GB2312" w:eastAsia="仿宋_GB2312"/>
        </w:rPr>
        <w:t>铜川剧院购买演出服务项目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ZHZB-2026-50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铜川剧院购买演出服务项目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充分发挥公共文化服务场馆功能，使铜川剧院达到“专业水平高、管理标准高、服务品位高、经营效益高、社会形象高”的目标，引进优秀舞台剧目，让广大群众享受更多高品质文化盛宴，推动铜川文旅产业高质量发展。全年完成组织引进自营及合作演出不低于42场（30部）。引进演出档次分为A、B、C三类，其中A类演出不少于2场,B类演出不少于5场,C类演出不少于10场，其他小型演出不少于25场。</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采购包1（铜川剧院购买演出服务项目）：属于专门面向小微企业采购。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1、营业执照：提供有效合格的统一社会信用代码的营业执照，其他组织经营的须提供合法凭证，自然人的提供身份证明文件；</w:t>
      </w:r>
    </w:p>
    <w:p>
      <w:pPr>
        <w:pStyle w:val="null3"/>
      </w:pPr>
      <w:r>
        <w:rPr>
          <w:rFonts w:ascii="仿宋_GB2312" w:hAnsi="仿宋_GB2312" w:cs="仿宋_GB2312" w:eastAsia="仿宋_GB2312"/>
        </w:rPr>
        <w:t>2、财务状况报告：提供 2024 年度或2025 年度经审计的完整财务报告或开标日期前三个月内其基本存款账户开户银行出具的资信证明。（如提供资信证明，须同时提供基本存款账户开户许可证或基本账户信息表）；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3、税收缴纳证明：提供2025年1月至今已缴纳的至少一个月的纳税证明，依法免税的单位应提供相关证明材料；</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5、具有设备和专业技术能力：具备履行合同所必须的设备和专业技术能力的书面声明；</w:t>
      </w:r>
    </w:p>
    <w:p>
      <w:pPr>
        <w:pStyle w:val="null3"/>
      </w:pPr>
      <w:r>
        <w:rPr>
          <w:rFonts w:ascii="仿宋_GB2312" w:hAnsi="仿宋_GB2312" w:cs="仿宋_GB2312" w:eastAsia="仿宋_GB2312"/>
        </w:rPr>
        <w:t>6、无重大违法记录声明：参加政府采购活动前三年内，在经营活动中没有重大违法记录的书面声明；</w:t>
      </w:r>
    </w:p>
    <w:p>
      <w:pPr>
        <w:pStyle w:val="null3"/>
      </w:pPr>
      <w:r>
        <w:rPr>
          <w:rFonts w:ascii="仿宋_GB2312" w:hAnsi="仿宋_GB2312" w:cs="仿宋_GB2312" w:eastAsia="仿宋_GB2312"/>
        </w:rPr>
        <w:t>7、特定资格：供应商须具备文化行政主管部门颁发的《营业性演出许可证》；</w:t>
      </w:r>
    </w:p>
    <w:p>
      <w:pPr>
        <w:pStyle w:val="null3"/>
      </w:pPr>
      <w:r>
        <w:rPr>
          <w:rFonts w:ascii="仿宋_GB2312" w:hAnsi="仿宋_GB2312" w:cs="仿宋_GB2312" w:eastAsia="仿宋_GB2312"/>
        </w:rPr>
        <w:t>8、信用查询截图：供应商未被列入信用中国网站(www.creditchina.gov.cn)“失信被执行人、重大税收违法失信主体”；未被列入中国政府采购网 (www.ccgp.gov.cn)“政府采购严重违法失信行为信息记录”；</w:t>
      </w:r>
    </w:p>
    <w:p>
      <w:pPr>
        <w:pStyle w:val="null3"/>
      </w:pPr>
      <w:r>
        <w:rPr>
          <w:rFonts w:ascii="仿宋_GB2312" w:hAnsi="仿宋_GB2312" w:cs="仿宋_GB2312" w:eastAsia="仿宋_GB2312"/>
        </w:rPr>
        <w:t>9、授权委托：法定代表人授权委托书、被授权人身份证（法定代表人参加投标时,只需提供法定代表人身份证）；</w:t>
      </w:r>
    </w:p>
    <w:p>
      <w:pPr>
        <w:pStyle w:val="null3"/>
      </w:pPr>
      <w:r>
        <w:rPr>
          <w:rFonts w:ascii="仿宋_GB2312" w:hAnsi="仿宋_GB2312" w:cs="仿宋_GB2312" w:eastAsia="仿宋_GB2312"/>
        </w:rPr>
        <w:t>10、非联合体投标声明：本项目不接受联合体投标,，提供非联合体投标声明函，格式自拟。</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铜川市文化和旅游局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铜川市正阳路9号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乔娜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0919-3183792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众合国际项目管理有限公司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西安市莲湖区丰登南路3号1幢306室(丰庆公园北门往西200米PM中心三楼)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15991666329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代理服务费收费标准：代理服务费参照国家计委计价格[2002]1980号《招标代理服务收费管理暂行办法》规定标准计取。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铜川市文化和旅游局</w:t>
      </w:r>
      <w:r>
        <w:rPr>
          <w:rFonts w:ascii="仿宋_GB2312" w:hAnsi="仿宋_GB2312" w:cs="仿宋_GB2312" w:eastAsia="仿宋_GB2312"/>
        </w:rPr>
        <w:t>和</w:t>
      </w:r>
      <w:r>
        <w:rPr>
          <w:rFonts w:ascii="仿宋_GB2312" w:hAnsi="仿宋_GB2312" w:cs="仿宋_GB2312" w:eastAsia="仿宋_GB2312"/>
        </w:rPr>
        <w:t>众合国际项目管理有限公司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铜川市文化和旅游局</w:t>
      </w:r>
      <w:r>
        <w:rPr>
          <w:rFonts w:ascii="仿宋_GB2312" w:hAnsi="仿宋_GB2312" w:cs="仿宋_GB2312" w:eastAsia="仿宋_GB2312"/>
        </w:rPr>
        <w:t>负责解释。除上述招标文件内容，其他内容由</w:t>
      </w:r>
      <w:r>
        <w:rPr>
          <w:rFonts w:ascii="仿宋_GB2312" w:hAnsi="仿宋_GB2312" w:cs="仿宋_GB2312" w:eastAsia="仿宋_GB2312"/>
        </w:rPr>
        <w:t>众合国际项目管理有限公司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铜川市文化和旅游局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众合国际项目管理有限公司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最终成果需通过采购人组织的验收，验收依据包括合同约定、采购文件及投标文件，验收内容涵盖剧目完整性、艺术质量、演出效果、资料归档情况等。</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联系人：孙涛</w:t>
      </w:r>
    </w:p>
    <w:p>
      <w:pPr>
        <w:pStyle w:val="null3"/>
      </w:pPr>
      <w:r>
        <w:rPr>
          <w:rFonts w:ascii="仿宋_GB2312" w:hAnsi="仿宋_GB2312" w:cs="仿宋_GB2312" w:eastAsia="仿宋_GB2312"/>
        </w:rPr>
        <w:t>联系电话：15991666329</w:t>
      </w:r>
    </w:p>
    <w:p>
      <w:pPr>
        <w:pStyle w:val="null3"/>
      </w:pPr>
      <w:r>
        <w:rPr>
          <w:rFonts w:ascii="仿宋_GB2312" w:hAnsi="仿宋_GB2312" w:cs="仿宋_GB2312" w:eastAsia="仿宋_GB2312"/>
        </w:rPr>
        <w:t>地址：西安市莲湖区丰登南路3号1幢306室(丰庆公园北门往西200米PM中心三楼)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充分发挥公共文化服务场馆功能，使铜川剧院达到“专业水平高、管理标准高、服务品位高、经营效益高、社会形象高”的目标，引进优秀舞台剧目，让广大群众享受更多高品质文化盛宴，推动铜川文旅产业高质量发展。引进演出场次，全年完成组织引进自营及合作演出不低于42场（30部）。引进演出档次，引进演出档次分为A、B、C三类，其中A类演出不少于2场,B类演出不少于5场,C类演出不少于10场，其他小型演出不少于25场。</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2,200,000.00</w:t>
      </w:r>
    </w:p>
    <w:p>
      <w:pPr>
        <w:pStyle w:val="null3"/>
      </w:pPr>
      <w:r>
        <w:rPr>
          <w:rFonts w:ascii="仿宋_GB2312" w:hAnsi="仿宋_GB2312" w:cs="仿宋_GB2312" w:eastAsia="仿宋_GB2312"/>
        </w:rPr>
        <w:t>采购包最高限价（元）: 2,200,000.00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铜川市文化和旅游局关于铜川剧院购物演出服务项目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标的名称：铜川市文化和旅游局关于铜川剧院购物演出服务项目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引进演出场次，全年完成组织引进自营及合作演出不低于</w:t>
            </w:r>
            <w:r>
              <w:rPr>
                <w:rFonts w:ascii="仿宋_GB2312" w:hAnsi="仿宋_GB2312" w:cs="仿宋_GB2312" w:eastAsia="仿宋_GB2312"/>
                <w:sz w:val="20"/>
              </w:rPr>
              <w:t>42场（30部）。</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引进演出档次，引进演出档次分为</w:t>
            </w:r>
            <w:r>
              <w:rPr>
                <w:rFonts w:ascii="仿宋_GB2312" w:hAnsi="仿宋_GB2312" w:cs="仿宋_GB2312" w:eastAsia="仿宋_GB2312"/>
                <w:sz w:val="20"/>
              </w:rPr>
              <w:t>A、B、C三类，</w:t>
            </w:r>
            <w:r>
              <w:rPr>
                <w:rFonts w:ascii="仿宋_GB2312" w:hAnsi="仿宋_GB2312" w:cs="仿宋_GB2312" w:eastAsia="仿宋_GB2312"/>
                <w:sz w:val="20"/>
              </w:rPr>
              <w:t>A类演出不少于2场，</w:t>
            </w:r>
            <w:r>
              <w:rPr>
                <w:rFonts w:ascii="仿宋_GB2312" w:hAnsi="仿宋_GB2312" w:cs="仿宋_GB2312" w:eastAsia="仿宋_GB2312"/>
                <w:sz w:val="20"/>
                <w:color w:val="000000"/>
              </w:rPr>
              <w:t>B类演出不少于5场，</w:t>
            </w:r>
            <w:r>
              <w:rPr>
                <w:rFonts w:ascii="仿宋_GB2312" w:hAnsi="仿宋_GB2312" w:cs="仿宋_GB2312" w:eastAsia="仿宋_GB2312"/>
                <w:sz w:val="20"/>
                <w:color w:val="000000"/>
              </w:rPr>
              <w:t>C类演出不少于10场，</w:t>
            </w:r>
            <w:r>
              <w:rPr>
                <w:rFonts w:ascii="仿宋_GB2312" w:hAnsi="仿宋_GB2312" w:cs="仿宋_GB2312" w:eastAsia="仿宋_GB2312"/>
                <w:sz w:val="20"/>
                <w:color w:val="000000"/>
              </w:rPr>
              <w:t>其他小型演出不少于</w:t>
            </w:r>
            <w:r>
              <w:rPr>
                <w:rFonts w:ascii="仿宋_GB2312" w:hAnsi="仿宋_GB2312" w:cs="仿宋_GB2312" w:eastAsia="仿宋_GB2312"/>
                <w:sz w:val="20"/>
                <w:color w:val="000000"/>
              </w:rPr>
              <w:t>25场。</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A类演出指：</w:t>
            </w:r>
          </w:p>
          <w:p>
            <w:pPr>
              <w:pStyle w:val="null3"/>
              <w:jc w:val="both"/>
            </w:pPr>
            <w:r>
              <w:rPr>
                <w:rFonts w:ascii="仿宋_GB2312" w:hAnsi="仿宋_GB2312" w:cs="仿宋_GB2312" w:eastAsia="仿宋_GB2312"/>
                <w:sz w:val="20"/>
              </w:rPr>
              <w:t>a、欧美地区演出团体名称中带有国家、皇家、首都城市名称、广播字样的演出团体；</w:t>
            </w:r>
          </w:p>
          <w:p>
            <w:pPr>
              <w:pStyle w:val="null3"/>
              <w:jc w:val="both"/>
            </w:pPr>
            <w:r>
              <w:rPr>
                <w:rFonts w:ascii="仿宋_GB2312" w:hAnsi="仿宋_GB2312" w:cs="仿宋_GB2312" w:eastAsia="仿宋_GB2312"/>
                <w:sz w:val="20"/>
              </w:rPr>
              <w:t>b、在国际艺术比赛中获得奖项的国内外演出团体；</w:t>
            </w:r>
          </w:p>
          <w:p>
            <w:pPr>
              <w:pStyle w:val="null3"/>
              <w:jc w:val="both"/>
            </w:pPr>
            <w:r>
              <w:rPr>
                <w:rFonts w:ascii="仿宋_GB2312" w:hAnsi="仿宋_GB2312" w:cs="仿宋_GB2312" w:eastAsia="仿宋_GB2312"/>
                <w:sz w:val="20"/>
              </w:rPr>
              <w:t>c、国内演出团体中直属国家文化和旅游部、国家新闻出版广电总局及带有中国、中央字样的艺术团体；</w:t>
            </w:r>
          </w:p>
          <w:p>
            <w:pPr>
              <w:pStyle w:val="null3"/>
              <w:jc w:val="both"/>
            </w:pPr>
            <w:r>
              <w:rPr>
                <w:rFonts w:ascii="仿宋_GB2312" w:hAnsi="仿宋_GB2312" w:cs="仿宋_GB2312" w:eastAsia="仿宋_GB2312"/>
                <w:sz w:val="20"/>
              </w:rPr>
              <w:t>d、获国家舞台艺术精品工程剧目、获文化和旅游部“文华奖”节目、获中宣部“五个一工程奖”的优秀舞台艺术佳作的演出；</w:t>
            </w:r>
          </w:p>
          <w:p>
            <w:pPr>
              <w:pStyle w:val="null3"/>
              <w:jc w:val="both"/>
            </w:pPr>
            <w:r>
              <w:rPr>
                <w:rFonts w:ascii="仿宋_GB2312" w:hAnsi="仿宋_GB2312" w:cs="仿宋_GB2312" w:eastAsia="仿宋_GB2312"/>
                <w:sz w:val="20"/>
              </w:rPr>
              <w:t>e、获国际专业艺术比赛大奖或国家授予荣誉称号的艺术家 为主演的剧(节)目；</w:t>
            </w:r>
          </w:p>
          <w:p>
            <w:pPr>
              <w:pStyle w:val="null3"/>
              <w:jc w:val="both"/>
            </w:pPr>
            <w:r>
              <w:rPr>
                <w:rFonts w:ascii="仿宋_GB2312" w:hAnsi="仿宋_GB2312" w:cs="仿宋_GB2312" w:eastAsia="仿宋_GB2312"/>
                <w:sz w:val="20"/>
              </w:rPr>
              <w:t>f、国内省级艺术院团获得中宣部、国家文化和旅游部、中国文联主办的各单项舞台艺术奖项的演出项目。</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B类演出指：</w:t>
            </w:r>
          </w:p>
          <w:p>
            <w:pPr>
              <w:pStyle w:val="null3"/>
              <w:jc w:val="both"/>
            </w:pPr>
            <w:r>
              <w:rPr>
                <w:rFonts w:ascii="仿宋_GB2312" w:hAnsi="仿宋_GB2312" w:cs="仿宋_GB2312" w:eastAsia="仿宋_GB2312"/>
                <w:sz w:val="20"/>
              </w:rPr>
              <w:t>a、各直辖市及各省级的艺术院团演出；</w:t>
            </w:r>
          </w:p>
          <w:p>
            <w:pPr>
              <w:pStyle w:val="null3"/>
              <w:jc w:val="both"/>
            </w:pPr>
            <w:r>
              <w:rPr>
                <w:rFonts w:ascii="仿宋_GB2312" w:hAnsi="仿宋_GB2312" w:cs="仿宋_GB2312" w:eastAsia="仿宋_GB2312"/>
                <w:sz w:val="20"/>
              </w:rPr>
              <w:t>b、以著名古典艺术家命名的国外艺术团体演出的剧目；</w:t>
            </w:r>
          </w:p>
          <w:p>
            <w:pPr>
              <w:pStyle w:val="null3"/>
              <w:jc w:val="both"/>
            </w:pPr>
            <w:r>
              <w:rPr>
                <w:rFonts w:ascii="仿宋_GB2312" w:hAnsi="仿宋_GB2312" w:cs="仿宋_GB2312" w:eastAsia="仿宋_GB2312"/>
                <w:sz w:val="20"/>
              </w:rPr>
              <w:t>c、国外艺术团体名称中带有青年字样或冠以洲际名称的艺 术团体；</w:t>
            </w:r>
          </w:p>
          <w:p>
            <w:pPr>
              <w:pStyle w:val="null3"/>
              <w:jc w:val="both"/>
            </w:pPr>
            <w:r>
              <w:rPr>
                <w:rFonts w:ascii="仿宋_GB2312" w:hAnsi="仿宋_GB2312" w:cs="仿宋_GB2312" w:eastAsia="仿宋_GB2312"/>
                <w:sz w:val="20"/>
              </w:rPr>
              <w:t>d、其他城市艺术院团中有地方特色的以及获得省委宣传部、 省文化和旅游厅主办的省级以上舞台艺术专业评奖奖项的优秀剧(节)目的演出。</w:t>
            </w:r>
          </w:p>
          <w:p>
            <w:pPr>
              <w:pStyle w:val="null3"/>
              <w:jc w:val="both"/>
            </w:pPr>
            <w:r>
              <w:rPr>
                <w:rFonts w:ascii="仿宋_GB2312" w:hAnsi="仿宋_GB2312" w:cs="仿宋_GB2312" w:eastAsia="仿宋_GB2312"/>
                <w:sz w:val="20"/>
              </w:rPr>
              <w:t>（三）</w:t>
            </w:r>
            <w:r>
              <w:rPr>
                <w:rFonts w:ascii="仿宋_GB2312" w:hAnsi="仿宋_GB2312" w:cs="仿宋_GB2312" w:eastAsia="仿宋_GB2312"/>
                <w:sz w:val="20"/>
              </w:rPr>
              <w:t>C类演出指：A、B类演出以外的演出、实验话剧及小型艺术表演。</w:t>
            </w:r>
          </w:p>
          <w:p>
            <w:pPr>
              <w:pStyle w:val="null3"/>
            </w:pPr>
            <w:r>
              <w:rPr>
                <w:rFonts w:ascii="仿宋_GB2312" w:hAnsi="仿宋_GB2312" w:cs="仿宋_GB2312" w:eastAsia="仿宋_GB2312"/>
                <w:sz w:val="20"/>
              </w:rPr>
              <w:t>（四）其他小型演出指：是</w:t>
            </w:r>
            <w:r>
              <w:rPr>
                <w:rFonts w:ascii="仿宋_GB2312" w:hAnsi="仿宋_GB2312" w:cs="仿宋_GB2312" w:eastAsia="仿宋_GB2312"/>
                <w:sz w:val="20"/>
              </w:rPr>
              <w:t>A、B、C类演出以外的剧目。</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演出人员、后备演出人员配备数量充裕，能保证演出的顺利实施。</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提供演出设备清单(包括灯光、音响、服装等设备道具)且满足演出要求。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铜川市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顺利完成合同约定的演出内容及场次。</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运营满三个月</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运营满六个月</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运营满九个月</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运营满十二个月</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12.00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运营满一年后实行年终考核激励机制</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双方友好协商。协商不成的在采购人所在地进行起诉。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提供有效合格的统一社会信用代码的营业执照，其他组织经营的须提供合法凭证，自然人的提供身份证明文件；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 2024 年度或2025 年度经审计的完整财务报告或开标日期前三个月内其基本存款账户开户银行出具的资信证明。（如提供资信证明，须同时提供基本存款账户开户许可证或基本账户信息表）；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提供2025年1月至今已缴纳的至少一个月的纳税证明，依法免税的单位应提供相关证明材料；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具有设备和专业技术能力</w:t>
            </w:r>
          </w:p>
        </w:tc>
        <w:tc>
          <w:tcPr>
            <w:tcW w:type="dxa" w:w="3322"/>
          </w:tcPr>
          <w:p>
            <w:pPr>
              <w:pStyle w:val="null3"/>
            </w:pPr>
            <w:r>
              <w:rPr>
                <w:rFonts w:ascii="仿宋_GB2312" w:hAnsi="仿宋_GB2312" w:cs="仿宋_GB2312" w:eastAsia="仿宋_GB2312"/>
              </w:rPr>
              <w:t>具备履行合同所必须的设备和专业技术能力的书面声明；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供应商须具备文化行政主管部门颁发的《营业性演出许可证》；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信用查询截图</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供应商未被列入信用中国网站(www.creditchina.gov.cn)“失信被执行人、重大税收违法失信主体”；未被列入中国政府采购网 (www.ccgp.gov.cn)“政府采购严重违法失信行为信息记录”；</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法定代表人授权委托书、被授权人身份证（法定代表人参加投标时,只需提供法定代表人身份证）；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本项目不接受联合体投标,，提供非联合体投标声明函，格式自拟。</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投标文件构成无重大缺项，按照招标文件要求的格式编写投标文件</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投标文件报价</w:t>
            </w:r>
          </w:p>
        </w:tc>
        <w:tc>
          <w:tcPr>
            <w:tcW w:type="dxa" w:w="3322"/>
          </w:tcPr>
          <w:p>
            <w:pPr>
              <w:pStyle w:val="null3"/>
            </w:pPr>
            <w:r>
              <w:rPr>
                <w:rFonts w:ascii="仿宋_GB2312" w:hAnsi="仿宋_GB2312" w:cs="仿宋_GB2312" w:eastAsia="仿宋_GB2312"/>
              </w:rPr>
              <w:t>报价唯一，且没有低于成本价或高于最高限价的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投标文件的签署、盖章符合招标文件要求，供应商递交的投标文件与本项目名称一致</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服务期限、付款方式响应招标文件要求</w:t>
            </w:r>
          </w:p>
        </w:tc>
        <w:tc>
          <w:tcPr>
            <w:tcW w:type="dxa" w:w="1661"/>
          </w:tcPr>
          <w:p>
            <w:pPr>
              <w:pStyle w:val="null3"/>
            </w:pPr>
            <w:r>
              <w:rPr>
                <w:rFonts w:ascii="仿宋_GB2312" w:hAnsi="仿宋_GB2312" w:cs="仿宋_GB2312" w:eastAsia="仿宋_GB2312"/>
              </w:rPr>
              <w:t>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供应商针对本项目配备专业化①舞台设备②服装道具。舞台设备及服装道具应切合本项目实际情况，条理清晰，内容详实、合理，完全满足采购需求。根据安排内容的全面性、合理性、可行性等方面进行赋分，每项内容7分，最多得14分。每缺少一项内容扣7分，每有一处内容存在缺陷，扣1分，扣完为止。备注：本文所称“缺陷”是指内容不合理、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演出制度及安全管理制度</w:t>
            </w:r>
          </w:p>
        </w:tc>
        <w:tc>
          <w:tcPr>
            <w:tcW w:type="dxa" w:w="2492"/>
          </w:tcPr>
          <w:p>
            <w:pPr>
              <w:pStyle w:val="null3"/>
            </w:pPr>
            <w:r>
              <w:rPr>
                <w:rFonts w:ascii="仿宋_GB2312" w:hAnsi="仿宋_GB2312" w:cs="仿宋_GB2312" w:eastAsia="仿宋_GB2312"/>
              </w:rPr>
              <w:t>供应商针对本项目制定演出制度及安全管理制度，内容包括但不限于：①演出制度；②安全管理制度。演出制度及安全管理制度应切合本项目实际情况，条理清晰，内容详实、合理，完全满足采购需求。根据措施内容的全面性、合理性、可行性等方面进行赋分，每项内容7分，最多得14分。每缺少一项内容扣7分，每有一处内容存在缺陷，扣1分，扣完为止。备注：本文所称“缺陷”是指内容不合理、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供应商针对本项目制定服务质量保证方案，方案内容包括但不限于：①服务质量保证。服务质量保证应切合本项目实际情况，条理清晰，内容详实、合理，完全满足采购需求。根据方案的内容从方案的全面性、合理性、可行性等方面进行赋分，每项内容7分，最多得7分。每缺少一项内容扣7分，每有一处内容存在缺陷，扣1分，扣完为止。备注：本文所称“缺陷”是指内容不合理、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进度计划及保障措施</w:t>
            </w:r>
          </w:p>
        </w:tc>
        <w:tc>
          <w:tcPr>
            <w:tcW w:type="dxa" w:w="2492"/>
          </w:tcPr>
          <w:p>
            <w:pPr>
              <w:pStyle w:val="null3"/>
            </w:pPr>
            <w:r>
              <w:rPr>
                <w:rFonts w:ascii="仿宋_GB2312" w:hAnsi="仿宋_GB2312" w:cs="仿宋_GB2312" w:eastAsia="仿宋_GB2312"/>
              </w:rPr>
              <w:t>供应商针对本项目制定进度计划及相应的质量、安全、进度保障措施，措施内容包括但不限于：①整体服务进度规划；②进度控制措施；③进度保障承诺。进度计划及保障措施应切合本项目实际情况，条理清晰，内容详实、合理，完全满足采购需求。根据措施的内容从措施的全面性、合理性、可行性等方面进行赋分，每项内容10分，最多得30分。每缺少一项内容扣10分，每有一处内容存在缺陷，扣1分，扣完为止。备注：本文所称“缺陷”是指内容不合理、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自2022年1月1日以来（以合同签订时间为准）类似项目业绩证明文件，评审时以投标文件中的扫描件加盖公章为计分依据，每出具一份业绩证明文件得2分，满分10分。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项目服务团队</w:t>
            </w:r>
          </w:p>
        </w:tc>
        <w:tc>
          <w:tcPr>
            <w:tcW w:type="dxa" w:w="2492"/>
          </w:tcPr>
          <w:p>
            <w:pPr>
              <w:pStyle w:val="null3"/>
            </w:pPr>
            <w:r>
              <w:rPr>
                <w:rFonts w:ascii="仿宋_GB2312" w:hAnsi="仿宋_GB2312" w:cs="仿宋_GB2312" w:eastAsia="仿宋_GB2312"/>
              </w:rPr>
              <w:t>供应商针对本项目配备专业化服务团队（包括但不限于导演、编剧、演员、舞美、音乐、行政、后勤等人员），①根据项目要求拟投入的服务人员数量②拟投入的服务人员年龄、专业经验等情况③根据项目要求拟投入的服务人员岗位职责分工明确、搭配合理。项目服务团队应切合本项目实际情况，条理清晰，内容详实、合理，完全满足采购需求。根据安排内容的全面性、合理性、可行性等方面进行赋分，每项内容5分，最多得15分。每缺少一项内容扣5分，每有一处内容存在缺陷，扣1分，扣完为止。备注：本文所称“缺陷”是指内容不合理、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满足招标文件实质性要求且投标报价最低的供应商的价格为投标基准价，其价格分为满分 10 分。 投标报价得分=（投标基准价/投标报价）×10 的公式计算得分。 投标报价不完整的，不进入评标标准价的计算，本项得 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