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54A80B">
      <w:pPr>
        <w:pStyle w:val="14"/>
        <w:jc w:val="center"/>
        <w:outlineLvl w:val="1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/>
          <w:sz w:val="36"/>
        </w:rPr>
        <w:t>第三章 招标项目技术、服务、商务及其他要求</w:t>
      </w:r>
    </w:p>
    <w:p w14:paraId="1974939B">
      <w:pPr>
        <w:pStyle w:val="14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 xml:space="preserve"> （注：当采购包的评标方法为综合评分法时带“★”的参数需求为实质性要求，供应商必须响应并满足的参数需求，采购人、采购代理机构应当根据项目实际需求合理设定，并明确具体要求。带“▲”号条款为允许负偏离的参数需求，若未响应或者不满足，将在综合评审中予以扣分处理。）</w:t>
      </w:r>
    </w:p>
    <w:p w14:paraId="34990B8C">
      <w:pPr>
        <w:pStyle w:val="14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 xml:space="preserve"> （注：当采购包的评标方法为最低评标价法时带“★”的参数需求为实质性要求，供应商必须响应并满足的参数需求，采购人、采购代理机构应当根据项目实际需求合理设定，并明确具体要求。）</w:t>
      </w:r>
    </w:p>
    <w:p w14:paraId="0BDE8B83">
      <w:pPr>
        <w:pStyle w:val="14"/>
        <w:outlineLvl w:val="2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/>
          <w:sz w:val="28"/>
        </w:rPr>
        <w:t>3.1采购项目概况</w:t>
      </w:r>
    </w:p>
    <w:p w14:paraId="106E72AD">
      <w:pPr>
        <w:pStyle w:val="14"/>
        <w:ind w:firstLine="480"/>
        <w:rPr>
          <w:rFonts w:hint="eastAsia" w:ascii="仿宋" w:hAnsi="仿宋" w:eastAsia="仿宋" w:cs="仿宋"/>
          <w:lang w:eastAsia="zh-CN"/>
        </w:rPr>
      </w:pPr>
      <w:r>
        <w:rPr>
          <w:rFonts w:hint="eastAsia" w:ascii="仿宋" w:hAnsi="仿宋" w:eastAsia="仿宋" w:cs="仿宋"/>
          <w:lang w:eastAsia="zh-CN"/>
        </w:rPr>
        <w:t>咸阳市地下水监管能力建设项目</w:t>
      </w:r>
    </w:p>
    <w:p w14:paraId="4561A736">
      <w:pPr>
        <w:pStyle w:val="14"/>
        <w:outlineLvl w:val="2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/>
          <w:sz w:val="28"/>
        </w:rPr>
        <w:t>3.2采购内容</w:t>
      </w:r>
    </w:p>
    <w:p w14:paraId="7784995B">
      <w:pPr>
        <w:pStyle w:val="14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采购包1：</w:t>
      </w:r>
    </w:p>
    <w:p w14:paraId="0B3B0E92">
      <w:pPr>
        <w:pStyle w:val="14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采购包预算金额（元）: 10440000.00</w:t>
      </w:r>
    </w:p>
    <w:p w14:paraId="422F14F2">
      <w:pPr>
        <w:pStyle w:val="14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采购包最高限价（元）: 10440000.00</w:t>
      </w:r>
    </w:p>
    <w:p w14:paraId="437AB79C">
      <w:pPr>
        <w:pStyle w:val="14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供应商报价不允许超过标的金额</w:t>
      </w:r>
    </w:p>
    <w:p w14:paraId="59EEBEA6">
      <w:pPr>
        <w:pStyle w:val="14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（招单价的）供应商报价不允许超过标的单价</w:t>
      </w:r>
    </w:p>
    <w:tbl>
      <w:tblPr>
        <w:tblStyle w:val="8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8"/>
        <w:gridCol w:w="718"/>
        <w:gridCol w:w="740"/>
        <w:gridCol w:w="1316"/>
        <w:gridCol w:w="718"/>
        <w:gridCol w:w="718"/>
        <w:gridCol w:w="718"/>
        <w:gridCol w:w="719"/>
        <w:gridCol w:w="719"/>
        <w:gridCol w:w="719"/>
        <w:gridCol w:w="719"/>
      </w:tblGrid>
      <w:tr w14:paraId="55CA843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A170660">
            <w:pPr>
              <w:pStyle w:val="1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序号</w:t>
            </w:r>
          </w:p>
        </w:tc>
        <w:tc>
          <w:tcPr>
            <w:tcW w:w="755" w:type="dxa"/>
          </w:tcPr>
          <w:p w14:paraId="7B7B471D">
            <w:pPr>
              <w:pStyle w:val="1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标的名称</w:t>
            </w:r>
          </w:p>
        </w:tc>
        <w:tc>
          <w:tcPr>
            <w:tcW w:w="755" w:type="dxa"/>
          </w:tcPr>
          <w:p w14:paraId="0F878A93">
            <w:pPr>
              <w:pStyle w:val="1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数量</w:t>
            </w:r>
          </w:p>
        </w:tc>
        <w:tc>
          <w:tcPr>
            <w:tcW w:w="755" w:type="dxa"/>
          </w:tcPr>
          <w:p w14:paraId="4AE5DC2F">
            <w:pPr>
              <w:pStyle w:val="1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标的金额 （元）</w:t>
            </w:r>
          </w:p>
        </w:tc>
        <w:tc>
          <w:tcPr>
            <w:tcW w:w="755" w:type="dxa"/>
          </w:tcPr>
          <w:p w14:paraId="6B3EFD85">
            <w:pPr>
              <w:pStyle w:val="1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计量单位</w:t>
            </w:r>
          </w:p>
        </w:tc>
        <w:tc>
          <w:tcPr>
            <w:tcW w:w="755" w:type="dxa"/>
          </w:tcPr>
          <w:p w14:paraId="5E8D3AC6">
            <w:pPr>
              <w:pStyle w:val="1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所属行业</w:t>
            </w:r>
          </w:p>
        </w:tc>
        <w:tc>
          <w:tcPr>
            <w:tcW w:w="755" w:type="dxa"/>
          </w:tcPr>
          <w:p w14:paraId="12C1F913">
            <w:pPr>
              <w:pStyle w:val="1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是否核心产品</w:t>
            </w:r>
          </w:p>
        </w:tc>
        <w:tc>
          <w:tcPr>
            <w:tcW w:w="755" w:type="dxa"/>
          </w:tcPr>
          <w:p w14:paraId="54D88210">
            <w:pPr>
              <w:pStyle w:val="1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是否允许进口产品</w:t>
            </w:r>
          </w:p>
        </w:tc>
        <w:tc>
          <w:tcPr>
            <w:tcW w:w="755" w:type="dxa"/>
          </w:tcPr>
          <w:p w14:paraId="627238F1">
            <w:pPr>
              <w:pStyle w:val="1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是否属于节能产品</w:t>
            </w:r>
          </w:p>
        </w:tc>
        <w:tc>
          <w:tcPr>
            <w:tcW w:w="755" w:type="dxa"/>
          </w:tcPr>
          <w:p w14:paraId="56BC856B">
            <w:pPr>
              <w:pStyle w:val="1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是否属于环境标志产品</w:t>
            </w:r>
          </w:p>
        </w:tc>
        <w:tc>
          <w:tcPr>
            <w:tcW w:w="755" w:type="dxa"/>
          </w:tcPr>
          <w:p w14:paraId="27E9A4AE">
            <w:pPr>
              <w:pStyle w:val="1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是否实施本国产品政策</w:t>
            </w:r>
          </w:p>
        </w:tc>
      </w:tr>
      <w:tr w14:paraId="30D9DF1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0FCAD6F4">
            <w:pPr>
              <w:pStyle w:val="14"/>
              <w:rPr>
                <w:rFonts w:hint="eastAsia" w:ascii="仿宋" w:hAnsi="仿宋" w:eastAsia="仿宋" w:cs="仿宋"/>
                <w:color w:val="0000FF"/>
              </w:rPr>
            </w:pPr>
            <w:r>
              <w:rPr>
                <w:rFonts w:hint="eastAsia" w:ascii="仿宋" w:hAnsi="仿宋" w:eastAsia="仿宋" w:cs="仿宋"/>
                <w:color w:val="0000FF"/>
              </w:rPr>
              <w:t>1</w:t>
            </w:r>
          </w:p>
        </w:tc>
        <w:tc>
          <w:tcPr>
            <w:tcW w:w="755" w:type="dxa"/>
          </w:tcPr>
          <w:p w14:paraId="34ADBF0E">
            <w:pPr>
              <w:pStyle w:val="14"/>
              <w:rPr>
                <w:rFonts w:hint="eastAsia" w:ascii="仿宋" w:hAnsi="仿宋" w:eastAsia="仿宋" w:cs="仿宋"/>
                <w:color w:val="0000FF"/>
              </w:rPr>
            </w:pPr>
            <w:r>
              <w:rPr>
                <w:rFonts w:hint="eastAsia" w:ascii="仿宋" w:hAnsi="仿宋" w:eastAsia="仿宋" w:cs="仿宋"/>
                <w:color w:val="0000FF"/>
                <w:lang w:val="en-US" w:eastAsia="zh-CN"/>
              </w:rPr>
              <w:t>咸阳市地下水监管能力建设项目</w:t>
            </w:r>
          </w:p>
        </w:tc>
        <w:tc>
          <w:tcPr>
            <w:tcW w:w="755" w:type="dxa"/>
          </w:tcPr>
          <w:p w14:paraId="6DB80C32">
            <w:pPr>
              <w:pStyle w:val="14"/>
              <w:jc w:val="right"/>
              <w:rPr>
                <w:rFonts w:hint="eastAsia" w:ascii="仿宋" w:hAnsi="仿宋" w:eastAsia="仿宋" w:cs="仿宋"/>
                <w:color w:val="0000FF"/>
              </w:rPr>
            </w:pPr>
            <w:r>
              <w:rPr>
                <w:rFonts w:hint="eastAsia" w:ascii="仿宋" w:hAnsi="仿宋" w:eastAsia="仿宋" w:cs="仿宋"/>
                <w:color w:val="0000FF"/>
              </w:rPr>
              <w:t>1.00</w:t>
            </w:r>
          </w:p>
        </w:tc>
        <w:tc>
          <w:tcPr>
            <w:tcW w:w="755" w:type="dxa"/>
          </w:tcPr>
          <w:p w14:paraId="01BD3C65">
            <w:pPr>
              <w:pStyle w:val="14"/>
              <w:jc w:val="right"/>
              <w:rPr>
                <w:rFonts w:hint="eastAsia" w:ascii="仿宋" w:hAnsi="仿宋" w:eastAsia="仿宋" w:cs="仿宋"/>
                <w:color w:val="0000FF"/>
              </w:rPr>
            </w:pPr>
            <w:r>
              <w:rPr>
                <w:rFonts w:hint="eastAsia" w:ascii="仿宋" w:hAnsi="仿宋" w:eastAsia="仿宋" w:cs="仿宋"/>
                <w:color w:val="0000FF"/>
              </w:rPr>
              <w:t>10440000.00</w:t>
            </w:r>
          </w:p>
        </w:tc>
        <w:tc>
          <w:tcPr>
            <w:tcW w:w="755" w:type="dxa"/>
          </w:tcPr>
          <w:p w14:paraId="5FBEDBB9">
            <w:pPr>
              <w:pStyle w:val="14"/>
              <w:rPr>
                <w:rFonts w:hint="eastAsia" w:ascii="仿宋" w:hAnsi="仿宋" w:eastAsia="仿宋" w:cs="仿宋"/>
                <w:color w:val="0000FF"/>
              </w:rPr>
            </w:pPr>
            <w:r>
              <w:rPr>
                <w:rFonts w:hint="eastAsia" w:ascii="仿宋" w:hAnsi="仿宋" w:eastAsia="仿宋" w:cs="仿宋"/>
                <w:color w:val="0000FF"/>
              </w:rPr>
              <w:t>项</w:t>
            </w:r>
          </w:p>
        </w:tc>
        <w:tc>
          <w:tcPr>
            <w:tcW w:w="755" w:type="dxa"/>
          </w:tcPr>
          <w:p w14:paraId="577B123C">
            <w:pPr>
              <w:pStyle w:val="14"/>
              <w:rPr>
                <w:rFonts w:hint="eastAsia" w:ascii="仿宋" w:hAnsi="仿宋" w:eastAsia="仿宋" w:cs="仿宋"/>
                <w:color w:val="0000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FF"/>
                <w:lang w:eastAsia="zh-CN"/>
              </w:rPr>
              <w:t>软件和信息技术服务</w:t>
            </w:r>
          </w:p>
        </w:tc>
        <w:tc>
          <w:tcPr>
            <w:tcW w:w="755" w:type="dxa"/>
          </w:tcPr>
          <w:p w14:paraId="00599CB6">
            <w:pPr>
              <w:pStyle w:val="14"/>
              <w:rPr>
                <w:rFonts w:hint="eastAsia" w:ascii="仿宋" w:hAnsi="仿宋" w:eastAsia="仿宋" w:cs="仿宋"/>
                <w:color w:val="0000FF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FF"/>
                <w:lang w:eastAsia="zh-CN"/>
              </w:rPr>
              <w:t>否</w:t>
            </w:r>
          </w:p>
        </w:tc>
        <w:tc>
          <w:tcPr>
            <w:tcW w:w="755" w:type="dxa"/>
          </w:tcPr>
          <w:p w14:paraId="61F0A281">
            <w:pPr>
              <w:pStyle w:val="14"/>
              <w:rPr>
                <w:rFonts w:hint="eastAsia" w:ascii="仿宋" w:hAnsi="仿宋" w:eastAsia="仿宋" w:cs="仿宋"/>
                <w:color w:val="0000FF"/>
              </w:rPr>
            </w:pPr>
            <w:r>
              <w:rPr>
                <w:rFonts w:hint="eastAsia" w:ascii="仿宋" w:hAnsi="仿宋" w:eastAsia="仿宋" w:cs="仿宋"/>
                <w:color w:val="0000FF"/>
              </w:rPr>
              <w:t>否</w:t>
            </w:r>
          </w:p>
        </w:tc>
        <w:tc>
          <w:tcPr>
            <w:tcW w:w="755" w:type="dxa"/>
          </w:tcPr>
          <w:p w14:paraId="242CBAFF">
            <w:pPr>
              <w:pStyle w:val="14"/>
              <w:rPr>
                <w:rFonts w:hint="eastAsia" w:ascii="仿宋" w:hAnsi="仿宋" w:eastAsia="仿宋" w:cs="仿宋"/>
                <w:color w:val="0000FF"/>
              </w:rPr>
            </w:pPr>
            <w:r>
              <w:rPr>
                <w:rFonts w:hint="eastAsia" w:ascii="仿宋" w:hAnsi="仿宋" w:eastAsia="仿宋" w:cs="仿宋"/>
                <w:color w:val="0000FF"/>
              </w:rPr>
              <w:t>否</w:t>
            </w:r>
          </w:p>
        </w:tc>
        <w:tc>
          <w:tcPr>
            <w:tcW w:w="755" w:type="dxa"/>
          </w:tcPr>
          <w:p w14:paraId="365EFB7E">
            <w:pPr>
              <w:pStyle w:val="14"/>
              <w:rPr>
                <w:rFonts w:hint="eastAsia" w:ascii="仿宋" w:hAnsi="仿宋" w:eastAsia="仿宋" w:cs="仿宋"/>
                <w:color w:val="0000FF"/>
              </w:rPr>
            </w:pPr>
            <w:r>
              <w:rPr>
                <w:rFonts w:hint="eastAsia" w:ascii="仿宋" w:hAnsi="仿宋" w:eastAsia="仿宋" w:cs="仿宋"/>
                <w:color w:val="0000FF"/>
              </w:rPr>
              <w:t>否</w:t>
            </w:r>
          </w:p>
        </w:tc>
        <w:tc>
          <w:tcPr>
            <w:tcW w:w="755" w:type="dxa"/>
          </w:tcPr>
          <w:p w14:paraId="24D8AA1B">
            <w:pPr>
              <w:pStyle w:val="14"/>
              <w:rPr>
                <w:rFonts w:hint="eastAsia" w:ascii="仿宋" w:hAnsi="仿宋" w:eastAsia="仿宋" w:cs="仿宋"/>
                <w:color w:val="0000FF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FF"/>
                <w:lang w:val="en-US" w:eastAsia="zh-CN"/>
              </w:rPr>
              <w:t>否</w:t>
            </w:r>
          </w:p>
        </w:tc>
      </w:tr>
    </w:tbl>
    <w:p w14:paraId="79790D53">
      <w:pPr>
        <w:pStyle w:val="14"/>
        <w:outlineLvl w:val="2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/>
          <w:sz w:val="28"/>
        </w:rPr>
        <w:t>3.3技术要求</w:t>
      </w:r>
    </w:p>
    <w:p w14:paraId="3F87A8AB">
      <w:pPr>
        <w:pStyle w:val="14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采购包1：</w:t>
      </w:r>
    </w:p>
    <w:p w14:paraId="78E745FA">
      <w:pPr>
        <w:pStyle w:val="14"/>
        <w:rPr>
          <w:rFonts w:hint="eastAsia" w:ascii="仿宋" w:hAnsi="仿宋" w:eastAsia="仿宋" w:cs="仿宋"/>
          <w:lang w:eastAsia="zh-CN"/>
        </w:rPr>
      </w:pPr>
      <w:r>
        <w:rPr>
          <w:rFonts w:hint="eastAsia" w:ascii="仿宋" w:hAnsi="仿宋" w:eastAsia="仿宋" w:cs="仿宋"/>
        </w:rPr>
        <w:t>标的名称：</w:t>
      </w:r>
      <w:r>
        <w:rPr>
          <w:rFonts w:hint="eastAsia" w:ascii="仿宋" w:hAnsi="仿宋" w:eastAsia="仿宋" w:cs="仿宋"/>
          <w:lang w:eastAsia="zh-CN"/>
        </w:rPr>
        <w:t>咸阳市地下水监管能力建设项目</w:t>
      </w:r>
    </w:p>
    <w:tbl>
      <w:tblPr>
        <w:tblStyle w:val="8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5"/>
        <w:gridCol w:w="766"/>
        <w:gridCol w:w="6976"/>
      </w:tblGrid>
      <w:tr w14:paraId="7884B1E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5" w:type="dxa"/>
          </w:tcPr>
          <w:p w14:paraId="320FA931">
            <w:pPr>
              <w:pStyle w:val="1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序号</w:t>
            </w:r>
          </w:p>
        </w:tc>
        <w:tc>
          <w:tcPr>
            <w:tcW w:w="766" w:type="dxa"/>
          </w:tcPr>
          <w:p w14:paraId="1146D3CB">
            <w:pPr>
              <w:pStyle w:val="1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参数性质</w:t>
            </w:r>
          </w:p>
        </w:tc>
        <w:tc>
          <w:tcPr>
            <w:tcW w:w="6976" w:type="dxa"/>
          </w:tcPr>
          <w:p w14:paraId="0AEEF6D3">
            <w:pPr>
              <w:pStyle w:val="1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 xml:space="preserve"> 技术参数与性能指标</w:t>
            </w:r>
          </w:p>
        </w:tc>
      </w:tr>
      <w:tr w14:paraId="53FB467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5" w:hRule="atLeast"/>
        </w:trPr>
        <w:tc>
          <w:tcPr>
            <w:tcW w:w="565" w:type="dxa"/>
          </w:tcPr>
          <w:p w14:paraId="2416C1DD">
            <w:pPr>
              <w:pStyle w:val="1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</w:t>
            </w:r>
          </w:p>
        </w:tc>
        <w:tc>
          <w:tcPr>
            <w:tcW w:w="766" w:type="dxa"/>
          </w:tcPr>
          <w:p w14:paraId="15BAEB30">
            <w:pPr>
              <w:rPr>
                <w:rFonts w:hint="eastAsia" w:ascii="仿宋" w:hAnsi="仿宋" w:eastAsia="仿宋" w:cs="仿宋"/>
              </w:rPr>
            </w:pPr>
          </w:p>
        </w:tc>
        <w:tc>
          <w:tcPr>
            <w:tcW w:w="6976" w:type="dxa"/>
          </w:tcPr>
          <w:p w14:paraId="0FC690DD">
            <w:pPr>
              <w:numPr>
                <w:ilvl w:val="0"/>
                <w:numId w:val="0"/>
              </w:numPr>
              <w:ind w:leftChars="0"/>
              <w:rPr>
                <w:rFonts w:hint="eastAsia" w:ascii="仿宋" w:hAnsi="仿宋" w:eastAsia="仿宋" w:cs="仿宋"/>
                <w:b/>
                <w:bCs/>
                <w:color w:val="0000FF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FF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z w:val="21"/>
                <w:szCs w:val="21"/>
                <w:lang w:val="en-US" w:eastAsia="zh-CN"/>
              </w:rPr>
              <w:t>一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z w:val="21"/>
                <w:szCs w:val="21"/>
              </w:rPr>
              <w:t>采购项目概况</w:t>
            </w:r>
          </w:p>
          <w:p w14:paraId="0E54A63E">
            <w:pPr>
              <w:numPr>
                <w:ilvl w:val="0"/>
                <w:numId w:val="0"/>
              </w:numPr>
              <w:ind w:leftChars="0" w:firstLine="420" w:firstLineChars="200"/>
              <w:rPr>
                <w:rFonts w:hint="eastAsia" w:ascii="仿宋" w:hAnsi="仿宋" w:eastAsia="仿宋" w:cs="仿宋"/>
                <w:color w:val="0000FF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FF"/>
                <w:sz w:val="21"/>
                <w:szCs w:val="21"/>
              </w:rPr>
              <w:t>为持续巩固我市建设国家地下水污染防治试验区成果，建立完善全市地下水环境监测网，建设地下水环境监管信息平台，全面提升全市地下水污染防控能力，切实保障地下水环境安全。具体内容如下:</w:t>
            </w:r>
          </w:p>
          <w:p w14:paraId="502BAE7C">
            <w:pPr>
              <w:ind w:left="0" w:leftChars="0" w:firstLine="420" w:firstLineChars="200"/>
              <w:rPr>
                <w:rFonts w:hint="eastAsia" w:ascii="仿宋" w:hAnsi="仿宋" w:eastAsia="仿宋" w:cs="仿宋"/>
                <w:color w:val="0000FF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FF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color w:val="0000FF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仿宋" w:hAnsi="仿宋" w:eastAsia="仿宋" w:cs="仿宋"/>
                <w:color w:val="0000FF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color w:val="0000FF"/>
                <w:sz w:val="21"/>
                <w:szCs w:val="21"/>
              </w:rPr>
              <w:t>咸阳市地下水环境监测网:在收集整理咸阳市地下水环境状况调查和查清全市“双源”地下水水质状况资料的基础上，整合评估现有地下水环境监测井现状，基于评估结果围绕“双源”(地下水型饮用水水源和重点地下水污染源)补充优化地下水环境监测井，形成涵盖区域、“双源”等不同方面的咸阳市地下水环境监测网，形成地下水监测数据报送机制。</w:t>
            </w:r>
          </w:p>
          <w:p w14:paraId="53EF89E1">
            <w:pPr>
              <w:ind w:left="0" w:leftChars="0" w:firstLine="420" w:firstLineChars="200"/>
              <w:rPr>
                <w:rFonts w:hint="eastAsia" w:ascii="仿宋" w:hAnsi="仿宋" w:eastAsia="仿宋" w:cs="仿宋"/>
                <w:color w:val="0000FF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FF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color w:val="0000FF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color w:val="0000FF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color w:val="0000FF"/>
                <w:sz w:val="21"/>
                <w:szCs w:val="21"/>
              </w:rPr>
              <w:t>“双源”地下水环境在线监测试点:基于“双源”清单，筛选形成地下水污染防治重点排污单位、地下水污染重点监管单位名录，选择5-10个“双源”，开展地下水污染源防渗漏排查工作，试点配备地下水环境在线监测设备，实现地下水环境实时监测。</w:t>
            </w:r>
          </w:p>
          <w:p w14:paraId="1199D06E">
            <w:pPr>
              <w:ind w:left="0" w:leftChars="0" w:firstLine="420" w:firstLineChars="200"/>
              <w:rPr>
                <w:rFonts w:hint="eastAsia" w:ascii="仿宋" w:hAnsi="仿宋" w:eastAsia="仿宋" w:cs="仿宋"/>
                <w:color w:val="0000FF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FF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color w:val="0000FF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color w:val="0000FF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color w:val="0000FF"/>
                <w:sz w:val="21"/>
                <w:szCs w:val="21"/>
              </w:rPr>
              <w:t>地下水环境监管信息平台建设:按照“大网络、大系统、大数据”的建设思路，结合《水污染防治法》《地下水管理条例》《“十四五”土壤、地下水和农村生态环境保护规划》《地下水污染防治实施方案》等政策文件要求，建立地下水环境监管信息平台。</w:t>
            </w:r>
          </w:p>
          <w:p w14:paraId="455B2640">
            <w:pPr>
              <w:numPr>
                <w:ilvl w:val="0"/>
                <w:numId w:val="0"/>
              </w:numPr>
              <w:ind w:leftChars="0" w:firstLine="420" w:firstLineChars="200"/>
              <w:rPr>
                <w:rFonts w:hint="eastAsia" w:ascii="仿宋" w:hAnsi="仿宋" w:eastAsia="仿宋" w:cs="仿宋"/>
                <w:color w:val="0000FF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FF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color w:val="0000FF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0000FF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color w:val="0000FF"/>
                <w:sz w:val="21"/>
                <w:szCs w:val="21"/>
              </w:rPr>
              <w:t>地下水环境监管机制建立:结合地下水污染防治日常监管、应急预警和队伍建设等情况，强化咸阳市地下水环境监管能力建设，形成《咸阳市地下水生态环境管理制度》</w:t>
            </w:r>
            <w:r>
              <w:rPr>
                <w:rFonts w:hint="eastAsia" w:ascii="仿宋" w:hAnsi="仿宋" w:eastAsia="仿宋" w:cs="仿宋"/>
                <w:color w:val="0000FF"/>
                <w:sz w:val="21"/>
                <w:szCs w:val="21"/>
                <w:lang w:eastAsia="zh-CN"/>
              </w:rPr>
              <w:t>。</w:t>
            </w:r>
          </w:p>
          <w:p w14:paraId="1203DB2B">
            <w:pPr>
              <w:rPr>
                <w:rFonts w:hint="eastAsia" w:ascii="仿宋" w:hAnsi="仿宋" w:eastAsia="仿宋" w:cs="仿宋"/>
                <w:color w:val="0000FF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FF"/>
                <w:sz w:val="21"/>
                <w:szCs w:val="21"/>
              </w:rPr>
              <w:br w:type="page"/>
            </w:r>
          </w:p>
          <w:p w14:paraId="481FDADC">
            <w:pPr>
              <w:numPr>
                <w:ilvl w:val="0"/>
                <w:numId w:val="0"/>
              </w:numPr>
              <w:ind w:leftChars="0"/>
              <w:rPr>
                <w:rFonts w:hint="eastAsia" w:ascii="仿宋" w:hAnsi="仿宋" w:eastAsia="仿宋" w:cs="仿宋"/>
                <w:b/>
                <w:bCs/>
                <w:color w:val="0000FF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FF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z w:val="21"/>
                <w:szCs w:val="21"/>
                <w:lang w:val="en-US" w:eastAsia="zh-CN"/>
              </w:rPr>
              <w:t>二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z w:val="21"/>
                <w:szCs w:val="21"/>
                <w:lang w:val="en-US" w:eastAsia="zh-CN"/>
              </w:rPr>
              <w:t>采购清单</w:t>
            </w:r>
          </w:p>
          <w:tbl>
            <w:tblPr>
              <w:tblStyle w:val="9"/>
              <w:tblW w:w="4998" w:type="pct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525"/>
              <w:gridCol w:w="1079"/>
              <w:gridCol w:w="3907"/>
              <w:gridCol w:w="606"/>
              <w:gridCol w:w="630"/>
            </w:tblGrid>
            <w:tr w14:paraId="40E01AE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63" w:hRule="atLeast"/>
              </w:trPr>
              <w:tc>
                <w:tcPr>
                  <w:tcW w:w="389" w:type="pct"/>
                  <w:vAlign w:val="center"/>
                </w:tcPr>
                <w:p w14:paraId="0AB4C593">
                  <w:pPr>
                    <w:widowControl w:val="0"/>
                    <w:numPr>
                      <w:ilvl w:val="0"/>
                      <w:numId w:val="0"/>
                    </w:numPr>
                    <w:spacing w:line="240" w:lineRule="auto"/>
                    <w:jc w:val="center"/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val="en-US" w:eastAsia="zh-CN"/>
                    </w:rPr>
                    <w:t>序号</w:t>
                  </w:r>
                </w:p>
              </w:tc>
              <w:tc>
                <w:tcPr>
                  <w:tcW w:w="799" w:type="pct"/>
                  <w:vAlign w:val="center"/>
                </w:tcPr>
                <w:p w14:paraId="5F8A6088">
                  <w:pPr>
                    <w:widowControl w:val="0"/>
                    <w:numPr>
                      <w:ilvl w:val="0"/>
                      <w:numId w:val="0"/>
                    </w:numPr>
                    <w:spacing w:line="240" w:lineRule="auto"/>
                    <w:jc w:val="center"/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val="en-US" w:eastAsia="zh-CN"/>
                    </w:rPr>
                    <w:t>项目</w:t>
                  </w:r>
                </w:p>
              </w:tc>
              <w:tc>
                <w:tcPr>
                  <w:tcW w:w="2894" w:type="pct"/>
                  <w:vAlign w:val="center"/>
                </w:tcPr>
                <w:p w14:paraId="2E655B0B">
                  <w:pPr>
                    <w:widowControl w:val="0"/>
                    <w:numPr>
                      <w:ilvl w:val="0"/>
                      <w:numId w:val="0"/>
                    </w:numPr>
                    <w:spacing w:line="240" w:lineRule="auto"/>
                    <w:jc w:val="center"/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val="en-US" w:eastAsia="zh-CN"/>
                    </w:rPr>
                    <w:t>功能配置描述</w:t>
                  </w:r>
                </w:p>
              </w:tc>
              <w:tc>
                <w:tcPr>
                  <w:tcW w:w="449" w:type="pct"/>
                  <w:vAlign w:val="center"/>
                </w:tcPr>
                <w:p w14:paraId="2B3F9F39">
                  <w:pPr>
                    <w:widowControl w:val="0"/>
                    <w:numPr>
                      <w:ilvl w:val="0"/>
                      <w:numId w:val="0"/>
                    </w:numPr>
                    <w:spacing w:line="240" w:lineRule="auto"/>
                    <w:jc w:val="center"/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val="en-US" w:eastAsia="zh-CN"/>
                    </w:rPr>
                    <w:t>数量</w:t>
                  </w:r>
                </w:p>
              </w:tc>
              <w:tc>
                <w:tcPr>
                  <w:tcW w:w="467" w:type="pct"/>
                  <w:vAlign w:val="center"/>
                </w:tcPr>
                <w:p w14:paraId="535173A9">
                  <w:pPr>
                    <w:widowControl w:val="0"/>
                    <w:numPr>
                      <w:ilvl w:val="0"/>
                      <w:numId w:val="0"/>
                    </w:numPr>
                    <w:spacing w:line="240" w:lineRule="auto"/>
                    <w:jc w:val="center"/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val="en-US" w:eastAsia="zh-CN"/>
                    </w:rPr>
                    <w:t>规格</w:t>
                  </w:r>
                </w:p>
              </w:tc>
            </w:tr>
            <w:tr w14:paraId="79DBFF2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63" w:hRule="atLeast"/>
              </w:trPr>
              <w:tc>
                <w:tcPr>
                  <w:tcW w:w="389" w:type="pct"/>
                  <w:vAlign w:val="center"/>
                </w:tcPr>
                <w:p w14:paraId="3F6892A6">
                  <w:pPr>
                    <w:widowControl w:val="0"/>
                    <w:numPr>
                      <w:ilvl w:val="0"/>
                      <w:numId w:val="0"/>
                    </w:numPr>
                    <w:spacing w:line="240" w:lineRule="auto"/>
                    <w:jc w:val="center"/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799" w:type="pct"/>
                  <w:vAlign w:val="center"/>
                </w:tcPr>
                <w:p w14:paraId="71A498BD">
                  <w:pPr>
                    <w:widowControl w:val="0"/>
                    <w:numPr>
                      <w:ilvl w:val="0"/>
                      <w:numId w:val="0"/>
                    </w:numPr>
                    <w:spacing w:line="240" w:lineRule="auto"/>
                    <w:jc w:val="center"/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</w:rPr>
                    <w:t>地下水环境监测井建设与维护</w:t>
                  </w:r>
                </w:p>
              </w:tc>
              <w:tc>
                <w:tcPr>
                  <w:tcW w:w="2894" w:type="pct"/>
                  <w:vAlign w:val="center"/>
                </w:tcPr>
                <w:p w14:paraId="4D70D286">
                  <w:pPr>
                    <w:widowControl w:val="0"/>
                    <w:numPr>
                      <w:ilvl w:val="0"/>
                      <w:numId w:val="0"/>
                    </w:numPr>
                    <w:spacing w:line="240" w:lineRule="auto"/>
                    <w:jc w:val="center"/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</w:rPr>
                    <w:t>整合评估</w:t>
                  </w:r>
                  <w:r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eastAsia="zh-CN"/>
                    </w:rPr>
                    <w:t>咸阳市</w:t>
                  </w:r>
                  <w:r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</w:rPr>
                    <w:t>现有地下水环境监测井现状</w:t>
                  </w:r>
                  <w:r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eastAsia="zh-CN"/>
                    </w:rPr>
                    <w:t>，基于评估结果补充优化监测井，形成涵盖区域、“双源”等不同方面的咸阳市地下水环境监测网。地下水环境监测井建设与维护应参照《地下水环境监测技术规范》（</w:t>
                  </w:r>
                  <w:r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val="en-US" w:eastAsia="zh-CN"/>
                    </w:rPr>
                    <w:t>HJ 164-2020</w:t>
                  </w:r>
                  <w:r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eastAsia="zh-CN"/>
                    </w:rPr>
                    <w:t>）</w:t>
                  </w:r>
                  <w:r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val="en-US" w:eastAsia="zh-CN"/>
                    </w:rPr>
                    <w:t>执行。</w:t>
                  </w:r>
                </w:p>
              </w:tc>
              <w:tc>
                <w:tcPr>
                  <w:tcW w:w="449" w:type="pct"/>
                  <w:vAlign w:val="center"/>
                </w:tcPr>
                <w:p w14:paraId="667F8057">
                  <w:pPr>
                    <w:widowControl w:val="0"/>
                    <w:numPr>
                      <w:ilvl w:val="0"/>
                      <w:numId w:val="0"/>
                    </w:numPr>
                    <w:spacing w:line="240" w:lineRule="auto"/>
                    <w:jc w:val="center"/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val="en-US" w:eastAsia="zh-CN"/>
                    </w:rPr>
                    <w:t>20</w:t>
                  </w:r>
                </w:p>
              </w:tc>
              <w:tc>
                <w:tcPr>
                  <w:tcW w:w="467" w:type="pct"/>
                  <w:vAlign w:val="center"/>
                </w:tcPr>
                <w:p w14:paraId="0F10782B">
                  <w:pPr>
                    <w:widowControl w:val="0"/>
                    <w:numPr>
                      <w:ilvl w:val="0"/>
                      <w:numId w:val="0"/>
                    </w:numPr>
                    <w:spacing w:line="240" w:lineRule="auto"/>
                    <w:ind w:left="0" w:leftChars="0" w:firstLine="0" w:firstLineChars="0"/>
                    <w:jc w:val="center"/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val="en-US" w:eastAsia="zh-CN"/>
                    </w:rPr>
                    <w:t>个</w:t>
                  </w:r>
                </w:p>
              </w:tc>
            </w:tr>
            <w:tr w14:paraId="474D418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63" w:hRule="atLeast"/>
              </w:trPr>
              <w:tc>
                <w:tcPr>
                  <w:tcW w:w="389" w:type="pct"/>
                  <w:vAlign w:val="center"/>
                </w:tcPr>
                <w:p w14:paraId="61D9EDA3">
                  <w:pPr>
                    <w:widowControl w:val="0"/>
                    <w:numPr>
                      <w:ilvl w:val="0"/>
                      <w:numId w:val="0"/>
                    </w:numPr>
                    <w:spacing w:line="240" w:lineRule="auto"/>
                    <w:jc w:val="center"/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val="en-US" w:eastAsia="zh-CN"/>
                    </w:rPr>
                    <w:t>2</w:t>
                  </w:r>
                </w:p>
              </w:tc>
              <w:tc>
                <w:tcPr>
                  <w:tcW w:w="799" w:type="pct"/>
                  <w:vAlign w:val="center"/>
                </w:tcPr>
                <w:p w14:paraId="68E3311C">
                  <w:pPr>
                    <w:widowControl w:val="0"/>
                    <w:numPr>
                      <w:ilvl w:val="0"/>
                      <w:numId w:val="0"/>
                    </w:numPr>
                    <w:spacing w:line="240" w:lineRule="auto"/>
                    <w:jc w:val="center"/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val="en-US" w:eastAsia="zh-CN"/>
                    </w:rPr>
                    <w:t>样品检测与分析</w:t>
                  </w:r>
                </w:p>
              </w:tc>
              <w:tc>
                <w:tcPr>
                  <w:tcW w:w="2894" w:type="pct"/>
                  <w:vAlign w:val="center"/>
                </w:tcPr>
                <w:p w14:paraId="659B57C1">
                  <w:pPr>
                    <w:widowControl w:val="0"/>
                    <w:numPr>
                      <w:ilvl w:val="0"/>
                      <w:numId w:val="0"/>
                    </w:numPr>
                    <w:spacing w:line="240" w:lineRule="auto"/>
                    <w:jc w:val="center"/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val="en-US" w:eastAsia="zh-CN"/>
                    </w:rPr>
                    <w:t>进行地下水样品检测与分析，区域点位监测指标包含《地下水质量标准》（GB/T 14848-2017）表1常规指标中的35项，环境风险监控点位监测指标为35项基础指标及部分特征污染指标。</w:t>
                  </w:r>
                </w:p>
              </w:tc>
              <w:tc>
                <w:tcPr>
                  <w:tcW w:w="449" w:type="pct"/>
                  <w:vAlign w:val="center"/>
                </w:tcPr>
                <w:p w14:paraId="5EC6F49D">
                  <w:pPr>
                    <w:widowControl w:val="0"/>
                    <w:numPr>
                      <w:ilvl w:val="0"/>
                      <w:numId w:val="0"/>
                    </w:numPr>
                    <w:spacing w:line="240" w:lineRule="auto"/>
                    <w:jc w:val="center"/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val="en-US" w:eastAsia="zh-CN"/>
                    </w:rPr>
                    <w:t>40</w:t>
                  </w:r>
                </w:p>
              </w:tc>
              <w:tc>
                <w:tcPr>
                  <w:tcW w:w="467" w:type="pct"/>
                  <w:vAlign w:val="center"/>
                </w:tcPr>
                <w:p w14:paraId="368B1E85">
                  <w:pPr>
                    <w:widowControl w:val="0"/>
                    <w:numPr>
                      <w:ilvl w:val="0"/>
                      <w:numId w:val="0"/>
                    </w:numPr>
                    <w:spacing w:line="240" w:lineRule="auto"/>
                    <w:ind w:left="0" w:leftChars="0" w:firstLine="0" w:firstLineChars="0"/>
                    <w:jc w:val="center"/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eastAsia="zh-CN"/>
                    </w:rPr>
                    <w:t>个</w:t>
                  </w:r>
                </w:p>
              </w:tc>
            </w:tr>
            <w:tr w14:paraId="52C805B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219" w:hRule="atLeast"/>
              </w:trPr>
              <w:tc>
                <w:tcPr>
                  <w:tcW w:w="389" w:type="pct"/>
                  <w:vAlign w:val="center"/>
                </w:tcPr>
                <w:p w14:paraId="5A638AEE">
                  <w:pPr>
                    <w:widowControl w:val="0"/>
                    <w:numPr>
                      <w:ilvl w:val="0"/>
                      <w:numId w:val="0"/>
                    </w:numPr>
                    <w:spacing w:line="240" w:lineRule="auto"/>
                    <w:jc w:val="center"/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val="en-US" w:eastAsia="zh-CN"/>
                    </w:rPr>
                    <w:t>3</w:t>
                  </w:r>
                </w:p>
              </w:tc>
              <w:tc>
                <w:tcPr>
                  <w:tcW w:w="799" w:type="pct"/>
                  <w:vAlign w:val="center"/>
                </w:tcPr>
                <w:p w14:paraId="6B55E214">
                  <w:pPr>
                    <w:widowControl w:val="0"/>
                    <w:numPr>
                      <w:ilvl w:val="0"/>
                      <w:numId w:val="0"/>
                    </w:numPr>
                    <w:spacing w:line="240" w:lineRule="auto"/>
                    <w:jc w:val="center"/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</w:rPr>
                    <w:t>双源地下水在线监测设备</w:t>
                  </w:r>
                </w:p>
              </w:tc>
              <w:tc>
                <w:tcPr>
                  <w:tcW w:w="2894" w:type="pct"/>
                  <w:vAlign w:val="center"/>
                </w:tcPr>
                <w:p w14:paraId="4FA9FBB4">
                  <w:pPr>
                    <w:widowControl w:val="0"/>
                    <w:numPr>
                      <w:ilvl w:val="0"/>
                      <w:numId w:val="0"/>
                    </w:numPr>
                    <w:spacing w:line="240" w:lineRule="auto"/>
                    <w:jc w:val="center"/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</w:rPr>
                    <w:t>监测站点均采用国内外市场成熟稳定的自动监测设备</w:t>
                  </w:r>
                  <w:r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eastAsia="zh-CN"/>
                    </w:rPr>
                    <w:t>，动态掌握地下水环境状况，</w:t>
                  </w:r>
                  <w:r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</w:rPr>
                    <w:t>实现水位、电导率等常规指标监测，同时结合地下水污染源实际情况，</w:t>
                  </w:r>
                  <w:r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eastAsia="zh-CN"/>
                    </w:rPr>
                    <w:t>确定</w:t>
                  </w:r>
                  <w:r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</w:rPr>
                    <w:t>1-2项特征污染指标</w:t>
                  </w:r>
                  <w:r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eastAsia="zh-CN"/>
                    </w:rPr>
                    <w:t>。</w:t>
                  </w:r>
                </w:p>
              </w:tc>
              <w:tc>
                <w:tcPr>
                  <w:tcW w:w="449" w:type="pct"/>
                  <w:vAlign w:val="center"/>
                </w:tcPr>
                <w:p w14:paraId="5E09D0E7">
                  <w:pPr>
                    <w:widowControl w:val="0"/>
                    <w:numPr>
                      <w:ilvl w:val="0"/>
                      <w:numId w:val="0"/>
                    </w:numPr>
                    <w:spacing w:line="240" w:lineRule="auto"/>
                    <w:jc w:val="center"/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val="en-US" w:eastAsia="zh-CN"/>
                    </w:rPr>
                    <w:t>10</w:t>
                  </w:r>
                </w:p>
              </w:tc>
              <w:tc>
                <w:tcPr>
                  <w:tcW w:w="467" w:type="pct"/>
                  <w:vAlign w:val="center"/>
                </w:tcPr>
                <w:p w14:paraId="4DE7A15D">
                  <w:pPr>
                    <w:widowControl w:val="0"/>
                    <w:numPr>
                      <w:ilvl w:val="0"/>
                      <w:numId w:val="0"/>
                    </w:numPr>
                    <w:spacing w:line="240" w:lineRule="auto"/>
                    <w:ind w:left="0" w:leftChars="0" w:firstLine="0" w:firstLineChars="0"/>
                    <w:jc w:val="center"/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</w:rPr>
                    <w:t>套</w:t>
                  </w:r>
                </w:p>
              </w:tc>
            </w:tr>
            <w:tr w14:paraId="2F3F422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63" w:hRule="atLeast"/>
              </w:trPr>
              <w:tc>
                <w:tcPr>
                  <w:tcW w:w="389" w:type="pct"/>
                  <w:vAlign w:val="center"/>
                </w:tcPr>
                <w:p w14:paraId="4AE326B9">
                  <w:pPr>
                    <w:widowControl w:val="0"/>
                    <w:numPr>
                      <w:ilvl w:val="0"/>
                      <w:numId w:val="0"/>
                    </w:numPr>
                    <w:spacing w:line="240" w:lineRule="auto"/>
                    <w:jc w:val="center"/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val="en-US" w:eastAsia="zh-CN"/>
                    </w:rPr>
                    <w:t>4</w:t>
                  </w:r>
                </w:p>
              </w:tc>
              <w:tc>
                <w:tcPr>
                  <w:tcW w:w="799" w:type="pct"/>
                  <w:vAlign w:val="center"/>
                </w:tcPr>
                <w:p w14:paraId="4872BFD5">
                  <w:pPr>
                    <w:widowControl w:val="0"/>
                    <w:numPr>
                      <w:ilvl w:val="0"/>
                      <w:numId w:val="0"/>
                    </w:numPr>
                    <w:spacing w:line="240" w:lineRule="auto"/>
                    <w:jc w:val="center"/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</w:rPr>
                    <w:t>地下水环境监管智慧平台建设</w:t>
                  </w:r>
                </w:p>
              </w:tc>
              <w:tc>
                <w:tcPr>
                  <w:tcW w:w="2894" w:type="pct"/>
                  <w:vAlign w:val="center"/>
                </w:tcPr>
                <w:p w14:paraId="3FB54E5A">
                  <w:pPr>
                    <w:widowControl w:val="0"/>
                    <w:numPr>
                      <w:ilvl w:val="0"/>
                      <w:numId w:val="0"/>
                    </w:numPr>
                    <w:spacing w:line="240" w:lineRule="auto"/>
                    <w:jc w:val="center"/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val="en-US" w:eastAsia="zh-CN"/>
                    </w:rPr>
                    <w:t>构建咸阳市地下水环境监管信息平台，实现不同层级间地下水监测数据的共享共用，完成地下水污染防治管理、地下水污染源管理、地下水型饮用水水源管理、地下水环境监测网管理、“一张图”可视化监管、地下水监管移动端等功能模块开发，支撑地下水重点污染源监管、保障地下水型饮用水水源安全、开展地下水生态环境执法检查等，为咸阳市地下水生态环境管理决策提供有力支撑。</w:t>
                  </w:r>
                </w:p>
              </w:tc>
              <w:tc>
                <w:tcPr>
                  <w:tcW w:w="449" w:type="pct"/>
                  <w:vAlign w:val="center"/>
                </w:tcPr>
                <w:p w14:paraId="5F3EFA1F">
                  <w:pPr>
                    <w:widowControl w:val="0"/>
                    <w:numPr>
                      <w:ilvl w:val="0"/>
                      <w:numId w:val="0"/>
                    </w:numPr>
                    <w:spacing w:line="240" w:lineRule="auto"/>
                    <w:jc w:val="center"/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467" w:type="pct"/>
                  <w:vAlign w:val="center"/>
                </w:tcPr>
                <w:p w14:paraId="2D9126F9">
                  <w:pPr>
                    <w:widowControl w:val="0"/>
                    <w:numPr>
                      <w:ilvl w:val="0"/>
                      <w:numId w:val="0"/>
                    </w:numPr>
                    <w:spacing w:line="240" w:lineRule="auto"/>
                    <w:ind w:left="0" w:leftChars="0" w:firstLine="0" w:firstLineChars="0"/>
                    <w:jc w:val="center"/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</w:rPr>
                    <w:t>项</w:t>
                  </w:r>
                </w:p>
              </w:tc>
            </w:tr>
            <w:tr w14:paraId="6CFC839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77" w:hRule="atLeast"/>
              </w:trPr>
              <w:tc>
                <w:tcPr>
                  <w:tcW w:w="389" w:type="pct"/>
                  <w:vAlign w:val="center"/>
                </w:tcPr>
                <w:p w14:paraId="5021C188">
                  <w:pPr>
                    <w:widowControl w:val="0"/>
                    <w:numPr>
                      <w:ilvl w:val="0"/>
                      <w:numId w:val="0"/>
                    </w:numPr>
                    <w:spacing w:line="240" w:lineRule="auto"/>
                    <w:jc w:val="center"/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val="en-US" w:eastAsia="zh-CN"/>
                    </w:rPr>
                    <w:t>5</w:t>
                  </w:r>
                </w:p>
              </w:tc>
              <w:tc>
                <w:tcPr>
                  <w:tcW w:w="799" w:type="pct"/>
                  <w:vAlign w:val="center"/>
                </w:tcPr>
                <w:p w14:paraId="24AE2F09">
                  <w:pPr>
                    <w:widowControl w:val="0"/>
                    <w:numPr>
                      <w:ilvl w:val="0"/>
                      <w:numId w:val="0"/>
                    </w:numPr>
                    <w:spacing w:line="240" w:lineRule="auto"/>
                    <w:jc w:val="center"/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</w:rPr>
                    <w:t>双源渗漏与排查</w:t>
                  </w:r>
                </w:p>
              </w:tc>
              <w:tc>
                <w:tcPr>
                  <w:tcW w:w="2894" w:type="pct"/>
                  <w:vAlign w:val="center"/>
                </w:tcPr>
                <w:p w14:paraId="0367238F">
                  <w:pPr>
                    <w:widowControl w:val="0"/>
                    <w:numPr>
                      <w:ilvl w:val="0"/>
                      <w:numId w:val="0"/>
                    </w:numPr>
                    <w:spacing w:line="240" w:lineRule="auto"/>
                    <w:jc w:val="center"/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val="en-US" w:eastAsia="zh-CN"/>
                    </w:rPr>
                    <w:t>基于“双源”清单，筛选形成地下水污染风险重点单位名录，选择10个“双源”，开展地下水污染源防渗漏排查。</w:t>
                  </w:r>
                </w:p>
              </w:tc>
              <w:tc>
                <w:tcPr>
                  <w:tcW w:w="449" w:type="pct"/>
                  <w:vAlign w:val="center"/>
                </w:tcPr>
                <w:p w14:paraId="5304097E">
                  <w:pPr>
                    <w:widowControl w:val="0"/>
                    <w:numPr>
                      <w:ilvl w:val="0"/>
                      <w:numId w:val="0"/>
                    </w:numPr>
                    <w:spacing w:line="240" w:lineRule="auto"/>
                    <w:jc w:val="center"/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467" w:type="pct"/>
                  <w:vAlign w:val="center"/>
                </w:tcPr>
                <w:p w14:paraId="2410E93B">
                  <w:pPr>
                    <w:widowControl w:val="0"/>
                    <w:numPr>
                      <w:ilvl w:val="0"/>
                      <w:numId w:val="0"/>
                    </w:numPr>
                    <w:spacing w:line="240" w:lineRule="auto"/>
                    <w:ind w:left="0" w:leftChars="0" w:firstLine="0" w:firstLineChars="0"/>
                    <w:jc w:val="center"/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</w:rPr>
                    <w:t>项</w:t>
                  </w:r>
                </w:p>
              </w:tc>
            </w:tr>
            <w:tr w14:paraId="5B2342B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77" w:hRule="atLeast"/>
              </w:trPr>
              <w:tc>
                <w:tcPr>
                  <w:tcW w:w="389" w:type="pct"/>
                  <w:vAlign w:val="center"/>
                </w:tcPr>
                <w:p w14:paraId="1CDCA421">
                  <w:pPr>
                    <w:widowControl w:val="0"/>
                    <w:numPr>
                      <w:ilvl w:val="0"/>
                      <w:numId w:val="0"/>
                    </w:numPr>
                    <w:spacing w:line="240" w:lineRule="auto"/>
                    <w:jc w:val="center"/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val="en-US" w:eastAsia="zh-CN"/>
                    </w:rPr>
                    <w:t>6</w:t>
                  </w:r>
                </w:p>
              </w:tc>
              <w:tc>
                <w:tcPr>
                  <w:tcW w:w="799" w:type="pct"/>
                  <w:shd w:val="clear" w:color="auto" w:fill="auto"/>
                  <w:vAlign w:val="center"/>
                </w:tcPr>
                <w:p w14:paraId="652C26D7">
                  <w:pPr>
                    <w:widowControl w:val="0"/>
                    <w:numPr>
                      <w:ilvl w:val="0"/>
                      <w:numId w:val="0"/>
                    </w:numPr>
                    <w:spacing w:line="240" w:lineRule="auto"/>
                    <w:jc w:val="center"/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highlight w:val="none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highlight w:val="none"/>
                      <w:vertAlign w:val="baseline"/>
                    </w:rPr>
                    <w:t>方案报告及管理</w:t>
                  </w:r>
                  <w:r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highlight w:val="none"/>
                      <w:vertAlign w:val="baseline"/>
                      <w:lang w:val="en-US" w:eastAsia="zh-CN"/>
                    </w:rPr>
                    <w:t>制度编制</w:t>
                  </w:r>
                </w:p>
              </w:tc>
              <w:tc>
                <w:tcPr>
                  <w:tcW w:w="2894" w:type="pct"/>
                  <w:shd w:val="clear" w:color="auto" w:fill="auto"/>
                  <w:vAlign w:val="center"/>
                </w:tcPr>
                <w:p w14:paraId="41DB1693">
                  <w:pPr>
                    <w:widowControl w:val="0"/>
                    <w:numPr>
                      <w:ilvl w:val="0"/>
                      <w:numId w:val="0"/>
                    </w:numPr>
                    <w:spacing w:line="240" w:lineRule="auto"/>
                    <w:jc w:val="center"/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highlight w:val="none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highlight w:val="none"/>
                      <w:vertAlign w:val="baseline"/>
                      <w:lang w:val="en-US" w:eastAsia="zh-CN"/>
                    </w:rPr>
                    <w:t>咸阳市地下水生态环境方案报告、管理制度建议稿各1份。</w:t>
                  </w:r>
                </w:p>
              </w:tc>
              <w:tc>
                <w:tcPr>
                  <w:tcW w:w="449" w:type="pct"/>
                  <w:vAlign w:val="center"/>
                </w:tcPr>
                <w:p w14:paraId="4174BFE9">
                  <w:pPr>
                    <w:widowControl w:val="0"/>
                    <w:numPr>
                      <w:ilvl w:val="0"/>
                      <w:numId w:val="0"/>
                    </w:numPr>
                    <w:spacing w:line="240" w:lineRule="auto"/>
                    <w:jc w:val="center"/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467" w:type="pct"/>
                  <w:vAlign w:val="center"/>
                </w:tcPr>
                <w:p w14:paraId="10E66BA0">
                  <w:pPr>
                    <w:widowControl w:val="0"/>
                    <w:numPr>
                      <w:ilvl w:val="0"/>
                      <w:numId w:val="0"/>
                    </w:numPr>
                    <w:spacing w:line="240" w:lineRule="auto"/>
                    <w:ind w:left="0" w:leftChars="0" w:firstLine="0" w:firstLineChars="0"/>
                    <w:jc w:val="center"/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color w:val="0000FF"/>
                      <w:sz w:val="21"/>
                      <w:szCs w:val="21"/>
                      <w:vertAlign w:val="baseline"/>
                    </w:rPr>
                    <w:t>项</w:t>
                  </w:r>
                </w:p>
              </w:tc>
            </w:tr>
          </w:tbl>
          <w:p w14:paraId="2DB7A414">
            <w:pPr>
              <w:rPr>
                <w:rFonts w:hint="eastAsia" w:ascii="仿宋" w:hAnsi="仿宋" w:eastAsia="仿宋" w:cs="仿宋"/>
                <w:color w:val="0000FF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FF"/>
                <w:sz w:val="21"/>
                <w:szCs w:val="21"/>
              </w:rPr>
              <w:br w:type="page"/>
            </w:r>
          </w:p>
          <w:p w14:paraId="04BED136">
            <w:pPr>
              <w:numPr>
                <w:ilvl w:val="0"/>
                <w:numId w:val="0"/>
              </w:numPr>
              <w:ind w:leftChars="200"/>
              <w:rPr>
                <w:rFonts w:hint="eastAsia" w:ascii="仿宋" w:hAnsi="仿宋" w:eastAsia="仿宋" w:cs="仿宋"/>
                <w:b/>
                <w:bCs/>
                <w:color w:val="0000FF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FF"/>
                <w:sz w:val="21"/>
                <w:szCs w:val="21"/>
                <w:lang w:val="en-US" w:eastAsia="zh-CN"/>
              </w:rPr>
              <w:t>（三）商务要求</w:t>
            </w:r>
          </w:p>
          <w:p w14:paraId="2FB7F69E">
            <w:pPr>
              <w:numPr>
                <w:ilvl w:val="0"/>
                <w:numId w:val="0"/>
              </w:numPr>
              <w:ind w:leftChars="200"/>
              <w:rPr>
                <w:rFonts w:hint="eastAsia" w:ascii="仿宋" w:hAnsi="仿宋" w:eastAsia="仿宋" w:cs="仿宋"/>
                <w:color w:val="0000FF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FF"/>
                <w:sz w:val="21"/>
                <w:szCs w:val="21"/>
                <w:lang w:val="en-US" w:eastAsia="zh-CN"/>
              </w:rPr>
              <w:t>1.质量标准：符合国家及行业质量验收合格标准</w:t>
            </w:r>
          </w:p>
          <w:p w14:paraId="4739CD2F">
            <w:pPr>
              <w:numPr>
                <w:ilvl w:val="0"/>
                <w:numId w:val="0"/>
              </w:numPr>
              <w:ind w:leftChars="200"/>
              <w:rPr>
                <w:rFonts w:hint="eastAsia" w:ascii="仿宋" w:hAnsi="仿宋" w:eastAsia="仿宋" w:cs="仿宋"/>
                <w:color w:val="0000FF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FF"/>
                <w:sz w:val="21"/>
                <w:szCs w:val="21"/>
                <w:lang w:val="en-US" w:eastAsia="zh-CN"/>
              </w:rPr>
              <w:t>2.服务期限：自合同签订之日起一年</w:t>
            </w:r>
          </w:p>
          <w:p w14:paraId="60B2A09A">
            <w:pPr>
              <w:numPr>
                <w:ilvl w:val="0"/>
                <w:numId w:val="0"/>
              </w:numPr>
              <w:ind w:leftChars="200"/>
              <w:rPr>
                <w:rFonts w:hint="eastAsia" w:ascii="仿宋" w:hAnsi="仿宋" w:eastAsia="仿宋" w:cs="仿宋"/>
                <w:color w:val="0000FF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FF"/>
                <w:sz w:val="21"/>
                <w:szCs w:val="21"/>
                <w:lang w:val="en-US" w:eastAsia="zh-CN"/>
              </w:rPr>
              <w:t>3.服务地点：采购人指定地点</w:t>
            </w:r>
            <w:bookmarkStart w:id="0" w:name="_GoBack"/>
            <w:bookmarkEnd w:id="0"/>
          </w:p>
          <w:p w14:paraId="481FB050">
            <w:pPr>
              <w:numPr>
                <w:ilvl w:val="0"/>
                <w:numId w:val="0"/>
              </w:numPr>
              <w:ind w:leftChars="200"/>
              <w:rPr>
                <w:rFonts w:hint="eastAsia" w:ascii="仿宋" w:hAnsi="仿宋" w:eastAsia="仿宋" w:cs="仿宋"/>
                <w:color w:val="0000FF"/>
                <w:sz w:val="21"/>
                <w:szCs w:val="21"/>
                <w:shd w:val="clear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FF"/>
                <w:sz w:val="21"/>
                <w:szCs w:val="21"/>
                <w:lang w:val="en-US" w:eastAsia="zh-CN"/>
              </w:rPr>
              <w:t>4.质保期：</w:t>
            </w:r>
            <w:r>
              <w:rPr>
                <w:rFonts w:hint="eastAsia" w:ascii="仿宋" w:hAnsi="仿宋" w:eastAsia="仿宋" w:cs="仿宋"/>
                <w:color w:val="0000FF"/>
                <w:sz w:val="21"/>
                <w:szCs w:val="21"/>
                <w:shd w:val="clear"/>
                <w:lang w:val="en-US" w:eastAsia="zh-CN"/>
              </w:rPr>
              <w:t>自验收合格之日起3年</w:t>
            </w:r>
          </w:p>
          <w:p w14:paraId="0C298E49">
            <w:pPr>
              <w:numPr>
                <w:ilvl w:val="0"/>
                <w:numId w:val="0"/>
              </w:numPr>
              <w:ind w:leftChars="200"/>
              <w:rPr>
                <w:rFonts w:hint="eastAsia" w:ascii="仿宋" w:hAnsi="仿宋" w:eastAsia="仿宋" w:cs="仿宋"/>
                <w:color w:val="0000FF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FF"/>
                <w:sz w:val="21"/>
                <w:szCs w:val="21"/>
                <w:lang w:val="en-US" w:eastAsia="zh-CN"/>
              </w:rPr>
              <w:t>5.付款方式：合同签订后，支付合同总价款的40%;完成地下水监测井信息整合评估后，支付合同总价款的40%，项目整体验收合格后，支付合同总价款的20%。</w:t>
            </w:r>
          </w:p>
          <w:p w14:paraId="423158C1">
            <w:pPr>
              <w:rPr>
                <w:rFonts w:hint="eastAsia" w:ascii="仿宋" w:hAnsi="仿宋" w:eastAsia="仿宋" w:cs="仿宋"/>
              </w:rPr>
            </w:pPr>
          </w:p>
        </w:tc>
      </w:tr>
    </w:tbl>
    <w:p w14:paraId="61AC49C7">
      <w:pPr>
        <w:pStyle w:val="14"/>
        <w:outlineLvl w:val="2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/>
          <w:sz w:val="28"/>
        </w:rPr>
        <w:t>3.4商务要求</w:t>
      </w:r>
    </w:p>
    <w:p w14:paraId="1B707118">
      <w:pPr>
        <w:pStyle w:val="14"/>
        <w:outlineLvl w:val="3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/>
          <w:sz w:val="24"/>
        </w:rPr>
        <w:t xml:space="preserve"> 3.4.1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服务</w:t>
      </w:r>
      <w:r>
        <w:rPr>
          <w:rFonts w:hint="eastAsia" w:ascii="仿宋" w:hAnsi="仿宋" w:eastAsia="仿宋" w:cs="仿宋"/>
          <w:b/>
          <w:sz w:val="24"/>
        </w:rPr>
        <w:t>时间</w:t>
      </w:r>
    </w:p>
    <w:p w14:paraId="10374420">
      <w:pPr>
        <w:pStyle w:val="14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采购包1：</w:t>
      </w:r>
    </w:p>
    <w:p w14:paraId="71962322">
      <w:pPr>
        <w:pStyle w:val="14"/>
        <w:rPr>
          <w:rFonts w:hint="eastAsia" w:ascii="仿宋" w:hAnsi="仿宋" w:eastAsia="仿宋" w:cs="仿宋"/>
          <w:b w:val="0"/>
          <w:bCs w:val="0"/>
          <w:color w:val="0000FF"/>
        </w:rPr>
      </w:pPr>
      <w:r>
        <w:rPr>
          <w:rFonts w:hint="eastAsia" w:ascii="仿宋" w:hAnsi="仿宋" w:eastAsia="仿宋" w:cs="仿宋"/>
          <w:b w:val="0"/>
          <w:bCs w:val="0"/>
          <w:color w:val="0000FF"/>
          <w:lang w:val="en-US" w:eastAsia="zh-CN"/>
        </w:rPr>
        <w:t>自合同签订之日起一年</w:t>
      </w:r>
      <w:r>
        <w:rPr>
          <w:rFonts w:hint="eastAsia" w:ascii="仿宋" w:hAnsi="仿宋" w:eastAsia="仿宋" w:cs="仿宋"/>
          <w:b w:val="0"/>
          <w:bCs w:val="0"/>
          <w:color w:val="0000FF"/>
        </w:rPr>
        <w:t>。</w:t>
      </w:r>
    </w:p>
    <w:p w14:paraId="5EA4FE40">
      <w:pPr>
        <w:pStyle w:val="14"/>
        <w:outlineLvl w:val="3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/>
          <w:sz w:val="24"/>
        </w:rPr>
        <w:t>3.4.2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服务</w:t>
      </w:r>
      <w:r>
        <w:rPr>
          <w:rFonts w:hint="eastAsia" w:ascii="仿宋" w:hAnsi="仿宋" w:eastAsia="仿宋" w:cs="仿宋"/>
          <w:b/>
          <w:sz w:val="24"/>
        </w:rPr>
        <w:t>地点</w:t>
      </w:r>
    </w:p>
    <w:p w14:paraId="45855F0C">
      <w:pPr>
        <w:pStyle w:val="14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采购包1：</w:t>
      </w:r>
    </w:p>
    <w:p w14:paraId="79D03609">
      <w:pPr>
        <w:pStyle w:val="14"/>
        <w:rPr>
          <w:rFonts w:hint="eastAsia" w:ascii="仿宋" w:hAnsi="仿宋" w:eastAsia="仿宋" w:cs="仿宋"/>
          <w:b w:val="0"/>
          <w:bCs w:val="0"/>
          <w:color w:val="0000FF"/>
        </w:rPr>
      </w:pPr>
      <w:r>
        <w:rPr>
          <w:rFonts w:hint="eastAsia" w:ascii="仿宋" w:hAnsi="仿宋" w:eastAsia="仿宋" w:cs="仿宋"/>
          <w:b w:val="0"/>
          <w:bCs w:val="0"/>
          <w:color w:val="0000FF"/>
        </w:rPr>
        <w:t>采购人指定地点</w:t>
      </w:r>
    </w:p>
    <w:p w14:paraId="06789066">
      <w:pPr>
        <w:pStyle w:val="14"/>
        <w:outlineLvl w:val="3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/>
          <w:sz w:val="24"/>
        </w:rPr>
        <w:t>3.4.3支付方式</w:t>
      </w:r>
    </w:p>
    <w:p w14:paraId="4C0C7643">
      <w:pPr>
        <w:pStyle w:val="14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采购包1：</w:t>
      </w:r>
    </w:p>
    <w:p w14:paraId="0BC8E53F">
      <w:pPr>
        <w:pStyle w:val="14"/>
        <w:rPr>
          <w:rFonts w:hint="eastAsia" w:ascii="仿宋" w:hAnsi="仿宋" w:eastAsia="仿宋" w:cs="仿宋"/>
          <w:color w:val="0000FF"/>
          <w:lang w:val="en-US" w:eastAsia="zh-CN"/>
        </w:rPr>
      </w:pPr>
      <w:r>
        <w:rPr>
          <w:rFonts w:hint="eastAsia" w:ascii="仿宋" w:hAnsi="仿宋" w:eastAsia="仿宋" w:cs="仿宋"/>
          <w:color w:val="0000FF"/>
          <w:lang w:val="en-US" w:eastAsia="zh-CN"/>
        </w:rPr>
        <w:t>分期付款</w:t>
      </w:r>
    </w:p>
    <w:p w14:paraId="15E03A22">
      <w:pPr>
        <w:pStyle w:val="14"/>
        <w:outlineLvl w:val="3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/>
          <w:sz w:val="24"/>
        </w:rPr>
        <w:t>3.4.4支付约定</w:t>
      </w:r>
    </w:p>
    <w:p w14:paraId="4539156F">
      <w:pPr>
        <w:pStyle w:val="14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采购包1：</w:t>
      </w:r>
    </w:p>
    <w:p w14:paraId="5ABD3EBE">
      <w:pPr>
        <w:pStyle w:val="14"/>
        <w:rPr>
          <w:rFonts w:hint="eastAsia" w:ascii="仿宋" w:hAnsi="仿宋" w:eastAsia="仿宋" w:cs="仿宋"/>
          <w:color w:val="0000FF"/>
        </w:rPr>
      </w:pPr>
      <w:r>
        <w:rPr>
          <w:rFonts w:hint="eastAsia" w:ascii="仿宋" w:hAnsi="仿宋" w:eastAsia="仿宋" w:cs="仿宋"/>
          <w:color w:val="0000FF"/>
          <w:lang w:val="en-US" w:eastAsia="zh-CN"/>
        </w:rPr>
        <w:t>合同签订后，支付合同总价款的40%;完成地下水监测井信息整合评估后，支付合同总价款的40%，项目整体验收合格后，支付合同总价款的20%。</w:t>
      </w:r>
    </w:p>
    <w:p w14:paraId="7B2D76BC">
      <w:pPr>
        <w:pStyle w:val="14"/>
        <w:outlineLvl w:val="3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/>
          <w:sz w:val="24"/>
        </w:rPr>
        <w:t>3.4.5验收标准和方法</w:t>
      </w:r>
    </w:p>
    <w:p w14:paraId="23F8C509">
      <w:pPr>
        <w:pStyle w:val="14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采购包1：</w:t>
      </w:r>
    </w:p>
    <w:p w14:paraId="170AEAE5">
      <w:pPr>
        <w:pStyle w:val="14"/>
        <w:numPr>
          <w:ilvl w:val="0"/>
          <w:numId w:val="0"/>
        </w:numPr>
        <w:rPr>
          <w:rFonts w:hint="eastAsia" w:ascii="仿宋" w:hAnsi="仿宋" w:eastAsia="仿宋" w:cs="仿宋"/>
          <w:color w:val="0000FF"/>
        </w:rPr>
      </w:pPr>
      <w:r>
        <w:rPr>
          <w:rFonts w:hint="eastAsia" w:ascii="仿宋" w:hAnsi="仿宋" w:eastAsia="仿宋" w:cs="仿宋"/>
          <w:color w:val="0000FF"/>
          <w:lang w:eastAsia="zh-CN"/>
        </w:rPr>
        <w:t>（</w:t>
      </w:r>
      <w:r>
        <w:rPr>
          <w:rFonts w:hint="eastAsia" w:ascii="仿宋" w:hAnsi="仿宋" w:eastAsia="仿宋" w:cs="仿宋"/>
          <w:color w:val="0000FF"/>
          <w:lang w:val="en-US" w:eastAsia="zh-CN"/>
        </w:rPr>
        <w:t>1</w:t>
      </w:r>
      <w:r>
        <w:rPr>
          <w:rFonts w:hint="eastAsia" w:ascii="仿宋" w:hAnsi="仿宋" w:eastAsia="仿宋" w:cs="仿宋"/>
          <w:color w:val="0000FF"/>
          <w:lang w:eastAsia="zh-CN"/>
        </w:rPr>
        <w:t>）</w:t>
      </w:r>
      <w:r>
        <w:rPr>
          <w:rFonts w:hint="eastAsia" w:ascii="仿宋" w:hAnsi="仿宋" w:eastAsia="仿宋" w:cs="仿宋"/>
          <w:color w:val="0000FF"/>
        </w:rPr>
        <w:t>合同文本</w:t>
      </w:r>
    </w:p>
    <w:p w14:paraId="551ADA48">
      <w:pPr>
        <w:pStyle w:val="14"/>
        <w:numPr>
          <w:ilvl w:val="0"/>
          <w:numId w:val="0"/>
        </w:numPr>
        <w:ind w:leftChars="0"/>
        <w:rPr>
          <w:rFonts w:hint="eastAsia" w:ascii="仿宋" w:hAnsi="仿宋" w:eastAsia="仿宋" w:cs="仿宋"/>
          <w:color w:val="0000FF"/>
          <w:lang w:eastAsia="zh-CN"/>
        </w:rPr>
      </w:pPr>
      <w:r>
        <w:rPr>
          <w:rFonts w:hint="eastAsia" w:ascii="仿宋" w:hAnsi="仿宋" w:eastAsia="仿宋" w:cs="仿宋"/>
          <w:color w:val="0000FF"/>
          <w:lang w:eastAsia="zh-CN"/>
        </w:rPr>
        <w:t>（</w:t>
      </w:r>
      <w:r>
        <w:rPr>
          <w:rFonts w:hint="eastAsia" w:ascii="仿宋" w:hAnsi="仿宋" w:eastAsia="仿宋" w:cs="仿宋"/>
          <w:color w:val="0000FF"/>
          <w:lang w:val="en-US" w:eastAsia="zh-CN"/>
        </w:rPr>
        <w:t>2</w:t>
      </w:r>
      <w:r>
        <w:rPr>
          <w:rFonts w:hint="eastAsia" w:ascii="仿宋" w:hAnsi="仿宋" w:eastAsia="仿宋" w:cs="仿宋"/>
          <w:color w:val="0000FF"/>
          <w:lang w:eastAsia="zh-CN"/>
        </w:rPr>
        <w:t>）</w:t>
      </w:r>
      <w:r>
        <w:rPr>
          <w:rFonts w:hint="eastAsia" w:ascii="仿宋" w:hAnsi="仿宋" w:eastAsia="仿宋" w:cs="仿宋"/>
          <w:color w:val="0000FF"/>
        </w:rPr>
        <w:t>招标文件及澄清函、投标文件</w:t>
      </w:r>
      <w:r>
        <w:rPr>
          <w:rFonts w:hint="eastAsia" w:ascii="仿宋" w:hAnsi="仿宋" w:eastAsia="仿宋" w:cs="仿宋"/>
          <w:color w:val="0000FF"/>
          <w:lang w:eastAsia="zh-CN"/>
        </w:rPr>
        <w:t>；</w:t>
      </w:r>
    </w:p>
    <w:p w14:paraId="5927C47D">
      <w:pPr>
        <w:pStyle w:val="14"/>
        <w:numPr>
          <w:ilvl w:val="0"/>
          <w:numId w:val="0"/>
        </w:numPr>
        <w:ind w:leftChars="0"/>
        <w:rPr>
          <w:rFonts w:hint="eastAsia" w:ascii="仿宋" w:hAnsi="仿宋" w:eastAsia="仿宋" w:cs="仿宋"/>
          <w:color w:val="0000FF"/>
        </w:rPr>
      </w:pPr>
      <w:r>
        <w:rPr>
          <w:rFonts w:hint="eastAsia" w:ascii="仿宋" w:hAnsi="仿宋" w:eastAsia="仿宋" w:cs="仿宋"/>
          <w:color w:val="0000FF"/>
          <w:lang w:eastAsia="zh-CN"/>
        </w:rPr>
        <w:t>（</w:t>
      </w:r>
      <w:r>
        <w:rPr>
          <w:rFonts w:hint="eastAsia" w:ascii="仿宋" w:hAnsi="仿宋" w:eastAsia="仿宋" w:cs="仿宋"/>
          <w:color w:val="0000FF"/>
          <w:lang w:val="en-US" w:eastAsia="zh-CN"/>
        </w:rPr>
        <w:t>3</w:t>
      </w:r>
      <w:r>
        <w:rPr>
          <w:rFonts w:hint="eastAsia" w:ascii="仿宋" w:hAnsi="仿宋" w:eastAsia="仿宋" w:cs="仿宋"/>
          <w:color w:val="0000FF"/>
          <w:lang w:eastAsia="zh-CN"/>
        </w:rPr>
        <w:t>）</w:t>
      </w:r>
      <w:r>
        <w:rPr>
          <w:rFonts w:hint="eastAsia" w:ascii="仿宋" w:hAnsi="仿宋" w:eastAsia="仿宋" w:cs="仿宋"/>
          <w:color w:val="0000FF"/>
        </w:rPr>
        <w:t>国家和行业制定的相应的标准和规范</w:t>
      </w:r>
      <w:r>
        <w:rPr>
          <w:rFonts w:hint="eastAsia" w:ascii="仿宋" w:hAnsi="仿宋" w:eastAsia="仿宋" w:cs="仿宋"/>
          <w:color w:val="0000FF"/>
          <w:lang w:eastAsia="zh-CN"/>
        </w:rPr>
        <w:t>；</w:t>
      </w:r>
    </w:p>
    <w:p w14:paraId="240D819E">
      <w:pPr>
        <w:pStyle w:val="14"/>
        <w:numPr>
          <w:ilvl w:val="0"/>
          <w:numId w:val="0"/>
        </w:numPr>
        <w:ind w:leftChars="0"/>
        <w:rPr>
          <w:rFonts w:hint="eastAsia" w:ascii="仿宋" w:hAnsi="仿宋" w:eastAsia="仿宋" w:cs="仿宋"/>
          <w:color w:val="0000FF"/>
        </w:rPr>
      </w:pPr>
      <w:r>
        <w:rPr>
          <w:rFonts w:hint="eastAsia" w:ascii="仿宋" w:hAnsi="仿宋" w:eastAsia="仿宋" w:cs="仿宋"/>
          <w:color w:val="0000FF"/>
          <w:lang w:eastAsia="zh-CN"/>
        </w:rPr>
        <w:t>（</w:t>
      </w:r>
      <w:r>
        <w:rPr>
          <w:rFonts w:hint="eastAsia" w:ascii="仿宋" w:hAnsi="仿宋" w:eastAsia="仿宋" w:cs="仿宋"/>
          <w:color w:val="0000FF"/>
          <w:lang w:val="en-US" w:eastAsia="zh-CN"/>
        </w:rPr>
        <w:t>4</w:t>
      </w:r>
      <w:r>
        <w:rPr>
          <w:rFonts w:hint="eastAsia" w:ascii="仿宋" w:hAnsi="仿宋" w:eastAsia="仿宋" w:cs="仿宋"/>
          <w:color w:val="0000FF"/>
          <w:lang w:eastAsia="zh-CN"/>
        </w:rPr>
        <w:t>）</w:t>
      </w:r>
      <w:r>
        <w:rPr>
          <w:rFonts w:hint="eastAsia" w:ascii="仿宋" w:hAnsi="仿宋" w:eastAsia="仿宋" w:cs="仿宋"/>
          <w:color w:val="0000FF"/>
        </w:rPr>
        <w:t>验收清单。</w:t>
      </w:r>
    </w:p>
    <w:p w14:paraId="61850DAA">
      <w:pPr>
        <w:pStyle w:val="14"/>
        <w:outlineLvl w:val="3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/>
          <w:sz w:val="24"/>
        </w:rPr>
        <w:t>3.4.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违约责任与解决争议的方法</w:t>
      </w:r>
    </w:p>
    <w:p w14:paraId="027274E6">
      <w:pPr>
        <w:pStyle w:val="14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采购包1：</w:t>
      </w:r>
    </w:p>
    <w:p w14:paraId="03C07568">
      <w:pPr>
        <w:pStyle w:val="14"/>
        <w:rPr>
          <w:rFonts w:hint="eastAsia" w:ascii="仿宋" w:hAnsi="仿宋" w:eastAsia="仿宋" w:cs="仿宋"/>
          <w:color w:val="0000FF"/>
        </w:rPr>
      </w:pPr>
      <w:r>
        <w:rPr>
          <w:rFonts w:hint="eastAsia" w:ascii="仿宋" w:hAnsi="仿宋" w:eastAsia="仿宋" w:cs="仿宋"/>
          <w:color w:val="0000FF"/>
        </w:rPr>
        <w:t>根据招标文件要求、投标文件及合同约定执行</w:t>
      </w:r>
    </w:p>
    <w:p w14:paraId="5153BAC6">
      <w:pPr>
        <w:pStyle w:val="14"/>
        <w:jc w:val="left"/>
        <w:outlineLvl w:val="2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/>
          <w:sz w:val="28"/>
        </w:rPr>
        <w:t>3.5其他要求</w:t>
      </w:r>
    </w:p>
    <w:p w14:paraId="6E7D4CA9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96532B"/>
    <w:rsid w:val="01A7278B"/>
    <w:rsid w:val="098822A4"/>
    <w:rsid w:val="1ED86124"/>
    <w:rsid w:val="1F046E2D"/>
    <w:rsid w:val="2A477FA9"/>
    <w:rsid w:val="2AE9366F"/>
    <w:rsid w:val="441B2E32"/>
    <w:rsid w:val="532C6966"/>
    <w:rsid w:val="56B952F1"/>
    <w:rsid w:val="6009588A"/>
    <w:rsid w:val="645273C0"/>
    <w:rsid w:val="6C477C67"/>
    <w:rsid w:val="6D1F16FD"/>
    <w:rsid w:val="6E6A61EA"/>
    <w:rsid w:val="6F326FE2"/>
    <w:rsid w:val="710255C7"/>
    <w:rsid w:val="77FA4095"/>
    <w:rsid w:val="7CAC4E06"/>
    <w:rsid w:val="7CBF5C9D"/>
    <w:rsid w:val="7EE62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640" w:lineRule="exact"/>
      <w:jc w:val="both"/>
    </w:pPr>
    <w:rPr>
      <w:rFonts w:ascii="Calibri" w:hAnsi="Calibri" w:eastAsia="仿宋" w:cs="Times New Roman"/>
      <w:kern w:val="2"/>
      <w:sz w:val="28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0"/>
    <w:pPr>
      <w:keepNext/>
      <w:keepLines/>
      <w:overflowPunct w:val="0"/>
      <w:spacing w:before="220" w:after="210" w:line="600" w:lineRule="exact"/>
      <w:jc w:val="center"/>
      <w:outlineLvl w:val="0"/>
    </w:pPr>
    <w:rPr>
      <w:rFonts w:ascii="Times New Roman" w:hAnsi="Times New Roman" w:cs="Times New Roman"/>
      <w:b/>
      <w:bCs/>
      <w:kern w:val="44"/>
      <w:sz w:val="32"/>
      <w:szCs w:val="44"/>
    </w:rPr>
  </w:style>
  <w:style w:type="paragraph" w:styleId="3">
    <w:name w:val="heading 2"/>
    <w:basedOn w:val="1"/>
    <w:next w:val="1"/>
    <w:link w:val="12"/>
    <w:semiHidden/>
    <w:unhideWhenUsed/>
    <w:qFormat/>
    <w:uiPriority w:val="0"/>
    <w:pPr>
      <w:keepNext/>
      <w:keepLines/>
      <w:spacing w:line="360" w:lineRule="auto"/>
      <w:jc w:val="center"/>
      <w:outlineLvl w:val="1"/>
    </w:pPr>
    <w:rPr>
      <w:rFonts w:ascii="Arial" w:hAnsi="Arial" w:eastAsia="微软雅黑" w:cs="Times New Roman"/>
      <w:b/>
      <w:bCs/>
      <w:sz w:val="44"/>
      <w:szCs w:val="32"/>
    </w:rPr>
  </w:style>
  <w:style w:type="paragraph" w:styleId="4">
    <w:name w:val="heading 3"/>
    <w:basedOn w:val="1"/>
    <w:next w:val="1"/>
    <w:link w:val="13"/>
    <w:semiHidden/>
    <w:unhideWhenUsed/>
    <w:qFormat/>
    <w:uiPriority w:val="0"/>
    <w:pPr>
      <w:keepNext/>
      <w:keepLines/>
      <w:spacing w:before="260" w:after="260" w:line="560" w:lineRule="exact"/>
      <w:jc w:val="left"/>
      <w:outlineLvl w:val="2"/>
    </w:pPr>
    <w:rPr>
      <w:rFonts w:ascii="Times New Roman" w:hAnsi="Times New Roman" w:eastAsia="仿宋"/>
      <w:b/>
      <w:bCs/>
      <w:kern w:val="0"/>
      <w:sz w:val="28"/>
      <w:szCs w:val="32"/>
    </w:rPr>
  </w:style>
  <w:style w:type="paragraph" w:styleId="5">
    <w:name w:val="heading 4"/>
    <w:basedOn w:val="1"/>
    <w:next w:val="1"/>
    <w:qFormat/>
    <w:uiPriority w:val="0"/>
    <w:pPr>
      <w:keepNext/>
      <w:spacing w:line="600" w:lineRule="exact"/>
      <w:jc w:val="center"/>
      <w:outlineLvl w:val="3"/>
    </w:pPr>
    <w:rPr>
      <w:rFonts w:ascii="楷体_GB2312" w:eastAsia="楷体_GB2312"/>
      <w:sz w:val="32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qFormat/>
    <w:uiPriority w:val="0"/>
    <w:pPr>
      <w:spacing w:after="120" w:afterLines="0" w:afterAutospacing="0"/>
    </w:pPr>
  </w:style>
  <w:style w:type="paragraph" w:styleId="7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标题 1 字符1"/>
    <w:link w:val="2"/>
    <w:qFormat/>
    <w:uiPriority w:val="0"/>
    <w:rPr>
      <w:rFonts w:ascii="Times New Roman" w:hAnsi="Times New Roman" w:eastAsia="仿宋" w:cs="Times New Roman"/>
      <w:b/>
      <w:bCs/>
      <w:kern w:val="44"/>
      <w:sz w:val="44"/>
      <w:szCs w:val="44"/>
    </w:rPr>
  </w:style>
  <w:style w:type="character" w:customStyle="1" w:styleId="12">
    <w:name w:val="标题 2 字符2"/>
    <w:link w:val="3"/>
    <w:qFormat/>
    <w:uiPriority w:val="0"/>
    <w:rPr>
      <w:rFonts w:ascii="Arial" w:hAnsi="Arial" w:eastAsia="微软雅黑" w:cs="Times New Roman"/>
      <w:b/>
      <w:bCs/>
      <w:sz w:val="32"/>
      <w:szCs w:val="32"/>
    </w:rPr>
  </w:style>
  <w:style w:type="character" w:customStyle="1" w:styleId="13">
    <w:name w:val="标题 3 字符"/>
    <w:link w:val="4"/>
    <w:qFormat/>
    <w:uiPriority w:val="0"/>
    <w:rPr>
      <w:rFonts w:ascii="Times New Roman" w:hAnsi="Times New Roman" w:eastAsia="仿宋"/>
      <w:b/>
      <w:bCs/>
      <w:sz w:val="28"/>
      <w:szCs w:val="32"/>
    </w:rPr>
  </w:style>
  <w:style w:type="paragraph" w:customStyle="1" w:styleId="1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character" w:customStyle="1" w:styleId="15">
    <w:name w:val="font51"/>
    <w:basedOn w:val="10"/>
    <w:qFormat/>
    <w:uiPriority w:val="0"/>
    <w:rPr>
      <w:rFonts w:hint="eastAsia" w:ascii="等线" w:hAnsi="等线" w:eastAsia="等线" w:cs="等线"/>
      <w:color w:val="000000"/>
      <w:sz w:val="18"/>
      <w:szCs w:val="18"/>
      <w:u w:val="none"/>
    </w:rPr>
  </w:style>
  <w:style w:type="character" w:customStyle="1" w:styleId="16">
    <w:name w:val="font11"/>
    <w:basedOn w:val="10"/>
    <w:qFormat/>
    <w:uiPriority w:val="0"/>
    <w:rPr>
      <w:rFonts w:hint="eastAsia" w:ascii="等线" w:hAnsi="等线" w:eastAsia="等线" w:cs="等线"/>
      <w:color w:val="000000"/>
      <w:sz w:val="18"/>
      <w:szCs w:val="18"/>
      <w:u w:val="none"/>
    </w:rPr>
  </w:style>
  <w:style w:type="character" w:customStyle="1" w:styleId="17">
    <w:name w:val="font41"/>
    <w:basedOn w:val="10"/>
    <w:qFormat/>
    <w:uiPriority w:val="0"/>
    <w:rPr>
      <w:rFonts w:hint="eastAsia" w:ascii="等线" w:hAnsi="等线" w:eastAsia="等线" w:cs="等线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1090</Words>
  <Characters>1157</Characters>
  <Lines>0</Lines>
  <Paragraphs>0</Paragraphs>
  <TotalTime>0</TotalTime>
  <ScaleCrop>false</ScaleCrop>
  <LinksUpToDate>false</LinksUpToDate>
  <CharactersWithSpaces>1161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2024-10-17T06:33:00Z</dcterms:created>
  <dc:creator>admin</dc:creator>
  <cp:lastModifiedBy>acer</cp:lastModifiedBy>
  <dcterms:modified xsi:type="dcterms:W3CDTF">2026-09-28T07:14:52Z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6BD806A41A56471CB4634E8433570C89_12</vt:lpwstr>
  </property>
  <property fmtid="{D5CDD505-2E9C-101B-9397-08002B2CF9AE}" pid="4" name="KSOTemplateDocerSaveRecord">
    <vt:lpwstr>eyJoZGlkIjoiOTc0OGJjNjI2ZDNjOGQ2NmM4ZGViZGNlOTE4ODJiNDYiLCJ1c2VySWQiOiIyNDc5ODM4ODIifQ==</vt:lpwstr>
  </property>
</Properties>
</file>