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版本号：YD-202505420260514001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陕西长青国家级自然保护区2025年中央财政林业草原生态保护恢复资金国家级自然保护区项目（第二批计划）</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YD-2025054</w:t>
      </w:r>
      <w:r>
        <w:br/>
      </w:r>
      <w:r>
        <w:br/>
      </w:r>
      <w:r>
        <w:br/>
      </w:r>
    </w:p>
    <w:p>
      <w:pPr>
        <w:pStyle w:val="null3"/>
        <w:jc w:val="center"/>
        <w:outlineLvl w:val="2"/>
      </w:pPr>
      <w:r>
        <w:rPr>
          <w:rFonts w:ascii="仿宋_GB2312" w:hAnsi="仿宋_GB2312" w:cs="仿宋_GB2312" w:eastAsia="仿宋_GB2312"/>
          <w:sz w:val="28"/>
          <w:b/>
        </w:rPr>
        <w:t>陕西长青国家级自然保护区管理局</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陕西长青国家级自然保护区管理局</w:t>
      </w:r>
      <w:r>
        <w:rPr>
          <w:rFonts w:ascii="仿宋_GB2312" w:hAnsi="仿宋_GB2312" w:cs="仿宋_GB2312" w:eastAsia="仿宋_GB2312"/>
        </w:rPr>
        <w:t>委托，拟对</w:t>
      </w:r>
      <w:r>
        <w:rPr>
          <w:rFonts w:ascii="仿宋_GB2312" w:hAnsi="仿宋_GB2312" w:cs="仿宋_GB2312" w:eastAsia="仿宋_GB2312"/>
        </w:rPr>
        <w:t>陕西长青国家级自然保护区2025年中央财政林业草原生态保护恢复资金国家级自然保护区项目（第二批计划）</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YD-2025054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陕西长青国家级自然保护区2025年中央财政林业草原生态保护恢复资金国家级自然保护区项目（第二批计划）</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在长青片区构建野生动物红外相机自组网监测系统1项，主要包括购置合网器3台、扩网器75台、扩网器供电系统75套、数据平台对接及模块开发1项。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2、法定代表人或负责人授权委托书：法定代表人或单位负责人授权书及被授权人身份证（法定代表人或单位负责人直接参加投标除外，但须出示法定代表人或单位负责人身份证及营业执照复印件）；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资格承诺：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4、控股管理关系：控股管理关系：单位负责人为同一人或者存在直接控股、管理关系的供应商，不得参加同一合同项下的政府采购活动。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陕西长青国家级自然保护区管理局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0916-2593618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说明：采购人指定账户。</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陕西长青国家级自然保护区管理局</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陕西长青国家级自然保护区管理局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陕西长青国家级自然保护区管理局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在长青片区构建野生动物红外相机自组网监测系统1项，主要包括购置合网器3台、扩网器75台、扩网器供电系统75套、数据平台对接及模块开发1项。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902,000.00</w:t>
      </w:r>
    </w:p>
    <w:p>
      <w:pPr>
        <w:pStyle w:val="null3"/>
      </w:pPr>
      <w:r>
        <w:rPr>
          <w:rFonts w:ascii="仿宋_GB2312" w:hAnsi="仿宋_GB2312" w:cs="仿宋_GB2312" w:eastAsia="仿宋_GB2312"/>
        </w:rPr>
        <w:t>采购包最高限价（元）: 902,000.00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自组网监测体系建设1项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标的名称：自组网监测体系建设1项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24"/>
              <w:gridCol w:w="146"/>
              <w:gridCol w:w="2177"/>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参数性质</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序号</w:t>
                  </w:r>
                </w:p>
              </w:tc>
              <w:tc>
                <w:tcPr>
                  <w:tcW w:type="dxa" w:w="2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 xml:space="preserve"> 技术参数与性能指标</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1</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18"/>
                    </w:rPr>
                    <w:t>（1）项目实施地点</w:t>
                  </w:r>
                </w:p>
                <w:p>
                  <w:pPr>
                    <w:pStyle w:val="null3"/>
                    <w:ind w:firstLine="480"/>
                    <w:jc w:val="left"/>
                  </w:pPr>
                  <w:r>
                    <w:rPr>
                      <w:rFonts w:ascii="仿宋_GB2312" w:hAnsi="仿宋_GB2312" w:cs="仿宋_GB2312" w:eastAsia="仿宋_GB2312"/>
                      <w:sz w:val="18"/>
                    </w:rPr>
                    <w:t>本项目实施地点为长青片区华阳保护站辖区（双叉沟、园花梁、牛滚档区域）。</w:t>
                  </w:r>
                </w:p>
                <w:p>
                  <w:pPr>
                    <w:pStyle w:val="null3"/>
                    <w:ind w:firstLine="480"/>
                    <w:jc w:val="left"/>
                  </w:pPr>
                  <w:r>
                    <w:rPr>
                      <w:rFonts w:ascii="仿宋_GB2312" w:hAnsi="仿宋_GB2312" w:cs="仿宋_GB2312" w:eastAsia="仿宋_GB2312"/>
                      <w:sz w:val="18"/>
                    </w:rPr>
                    <w:t>（2）技术路线</w:t>
                  </w:r>
                </w:p>
                <w:p>
                  <w:pPr>
                    <w:pStyle w:val="null3"/>
                    <w:ind w:firstLine="480"/>
                    <w:jc w:val="left"/>
                  </w:pPr>
                  <w:r>
                    <w:rPr>
                      <w:rFonts w:ascii="仿宋_GB2312" w:hAnsi="仿宋_GB2312" w:cs="仿宋_GB2312" w:eastAsia="仿宋_GB2312"/>
                      <w:sz w:val="18"/>
                    </w:rPr>
                    <w:t>自组网监测体系建设转变了传统依赖人工采集数据的模式，通过合网器与扩网器、扩网器与已有红外相机自动构建连接网络，最终形成一套高效的局域网系统。红外相机所采集的监测数据通过自组网通信架构实现远距离传输与汇聚，可保障数据高效、稳定地实时回传至监测平台，从而显著减轻人员工作强度，有效提升数据获取与管理效率。这种先进监测方法不仅大幅提升了监测覆盖范围与时效性，对于野生动物保护、生态研究和自然资源管理领域的科学决策和精细化管理具有关键性意义。</w:t>
                  </w:r>
                </w:p>
                <w:p>
                  <w:pPr>
                    <w:pStyle w:val="null3"/>
                    <w:ind w:firstLine="480"/>
                    <w:jc w:val="left"/>
                  </w:pPr>
                  <w:r>
                    <w:rPr>
                      <w:rFonts w:ascii="仿宋_GB2312" w:hAnsi="仿宋_GB2312" w:cs="仿宋_GB2312" w:eastAsia="仿宋_GB2312"/>
                      <w:sz w:val="18"/>
                    </w:rPr>
                    <w:t>（3）布设方案</w:t>
                  </w:r>
                </w:p>
                <w:p>
                  <w:pPr>
                    <w:pStyle w:val="null3"/>
                    <w:ind w:firstLine="480"/>
                    <w:jc w:val="left"/>
                  </w:pPr>
                  <w:r>
                    <w:rPr>
                      <w:rFonts w:ascii="仿宋_GB2312" w:hAnsi="仿宋_GB2312" w:cs="仿宋_GB2312" w:eastAsia="仿宋_GB2312"/>
                      <w:sz w:val="18"/>
                    </w:rPr>
                    <w:t>1）合网器的布设</w:t>
                  </w:r>
                </w:p>
                <w:p>
                  <w:pPr>
                    <w:pStyle w:val="null3"/>
                    <w:ind w:firstLine="480"/>
                    <w:jc w:val="left"/>
                  </w:pPr>
                  <w:r>
                    <w:rPr>
                      <w:rFonts w:ascii="仿宋_GB2312" w:hAnsi="仿宋_GB2312" w:cs="仿宋_GB2312" w:eastAsia="仿宋_GB2312"/>
                      <w:sz w:val="18"/>
                    </w:rPr>
                    <w:t>本次拟在双叉沟、园花梁、牛滚档3处资源保护视频监控塔上各部署1台合网器，每台合网器信号覆盖范围不小于3公里，数据传输速率不小于30Mbps。通过资源保护视频监控塔已有的太阳能供电系统及传输系统进行供电和数据的回传，经测算及实地检测，现有监控塔供电系统及传输系统能够满足红外相机数据回传，且不影响本身设备正常运转。</w:t>
                  </w:r>
                </w:p>
                <w:p>
                  <w:pPr>
                    <w:pStyle w:val="null3"/>
                    <w:ind w:firstLine="480"/>
                    <w:jc w:val="left"/>
                  </w:pPr>
                  <w:r>
                    <w:rPr>
                      <w:rFonts w:ascii="仿宋_GB2312" w:hAnsi="仿宋_GB2312" w:cs="仿宋_GB2312" w:eastAsia="仿宋_GB2312"/>
                      <w:sz w:val="18"/>
                    </w:rPr>
                    <w:t>2）扩网器的布设</w:t>
                  </w:r>
                </w:p>
                <w:p>
                  <w:pPr>
                    <w:pStyle w:val="null3"/>
                    <w:ind w:firstLine="480"/>
                    <w:jc w:val="left"/>
                  </w:pPr>
                  <w:r>
                    <w:rPr>
                      <w:rFonts w:ascii="仿宋_GB2312" w:hAnsi="仿宋_GB2312" w:cs="仿宋_GB2312" w:eastAsia="仿宋_GB2312"/>
                      <w:sz w:val="18"/>
                    </w:rPr>
                    <w:t>根据合网器信号覆盖范围、传输宽带并结合本区域历史监测数据，在合网器信号范围内选择5条野生动植物资源丰富监测样线，每条监测样线选取5处野生动物经常出没的兽径、取食点、水源地、山梁或沟谷交汇等布设1台扩网器和已有的2台红外探测相机互联，共布设75台扩网器满足本区域野生动物监测工作，所布设的扩网器及红外相机均采用太阳能进行供电。</w:t>
                  </w:r>
                </w:p>
                <w:p>
                  <w:pPr>
                    <w:pStyle w:val="null3"/>
                    <w:ind w:firstLine="480"/>
                    <w:jc w:val="left"/>
                  </w:pPr>
                  <w:r>
                    <w:rPr>
                      <w:rFonts w:ascii="仿宋_GB2312" w:hAnsi="仿宋_GB2312" w:cs="仿宋_GB2312" w:eastAsia="仿宋_GB2312"/>
                      <w:sz w:val="18"/>
                    </w:rPr>
                    <w:t>（4）设备供电方案</w:t>
                  </w:r>
                </w:p>
                <w:p>
                  <w:pPr>
                    <w:pStyle w:val="null3"/>
                    <w:ind w:firstLine="480"/>
                    <w:jc w:val="left"/>
                  </w:pPr>
                  <w:r>
                    <w:rPr>
                      <w:rFonts w:ascii="仿宋_GB2312" w:hAnsi="仿宋_GB2312" w:cs="仿宋_GB2312" w:eastAsia="仿宋_GB2312"/>
                      <w:sz w:val="18"/>
                    </w:rPr>
                    <w:t>为最大限度降低系统功耗，本次布设的合网器、扩网器以及现有红外探测相机，统一采用触发式工作模式。即当有动物经过（触发拍摄）或存在待传输数据（触发通信）时，对应红外相机将被激活，自动进行拍摄并随即启动数据上传；而在无事件发生期间，整套感知网络系统的所有设备则进入深度低功耗休眠状态。</w:t>
                  </w:r>
                </w:p>
                <w:p>
                  <w:pPr>
                    <w:pStyle w:val="null3"/>
                    <w:ind w:firstLine="480"/>
                    <w:jc w:val="left"/>
                  </w:pPr>
                  <w:r>
                    <w:rPr>
                      <w:rFonts w:ascii="仿宋_GB2312" w:hAnsi="仿宋_GB2312" w:cs="仿宋_GB2312" w:eastAsia="仿宋_GB2312"/>
                      <w:sz w:val="18"/>
                    </w:rPr>
                    <w:t>合网器设备的供电采用已建成的资源保护视频监控塔的供电系统。经评估，该监控塔的供电系统具备最少7天连续阴雨天不间断供电充足的余量，可在无额外负载的情况下为合网器提供稳定、可靠的电力保障，且确保原有塔载设备持续正常运行。</w:t>
                  </w:r>
                </w:p>
                <w:p>
                  <w:pPr>
                    <w:pStyle w:val="null3"/>
                    <w:ind w:firstLine="480"/>
                    <w:jc w:val="left"/>
                  </w:pPr>
                  <w:r>
                    <w:rPr>
                      <w:rFonts w:ascii="仿宋_GB2312" w:hAnsi="仿宋_GB2312" w:cs="仿宋_GB2312" w:eastAsia="仿宋_GB2312"/>
                      <w:sz w:val="18"/>
                    </w:rPr>
                    <w:t>扩网器设备（低于低功耗休眠状态），采用太阳能光伏供电方案。根据扩网器设备工作要求，每台扩网器配置一片20W高效单晶硅太阳能电池板，并搭配一组由6节18650锂离子电芯组成的高容量储能电池系统。该配置可有效保障扩网器在弱光或无光照条件下至少7天持续稳定运行。</w:t>
                  </w:r>
                </w:p>
                <w:p>
                  <w:pPr>
                    <w:pStyle w:val="null3"/>
                    <w:ind w:firstLine="480"/>
                    <w:jc w:val="left"/>
                  </w:pPr>
                  <w:r>
                    <w:rPr>
                      <w:rFonts w:ascii="仿宋_GB2312" w:hAnsi="仿宋_GB2312" w:cs="仿宋_GB2312" w:eastAsia="仿宋_GB2312"/>
                      <w:sz w:val="18"/>
                    </w:rPr>
                    <w:t>①扩网器设备功耗参数及供电系统配置</w:t>
                  </w:r>
                </w:p>
                <w:p>
                  <w:pPr>
                    <w:pStyle w:val="null3"/>
                    <w:ind w:left="-45" w:right="-45" w:firstLine="480"/>
                    <w:jc w:val="left"/>
                  </w:pPr>
                  <w:r>
                    <w:rPr>
                      <w:rFonts w:ascii="仿宋_GB2312" w:hAnsi="仿宋_GB2312" w:cs="仿宋_GB2312" w:eastAsia="仿宋_GB2312"/>
                      <w:sz w:val="18"/>
                    </w:rPr>
                    <w:t>根据历史红外相机每天触发次数，在经常有动物经过的地方红外相机每天触发可达到20次，每次传输1张图片及10s视频，共50M，根据扩网器平均传输速率15Mbps，以及扩网器每次重休眠状态激活及再次进入休眠状态，每次共耗时大概5分钟，每天触发20次计算，扩网器每天峰值工作1.6小时。</w:t>
                  </w:r>
                </w:p>
                <w:p>
                  <w:pPr>
                    <w:pStyle w:val="null3"/>
                    <w:jc w:val="center"/>
                  </w:pPr>
                  <w:r>
                    <w:rPr>
                      <w:rFonts w:ascii="仿宋_GB2312" w:hAnsi="仿宋_GB2312" w:cs="仿宋_GB2312" w:eastAsia="仿宋_GB2312"/>
                      <w:sz w:val="18"/>
                    </w:rPr>
                    <w:t>扩网器太阳能供电系统供电配置及设备功耗一览表</w:t>
                  </w:r>
                </w:p>
                <w:tbl>
                  <w:tblPr>
                    <w:tblBorders>
                      <w:top w:val="none" w:color="000000" w:sz="4"/>
                      <w:left w:val="none" w:color="000000" w:sz="4"/>
                      <w:bottom w:val="none" w:color="000000" w:sz="4"/>
                      <w:right w:val="none" w:color="000000" w:sz="4"/>
                      <w:insideH w:val="none"/>
                      <w:insideV w:val="none"/>
                    </w:tblBorders>
                  </w:tblPr>
                  <w:tblGrid>
                    <w:gridCol w:w="103"/>
                    <w:gridCol w:w="255"/>
                    <w:gridCol w:w="302"/>
                    <w:gridCol w:w="470"/>
                    <w:gridCol w:w="263"/>
                    <w:gridCol w:w="294"/>
                    <w:gridCol w:w="255"/>
                  </w:tblGrid>
                  <w:tr>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序号</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供电系统</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规格</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备注</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搭载设备</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功耗（W）</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备注</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太阳能板</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20W</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p>
                    </w:tc>
                    <w:tc>
                      <w:tcPr>
                        <w:tcW w:type="dxa" w:w="2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扩网器</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4w</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峰值功耗</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18650锂电池</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2600mAh/3.7V</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6节2600mAh18650锂电池</w:t>
                        </w:r>
                      </w:p>
                    </w:tc>
                    <w:tc>
                      <w:tcPr>
                        <w:tcW w:type="dxa" w:w="263"/>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2.4mA</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待机功耗</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总可用储能</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57.72Wh</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计算公式：（6×2600mAh×3.7V）÷1000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总功耗</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both"/>
                        </w:pPr>
                        <w:r>
                          <w:rPr>
                            <w:rFonts w:ascii="仿宋_GB2312" w:hAnsi="仿宋_GB2312" w:cs="仿宋_GB2312" w:eastAsia="仿宋_GB2312"/>
                            <w:sz w:val="18"/>
                          </w:rPr>
                          <w:t>6.4Wh/日</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rPr>
                          <w:t>计算公式：4W×1.6h</w:t>
                        </w:r>
                      </w:p>
                    </w:tc>
                  </w:tr>
                </w:tbl>
                <w:p>
                  <w:pPr>
                    <w:pStyle w:val="null3"/>
                    <w:ind w:firstLine="480"/>
                    <w:jc w:val="left"/>
                  </w:pPr>
                  <w:r>
                    <w:rPr>
                      <w:rFonts w:ascii="仿宋_GB2312" w:hAnsi="仿宋_GB2312" w:cs="仿宋_GB2312" w:eastAsia="仿宋_GB2312"/>
                      <w:sz w:val="18"/>
                    </w:rPr>
                    <w:t>②根据计算，当前供电系统设计可保障扩网器在连续7.6天阴雨无日照工况下维持每日1.6小时峰值运行，满足项目设计需求。</w:t>
                  </w:r>
                </w:p>
                <w:p>
                  <w:pPr>
                    <w:pStyle w:val="null3"/>
                    <w:ind w:firstLine="480"/>
                    <w:jc w:val="left"/>
                  </w:pPr>
                  <w:r>
                    <w:rPr>
                      <w:rFonts w:ascii="仿宋_GB2312" w:hAnsi="仿宋_GB2312" w:cs="仿宋_GB2312" w:eastAsia="仿宋_GB2312"/>
                      <w:sz w:val="18"/>
                    </w:rPr>
                    <w:t>（5）传输方案</w:t>
                  </w:r>
                </w:p>
                <w:p>
                  <w:pPr>
                    <w:pStyle w:val="null3"/>
                    <w:ind w:firstLine="480"/>
                    <w:jc w:val="left"/>
                  </w:pPr>
                  <w:r>
                    <w:rPr>
                      <w:rFonts w:ascii="仿宋_GB2312" w:hAnsi="仿宋_GB2312" w:cs="仿宋_GB2312" w:eastAsia="仿宋_GB2312"/>
                      <w:sz w:val="18"/>
                    </w:rPr>
                    <w:t>本次自组网监测体系采用自组网架构实现前端数据采集与汇聚。利用合网器及扩网器自主组网传输数据，最大传输速率可达30Mbps。由于已有红外探测相机采用触发式采集，同时传输的数据量有限，因此传输速率能够满足需求。传输流程如下：</w:t>
                  </w:r>
                </w:p>
                <w:p>
                  <w:pPr>
                    <w:pStyle w:val="null3"/>
                    <w:ind w:firstLine="480"/>
                    <w:jc w:val="left"/>
                  </w:pPr>
                  <w:r>
                    <w:rPr>
                      <w:rFonts w:ascii="仿宋_GB2312" w:hAnsi="仿宋_GB2312" w:cs="仿宋_GB2312" w:eastAsia="仿宋_GB2312"/>
                      <w:sz w:val="18"/>
                    </w:rPr>
                    <w:t>第一步：数据采集与区域汇聚。</w:t>
                  </w:r>
                </w:p>
                <w:p>
                  <w:pPr>
                    <w:pStyle w:val="null3"/>
                    <w:ind w:firstLine="480"/>
                    <w:jc w:val="left"/>
                  </w:pPr>
                  <w:r>
                    <w:rPr>
                      <w:rFonts w:ascii="仿宋_GB2312" w:hAnsi="仿宋_GB2312" w:cs="仿宋_GB2312" w:eastAsia="仿宋_GB2312"/>
                      <w:sz w:val="18"/>
                    </w:rPr>
                    <w:t>部署在各监测点的红外探测相机通过WIFI和扩网器进项互联，通过扩网器将采集到的数据实时传输至已建视频监控塔上部署的合网器（区域汇聚节点），合网器站通过视频监控塔已有的交换机与无线网桥互通。</w:t>
                  </w:r>
                </w:p>
                <w:p>
                  <w:pPr>
                    <w:pStyle w:val="null3"/>
                    <w:ind w:firstLine="480"/>
                    <w:jc w:val="left"/>
                  </w:pPr>
                  <w:r>
                    <w:rPr>
                      <w:rFonts w:ascii="仿宋_GB2312" w:hAnsi="仿宋_GB2312" w:cs="仿宋_GB2312" w:eastAsia="仿宋_GB2312"/>
                      <w:sz w:val="18"/>
                    </w:rPr>
                    <w:t>第二步：已有无线传输系统（高带宽、独立链路）。</w:t>
                  </w:r>
                </w:p>
                <w:p>
                  <w:pPr>
                    <w:pStyle w:val="null3"/>
                    <w:ind w:firstLine="480"/>
                    <w:jc w:val="left"/>
                  </w:pPr>
                  <w:r>
                    <w:rPr>
                      <w:rFonts w:ascii="仿宋_GB2312" w:hAnsi="仿宋_GB2312" w:cs="仿宋_GB2312" w:eastAsia="仿宋_GB2312"/>
                      <w:sz w:val="18"/>
                    </w:rPr>
                    <w:t>合网器汇聚的数据，由架设在同视频监控塔上的已有高带宽无线网桥设备承载，直接或通过中继的方式传输至指定的各个保护站。经检测已有的无线网桥传输带宽能够满足所采集的数据传输，且不影响本身数据传输。</w:t>
                  </w:r>
                </w:p>
                <w:p>
                  <w:pPr>
                    <w:pStyle w:val="null3"/>
                    <w:ind w:firstLine="480"/>
                    <w:jc w:val="left"/>
                  </w:pPr>
                  <w:r>
                    <w:rPr>
                      <w:rFonts w:ascii="仿宋_GB2312" w:hAnsi="仿宋_GB2312" w:cs="仿宋_GB2312" w:eastAsia="仿宋_GB2312"/>
                      <w:sz w:val="18"/>
                    </w:rPr>
                    <w:t>第三步：数据中心接入。</w:t>
                  </w:r>
                </w:p>
                <w:p>
                  <w:pPr>
                    <w:pStyle w:val="null3"/>
                    <w:ind w:firstLine="480"/>
                    <w:jc w:val="left"/>
                  </w:pPr>
                  <w:r>
                    <w:rPr>
                      <w:rFonts w:ascii="仿宋_GB2312" w:hAnsi="仿宋_GB2312" w:cs="仿宋_GB2312" w:eastAsia="仿宋_GB2312"/>
                      <w:sz w:val="18"/>
                    </w:rPr>
                    <w:t>保护站接收无线网桥传输的数据后，经由保护站至管理局之间已建设的数字专线链路，最终回传至已建数据平台。</w:t>
                  </w:r>
                </w:p>
                <w:p>
                  <w:pPr>
                    <w:pStyle w:val="null3"/>
                    <w:ind w:firstLine="480"/>
                    <w:jc w:val="left"/>
                  </w:pPr>
                  <w:r>
                    <w:rPr>
                      <w:rFonts w:ascii="仿宋_GB2312" w:hAnsi="仿宋_GB2312" w:cs="仿宋_GB2312" w:eastAsia="仿宋_GB2312"/>
                      <w:sz w:val="18"/>
                    </w:rPr>
                    <w:t>（6）设备参数</w:t>
                  </w:r>
                </w:p>
                <w:tbl>
                  <w:tblPr>
                    <w:tblBorders>
                      <w:top w:val="none" w:color="000000" w:sz="4"/>
                      <w:left w:val="none" w:color="000000" w:sz="4"/>
                      <w:bottom w:val="none" w:color="000000" w:sz="4"/>
                      <w:right w:val="none" w:color="000000" w:sz="4"/>
                      <w:insideH w:val="none"/>
                      <w:insideV w:val="none"/>
                    </w:tblBorders>
                  </w:tblPr>
                  <w:tblGrid>
                    <w:gridCol w:w="95"/>
                    <w:gridCol w:w="219"/>
                    <w:gridCol w:w="1250"/>
                    <w:gridCol w:w="119"/>
                    <w:gridCol w:w="95"/>
                    <w:gridCol w:w="171"/>
                  </w:tblGrid>
                  <w:tr>
                    <w:tc>
                      <w:tcPr>
                        <w:tcW w:type="dxa" w:w="9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序号</w:t>
                        </w:r>
                      </w:p>
                    </w:tc>
                    <w:tc>
                      <w:tcPr>
                        <w:tcW w:type="dxa" w:w="21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设备名称</w:t>
                        </w:r>
                      </w:p>
                    </w:tc>
                    <w:tc>
                      <w:tcPr>
                        <w:tcW w:type="dxa" w:w="12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设备参数</w:t>
                        </w:r>
                      </w:p>
                    </w:tc>
                    <w:tc>
                      <w:tcPr>
                        <w:tcW w:type="dxa" w:w="11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单位</w:t>
                        </w:r>
                      </w:p>
                    </w:tc>
                    <w:tc>
                      <w:tcPr>
                        <w:tcW w:type="dxa" w:w="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数量</w:t>
                        </w:r>
                      </w:p>
                    </w:tc>
                    <w:tc>
                      <w:tcPr>
                        <w:tcW w:type="dxa" w:w="1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备注</w:t>
                        </w:r>
                      </w:p>
                    </w:tc>
                  </w:tr>
                  <w:tr>
                    <w:tc>
                      <w:tcPr>
                        <w:tcW w:type="dxa" w:w="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w:t>
                        </w:r>
                      </w:p>
                    </w:tc>
                    <w:tc>
                      <w:tcPr>
                        <w:tcW w:type="dxa" w:w="2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★合网器</w:t>
                        </w:r>
                      </w:p>
                    </w:tc>
                    <w:tc>
                      <w:tcPr>
                        <w:tcW w:type="dxa" w:w="12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支持跳频，避免同频干扰；</w:t>
                        </w:r>
                        <w:r>
                          <w:br/>
                        </w:r>
                        <w:r>
                          <w:rPr>
                            <w:rFonts w:ascii="仿宋_GB2312" w:hAnsi="仿宋_GB2312" w:cs="仿宋_GB2312" w:eastAsia="仿宋_GB2312"/>
                            <w:sz w:val="18"/>
                          </w:rPr>
                          <w:t xml:space="preserve"> 支持多种组网方式：点对点，点对多；</w:t>
                        </w:r>
                        <w:r>
                          <w:br/>
                        </w:r>
                        <w:r>
                          <w:rPr>
                            <w:rFonts w:ascii="仿宋_GB2312" w:hAnsi="仿宋_GB2312" w:cs="仿宋_GB2312" w:eastAsia="仿宋_GB2312"/>
                            <w:sz w:val="18"/>
                          </w:rPr>
                          <w:t xml:space="preserve"> 灵敏度最高可达：-106dBm@3M；</w:t>
                        </w:r>
                        <w:r>
                          <w:br/>
                        </w:r>
                        <w:r>
                          <w:rPr>
                            <w:rFonts w:ascii="仿宋_GB2312" w:hAnsi="仿宋_GB2312" w:cs="仿宋_GB2312" w:eastAsia="仿宋_GB2312"/>
                            <w:sz w:val="18"/>
                          </w:rPr>
                          <w:t xml:space="preserve"> 双天线，支持双向通信，支持单发单收，单发双收；低功耗设计，整机功耗不大于3.5W；</w:t>
                        </w:r>
                        <w:r>
                          <w:br/>
                        </w:r>
                        <w:r>
                          <w:rPr>
                            <w:rFonts w:ascii="仿宋_GB2312" w:hAnsi="仿宋_GB2312" w:cs="仿宋_GB2312" w:eastAsia="仿宋_GB2312"/>
                            <w:sz w:val="18"/>
                          </w:rPr>
                          <w:t xml:space="preserve"> 非视距低功耗远距离传输，视距&gt;5km，山地林区1-3km；</w:t>
                        </w:r>
                        <w:r>
                          <w:br/>
                        </w:r>
                        <w:r>
                          <w:rPr>
                            <w:rFonts w:ascii="仿宋_GB2312" w:hAnsi="仿宋_GB2312" w:cs="仿宋_GB2312" w:eastAsia="仿宋_GB2312"/>
                            <w:sz w:val="18"/>
                          </w:rPr>
                          <w:t xml:space="preserve"> 最大并发数不小于16个；</w:t>
                        </w:r>
                        <w:r>
                          <w:br/>
                        </w:r>
                        <w:r>
                          <w:rPr>
                            <w:rFonts w:ascii="仿宋_GB2312" w:hAnsi="仿宋_GB2312" w:cs="仿宋_GB2312" w:eastAsia="仿宋_GB2312"/>
                            <w:sz w:val="18"/>
                          </w:rPr>
                          <w:t xml:space="preserve"> 最大速率不小于30Mbps，可直接回传原图原视频及实时视频流；</w:t>
                        </w:r>
                        <w:r>
                          <w:br/>
                        </w:r>
                        <w:r>
                          <w:rPr>
                            <w:rFonts w:ascii="仿宋_GB2312" w:hAnsi="仿宋_GB2312" w:cs="仿宋_GB2312" w:eastAsia="仿宋_GB2312"/>
                            <w:sz w:val="18"/>
                          </w:rPr>
                          <w:t xml:space="preserve"> 工作温度-40至+80摄氏度，工作湿度最大98%，并能承受长时间高温低温高湿的反复冲击。</w:t>
                        </w:r>
                      </w:p>
                    </w:tc>
                    <w:tc>
                      <w:tcPr>
                        <w:tcW w:type="dxa" w:w="1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台</w:t>
                        </w:r>
                      </w:p>
                    </w:tc>
                    <w:tc>
                      <w:tcPr>
                        <w:tcW w:type="dxa" w:w="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3</w:t>
                        </w:r>
                      </w:p>
                    </w:tc>
                    <w:tc>
                      <w:tcPr>
                        <w:tcW w:type="dxa" w:w="1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含供电、施工安装等</w:t>
                        </w:r>
                      </w:p>
                    </w:tc>
                  </w:tr>
                  <w:tr>
                    <w:tc>
                      <w:tcPr>
                        <w:tcW w:type="dxa" w:w="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★扩网器</w:t>
                        </w:r>
                      </w:p>
                    </w:tc>
                    <w:tc>
                      <w:tcPr>
                        <w:tcW w:type="dxa" w:w="12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≥20M带宽；支持2.4G：WIFI热点；</w:t>
                        </w:r>
                      </w:p>
                      <w:p>
                        <w:pPr>
                          <w:pStyle w:val="null3"/>
                          <w:jc w:val="left"/>
                        </w:pPr>
                        <w:r>
                          <w:rPr>
                            <w:rFonts w:ascii="仿宋_GB2312" w:hAnsi="仿宋_GB2312" w:cs="仿宋_GB2312" w:eastAsia="仿宋_GB2312"/>
                            <w:sz w:val="18"/>
                          </w:rPr>
                          <w:t>传输速率≥30Mbps，</w:t>
                        </w:r>
                      </w:p>
                      <w:p>
                        <w:pPr>
                          <w:pStyle w:val="null3"/>
                          <w:jc w:val="left"/>
                        </w:pPr>
                        <w:r>
                          <w:rPr>
                            <w:rFonts w:ascii="仿宋_GB2312" w:hAnsi="仿宋_GB2312" w:cs="仿宋_GB2312" w:eastAsia="仿宋_GB2312"/>
                            <w:sz w:val="18"/>
                          </w:rPr>
                          <w:t>可与合网器进行自动组网。</w:t>
                        </w:r>
                      </w:p>
                      <w:p>
                        <w:pPr>
                          <w:pStyle w:val="null3"/>
                          <w:jc w:val="left"/>
                        </w:pPr>
                        <w:r>
                          <w:rPr>
                            <w:rFonts w:ascii="仿宋_GB2312" w:hAnsi="仿宋_GB2312" w:cs="仿宋_GB2312" w:eastAsia="仿宋_GB2312"/>
                            <w:sz w:val="18"/>
                          </w:rPr>
                          <w:t>支持触发式工作模式</w:t>
                        </w:r>
                      </w:p>
                      <w:p>
                        <w:pPr>
                          <w:pStyle w:val="null3"/>
                          <w:jc w:val="left"/>
                        </w:pPr>
                        <w:r>
                          <w:rPr>
                            <w:rFonts w:ascii="仿宋_GB2312" w:hAnsi="仿宋_GB2312" w:cs="仿宋_GB2312" w:eastAsia="仿宋_GB2312"/>
                            <w:sz w:val="18"/>
                          </w:rPr>
                          <w:t>工作温度-40至+80摄氏度，工作湿度最大98%，</w:t>
                        </w:r>
                      </w:p>
                      <w:p>
                        <w:pPr>
                          <w:pStyle w:val="null3"/>
                          <w:jc w:val="left"/>
                        </w:pPr>
                        <w:r>
                          <w:rPr>
                            <w:rFonts w:ascii="仿宋_GB2312" w:hAnsi="仿宋_GB2312" w:cs="仿宋_GB2312" w:eastAsia="仿宋_GB2312"/>
                            <w:sz w:val="18"/>
                          </w:rPr>
                          <w:t>防护等级：不低于IP66</w:t>
                        </w:r>
                      </w:p>
                    </w:tc>
                    <w:tc>
                      <w:tcPr>
                        <w:tcW w:type="dxa" w:w="1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台</w:t>
                        </w:r>
                      </w:p>
                    </w:tc>
                    <w:tc>
                      <w:tcPr>
                        <w:tcW w:type="dxa" w:w="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75</w:t>
                        </w:r>
                      </w:p>
                    </w:tc>
                    <w:tc>
                      <w:tcPr>
                        <w:tcW w:type="dxa" w:w="1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3</w:t>
                        </w:r>
                      </w:p>
                    </w:tc>
                    <w:tc>
                      <w:tcPr>
                        <w:tcW w:type="dxa" w:w="2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扩网器供电</w:t>
                        </w:r>
                      </w:p>
                    </w:tc>
                    <w:tc>
                      <w:tcPr>
                        <w:tcW w:type="dxa" w:w="12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单晶硅18V≥20W太阳能板；</w:t>
                        </w:r>
                      </w:p>
                      <w:p>
                        <w:pPr>
                          <w:pStyle w:val="null3"/>
                          <w:jc w:val="left"/>
                        </w:pPr>
                        <w:r>
                          <w:rPr>
                            <w:rFonts w:ascii="仿宋_GB2312" w:hAnsi="仿宋_GB2312" w:cs="仿宋_GB2312" w:eastAsia="仿宋_GB2312"/>
                            <w:sz w:val="18"/>
                          </w:rPr>
                          <w:t>≥6节18650锂离子电池，</w:t>
                        </w:r>
                      </w:p>
                      <w:p>
                        <w:pPr>
                          <w:pStyle w:val="null3"/>
                          <w:jc w:val="left"/>
                        </w:pPr>
                        <w:r>
                          <w:rPr>
                            <w:rFonts w:ascii="仿宋_GB2312" w:hAnsi="仿宋_GB2312" w:cs="仿宋_GB2312" w:eastAsia="仿宋_GB2312"/>
                            <w:sz w:val="18"/>
                          </w:rPr>
                          <w:t>配套18650电池盒</w:t>
                        </w:r>
                      </w:p>
                      <w:p>
                        <w:pPr>
                          <w:pStyle w:val="null3"/>
                          <w:jc w:val="left"/>
                        </w:pPr>
                        <w:r>
                          <w:rPr>
                            <w:rFonts w:ascii="仿宋_GB2312" w:hAnsi="仿宋_GB2312" w:cs="仿宋_GB2312" w:eastAsia="仿宋_GB2312"/>
                            <w:sz w:val="18"/>
                          </w:rPr>
                          <w:t>电池盒支持自动续充；</w:t>
                        </w:r>
                      </w:p>
                      <w:p>
                        <w:pPr>
                          <w:pStyle w:val="null3"/>
                          <w:jc w:val="left"/>
                        </w:pPr>
                        <w:r>
                          <w:rPr>
                            <w:rFonts w:ascii="仿宋_GB2312" w:hAnsi="仿宋_GB2312" w:cs="仿宋_GB2312" w:eastAsia="仿宋_GB2312"/>
                            <w:sz w:val="18"/>
                          </w:rPr>
                          <w:t>支持充满自动进入电池保护模式。</w:t>
                        </w:r>
                      </w:p>
                    </w:tc>
                    <w:tc>
                      <w:tcPr>
                        <w:tcW w:type="dxa" w:w="1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套</w:t>
                        </w:r>
                      </w:p>
                    </w:tc>
                    <w:tc>
                      <w:tcPr>
                        <w:tcW w:type="dxa" w:w="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75</w:t>
                        </w:r>
                      </w:p>
                    </w:tc>
                    <w:tc>
                      <w:tcPr>
                        <w:tcW w:type="dxa" w:w="1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数据平台对接及模块开发</w:t>
                        </w:r>
                      </w:p>
                    </w:tc>
                    <w:tc>
                      <w:tcPr>
                        <w:tcW w:type="dxa" w:w="12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rPr>
                          <w:t>根据已建数据平台数据接口对接红外相机采集数据。</w:t>
                        </w:r>
                      </w:p>
                      <w:p>
                        <w:pPr>
                          <w:pStyle w:val="null3"/>
                          <w:jc w:val="left"/>
                        </w:pPr>
                        <w:r>
                          <w:rPr>
                            <w:rFonts w:ascii="仿宋_GB2312" w:hAnsi="仿宋_GB2312" w:cs="仿宋_GB2312" w:eastAsia="仿宋_GB2312"/>
                            <w:sz w:val="18"/>
                          </w:rPr>
                          <w:t>通过模块化将红外相机采集数据加入至已建数据及展示平台。</w:t>
                        </w:r>
                      </w:p>
                    </w:tc>
                    <w:tc>
                      <w:tcPr>
                        <w:tcW w:type="dxa" w:w="1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项</w:t>
                        </w:r>
                      </w:p>
                    </w:tc>
                    <w:tc>
                      <w:tcPr>
                        <w:tcW w:type="dxa" w:w="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w:t>
                        </w:r>
                      </w:p>
                    </w:tc>
                    <w:tc>
                      <w:tcPr>
                        <w:tcW w:type="dxa" w:w="1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jc w:val="left"/>
                  </w:pPr>
                  <w:r>
                    <w:rPr>
                      <w:rFonts w:ascii="仿宋_GB2312" w:hAnsi="仿宋_GB2312" w:cs="仿宋_GB2312" w:eastAsia="仿宋_GB2312"/>
                      <w:sz w:val="18"/>
                    </w:rPr>
                    <w:t>（7）目标成果</w:t>
                  </w:r>
                </w:p>
                <w:p>
                  <w:pPr>
                    <w:pStyle w:val="null3"/>
                    <w:ind w:firstLine="480"/>
                    <w:jc w:val="left"/>
                  </w:pPr>
                  <w:r>
                    <w:rPr>
                      <w:rFonts w:ascii="仿宋_GB2312" w:hAnsi="仿宋_GB2312" w:cs="仿宋_GB2312" w:eastAsia="仿宋_GB2312"/>
                      <w:sz w:val="18"/>
                    </w:rPr>
                    <w:t>自组网监测体系建设通过部署太阳能供电的智能监测终端与自组网传输设备，构建具备动态拓扑能力的分布式监测网络。依托多跳中继传输技术，系统可将红外相机采集的野生动物影像数据实时回传至后端指挥中心监测平台，实现从传统人工周期采集到分钟级数据同步的跨越，使科研监测人员在指挥中心即可实时掌握野生动物活动动态。</w:t>
                  </w:r>
                </w:p>
                <w:p>
                  <w:pPr>
                    <w:pStyle w:val="null3"/>
                    <w:ind w:firstLine="480"/>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陕西长青国家级自然保护区管理局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合同签订并缴纳履约保证金后，项目验收合格后，达到付款条件起 10 日内，按期无息退还履约保证金</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采购人按照政府采购相关法律法规以及《财政部关于进一步加强政府采购需求和履约验收管理的指导意见》（财库〔2016〕205 号）的要求；本项目合同；相关国家行业标准；本项目招标文件；中标人投标文件等进行验收。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质量保修范围：设备或软件非人为、非不可抗力因素的故障，保修期为1年。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①任何一方违反合同约定内容的，则应承担相应的违约责任；对于造成对方损失的，应承担赔偿责任。 ②合同争议，应通过协商、谈判的方式解决。如协商、谈判不能解决的，任何一方可依法向项目所在地人民法院提起诉讼解决。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在中标结果公示后:中标供应商向代理机构提交纸质投标文件叁份、分别胶装，加盖骑缝章，电子版U盘贰份:内容和通过电子化文易平台实施的政府采购项目提文的投标文件一致。2、保证金若以金融机构、担保机构出具的保函形式则须在开标前一个工作日告知采购代理机构（联系方式：0916-2610065/邮箱：1042853189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政府采购评审中出现下列情形之一的，评审委员会应当启动异常低价投标（响应）审查程序：3.1.投标（响应）报价低于全部通过符合性审查供应商投标（响应）报价平均值50%的，即投标（响应）报价&lt;全部通过符合性审查供应商投标（响应）报价平均值×50%；3.2.投标（响应）报价低于通过符合性审查的次低报价供应商投标（响应）报价50%的，即投标（响应）报价&lt;通过符合性审查的次低报价供应商投标（响应）报价×50%；3.3.投标（响应）报价低于采购项目最高限价45%的，即投 标（响应）报价&lt;采购项目最高限价×45%；3.4.评审委员会基于专业判断，认为供应商报价过低，有可能影响产品质量或者不能诚信履约的其他情形。 采购人可以结合具体项目实际情况，提高上述第3.1项至第3.3项中启动异常低 价投标（响应）审查的数值标准，但是最高不得超过65%。 相关法律法规对供应商报价有规定的，从其规定。</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投标文件的电子签章</w:t>
            </w:r>
          </w:p>
        </w:tc>
        <w:tc>
          <w:tcPr>
            <w:tcW w:type="dxa" w:w="3322"/>
          </w:tcPr>
          <w:p>
            <w:pPr>
              <w:pStyle w:val="null3"/>
            </w:pPr>
            <w:r>
              <w:rPr>
                <w:rFonts w:ascii="仿宋_GB2312" w:hAnsi="仿宋_GB2312" w:cs="仿宋_GB2312" w:eastAsia="仿宋_GB2312"/>
              </w:rPr>
              <w:t>投标文件按招标要求进行电子签章</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符合招标文件要求，响应文件内容齐全、无遗漏</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报价唯一，未超出采购预算或招标文件规定的最高限价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不存在其他不符合法律法规或招标文件规定的响应无效条款的情形</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产品技术参数表 分项报价表.docx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供应商应提供2023年1月1日以来完成的类似业绩，每份得2分，最高6分。 注：业绩认定证明材料须提供中标通知书和项目合同及项目竣工报告(提供认定材料需包含有效内容和签字盖章页面)。同一项目不得重复计分，业绩认定时间以合同签订或中标通知书时间为准，提供不全不得分。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售后服务及响应</w:t>
            </w:r>
          </w:p>
        </w:tc>
        <w:tc>
          <w:tcPr>
            <w:tcW w:type="dxa" w:w="2492"/>
          </w:tcPr>
          <w:p>
            <w:pPr>
              <w:pStyle w:val="null3"/>
            </w:pPr>
            <w:r>
              <w:rPr>
                <w:rFonts w:ascii="仿宋_GB2312" w:hAnsi="仿宋_GB2312" w:cs="仿宋_GB2312" w:eastAsia="仿宋_GB2312"/>
              </w:rPr>
              <w:t>供应商有专业的售后服务团队，制定详细的供应商上门售后服务方案，包括但不限于：1、服务承诺；2、服务人员、服务机构及地点；3、服务内容；4、响应时间；5、应急措施 。 以上各项内容全面详细、阐述条理清晰得5分，每缺一项扣1分，每项中的内容存在缺陷，扣0.1-0.9分，扣完为止。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供应商针对本项目具有详细可行的免费技术培训方案，包括但不限于: 1、培训采购人指定的技术人员和管理人员；2、培训讲师安排；3、制定培训课程计划表；4、培训内容应包括产品原理，产品操作，保养维修，一般故障排除等技术；5、培训效果反馈。 以上各项内容全面明确、阐述条理清晰得5分，每缺一项扣1分，每项中的内容存在缺陷，扣0.1-0.9分，扣完为止。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所投产品技术参数规格明确，满足采购人使用的需求，对每项产品参数都进行明确响应，满足招标文件要求计10分。带“★”的参数不允许负偏离，若负偏离按无效投标处理。其它参数指标有一项负偏离扣1分，扣完为止。 备注： 1.参数提供充足的佐证材料（例如 ：加盖生产厂家公章的检测报告、产品彩页、官网功能截图、生产厂家技术参数确认函并提供厂商相关资质证书等）若有提供虚假参数及材料应标的，经查实将按照有关法律规定进行严肃处理。 2.配置不详、规格型号描述不清，缺漏项、应答时缺项等视同负偏离处理。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供应商针对本项目制订具体的实施方案，包括但不限于：1、供货组织安排、安装、检测、调试措施；2、实施步骤、进度计划及保证措施；3、安全保障方案；4、组织机构人员配置、协调能力；5、验收方案。 以上各项内容全面详细、阐述条理清晰详尽、符合本项目采购需求，功能配置合理，能有效保障本项目实施的得10分，每缺一项扣 2分，每项中的内容存在缺陷，扣0 .1-1.9分，扣完为止。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质量、安全、环保措施</w:t>
            </w:r>
          </w:p>
        </w:tc>
        <w:tc>
          <w:tcPr>
            <w:tcW w:type="dxa" w:w="2492"/>
          </w:tcPr>
          <w:p>
            <w:pPr>
              <w:pStyle w:val="null3"/>
            </w:pPr>
            <w:r>
              <w:rPr>
                <w:rFonts w:ascii="仿宋_GB2312" w:hAnsi="仿宋_GB2312" w:cs="仿宋_GB2312" w:eastAsia="仿宋_GB2312"/>
              </w:rPr>
              <w:t>供应商有具体针对本项目实际情况的详细的体系与措施，包括但不限于: 1、所投产品设备进货渠道正规，有合法有效的供货协议（不限于销售协议、代理协议、原厂授权等），确保供应的设备无假货、水货、翻新货且无产权纠纷的；2、提供安全生产管理体系及保证措施；3、提供环境保护保证措施。 以上各项内容全面明确、阐述条理清晰得9分，每缺一项扣3分，每项中的内容存在缺陷，扣0.1-2.9分，扣完为止。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供应商针对本项目提供技术服务团队，包括但不限于: 1、提供投入人员名单（人员投入充分程度，经验丰富程度以及类似项目工作业绩，并须提供投入人员近半年内连续社保证明及人员相关证书）；2、团队结构、岗位分配及工作职责。 以上各项内容全面明确、阐述条理清晰得10分，每缺一项扣5分，每项中的内容存在缺陷，扣0.1-4.9分，扣完为止。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供应商需提供：1、通过对现有保护监测信息化平台进行充分的调研，并主动与现有保护监测信息化平台开发商进行充分的沟通，制定合理的升级方案，确保现有业务功能的平滑升级，提供相关证明材料及承诺内容；2、承诺由此产生的任何费用都由供应商自行承担,提供相关承诺内容。 以上各项内容全面明确、阐述条理清晰得10分，每缺一项扣5分，每项中的内容存在缺陷，扣0.1-4.9分，扣完为止。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重难点分析及合理化建议</w:t>
            </w:r>
          </w:p>
        </w:tc>
        <w:tc>
          <w:tcPr>
            <w:tcW w:type="dxa" w:w="2492"/>
          </w:tcPr>
          <w:p>
            <w:pPr>
              <w:pStyle w:val="null3"/>
            </w:pPr>
            <w:r>
              <w:rPr>
                <w:rFonts w:ascii="仿宋_GB2312" w:hAnsi="仿宋_GB2312" w:cs="仿宋_GB2312" w:eastAsia="仿宋_GB2312"/>
              </w:rPr>
              <w:t>供应商针对本项目重难点进行分析并提出合理控制方案及保证措施，包括但不限于: 1、能精准识别出本项目关键重点和难点，对每个重点和难点进行透彻分析，阐述其产生的原因。2、针对每个难点提出的方案及措施能够有效解决问题，且具有较高的性价比和可实施性。 以上各项内容全面明确、阐述条理清晰得5分，每缺一项扣2.5分，每项中的内容存在缺陷，扣0.1-2.4分，扣完为止。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2、以满足本次招标文件要求的最低报价为评标基准价，其价格为满分； 3、不享有政策优惠条件的供应商报价得分=（评标基准价/投标报价）×30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