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版本号：HRPD-ZFCG-2026-01620260702001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2026年曹村镇大贾村道路硬化项目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HRPD-ZFCG-2026-016</w:t>
      </w:r>
      <w:r>
        <w:br/>
      </w:r>
      <w:r>
        <w:br/>
      </w:r>
      <w:r>
        <w:br/>
      </w:r>
    </w:p>
    <w:p>
      <w:pPr>
        <w:pStyle w:val="null3"/>
        <w:jc w:val="center"/>
        <w:outlineLvl w:val="2"/>
      </w:pPr>
      <w:r>
        <w:rPr>
          <w:rFonts w:ascii="仿宋_GB2312" w:hAnsi="仿宋_GB2312" w:cs="仿宋_GB2312" w:eastAsia="仿宋_GB2312"/>
          <w:sz w:val="28"/>
          <w:b/>
        </w:rPr>
        <w:t>富平县曹村镇人民政府（本级）</w:t>
      </w:r>
    </w:p>
    <w:p>
      <w:pPr>
        <w:pStyle w:val="null3"/>
        <w:jc w:val="center"/>
        <w:outlineLvl w:val="2"/>
      </w:pPr>
      <w:r>
        <w:rPr>
          <w:rFonts w:ascii="仿宋_GB2312" w:hAnsi="仿宋_GB2312" w:cs="仿宋_GB2312" w:eastAsia="仿宋_GB2312"/>
          <w:sz w:val="28"/>
          <w:b/>
        </w:rPr>
        <w:t>宏睿鹏达项目管理有限公司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宏睿鹏达项目管理有限公司</w:t>
      </w:r>
      <w:r>
        <w:rPr>
          <w:rFonts w:ascii="仿宋_GB2312" w:hAnsi="仿宋_GB2312" w:cs="仿宋_GB2312" w:eastAsia="仿宋_GB2312"/>
        </w:rPr>
        <w:t>（以下简称“代理机构”）受</w:t>
      </w:r>
      <w:r>
        <w:rPr>
          <w:rFonts w:ascii="仿宋_GB2312" w:hAnsi="仿宋_GB2312" w:cs="仿宋_GB2312" w:eastAsia="仿宋_GB2312"/>
        </w:rPr>
        <w:t>富平县曹村镇人民政府（本级）</w:t>
      </w:r>
      <w:r>
        <w:rPr>
          <w:rFonts w:ascii="仿宋_GB2312" w:hAnsi="仿宋_GB2312" w:cs="仿宋_GB2312" w:eastAsia="仿宋_GB2312"/>
        </w:rPr>
        <w:t>委托，拟对</w:t>
      </w:r>
      <w:r>
        <w:rPr>
          <w:rFonts w:ascii="仿宋_GB2312" w:hAnsi="仿宋_GB2312" w:cs="仿宋_GB2312" w:eastAsia="仿宋_GB2312"/>
        </w:rPr>
        <w:t>2026年曹村镇大贾村道路硬化项目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HRPD-ZFCG-2026-016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2026年曹村镇大贾村道路硬化项目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新修混凝土路面4907m²(1402m*3.5m), 厚度18cm,做3:7灰土，完善其他配套 设施。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采购包1（2026年曹村镇大贾村道路硬化项目）：属于专门面向中小企业采购。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要求：具有独立承担民事责任能力的法人、其他组织或自然人，提供合法有效年报合格的统一社会信用代码营业执照或事业单位法人证书等国家规定的相关证明，自然人参与的提供其身份证明；</w:t>
      </w:r>
    </w:p>
    <w:p>
      <w:pPr>
        <w:pStyle w:val="null3"/>
      </w:pPr>
      <w:r>
        <w:rPr>
          <w:rFonts w:ascii="仿宋_GB2312" w:hAnsi="仿宋_GB2312" w:cs="仿宋_GB2312" w:eastAsia="仿宋_GB2312"/>
        </w:rPr>
        <w:t>2、授权委托要求：法定代表人参加投标只须提供法定代表人身份证明书（附法定代表人身份证复印件或扫描件）；被授权人参加投标只须提供法定代表人授权委托书（附法定代表人、被授权人身份证复印件或扫描件）；</w:t>
      </w:r>
    </w:p>
    <w:p>
      <w:pPr>
        <w:pStyle w:val="null3"/>
      </w:pPr>
      <w:r>
        <w:rPr>
          <w:rFonts w:ascii="仿宋_GB2312" w:hAnsi="仿宋_GB2312" w:cs="仿宋_GB2312" w:eastAsia="仿宋_GB2312"/>
        </w:rPr>
        <w:t>3、资质和专业要求：具备建筑工程或市政公用工程施工总承包三级及以上资质；</w:t>
      </w:r>
    </w:p>
    <w:p>
      <w:pPr>
        <w:pStyle w:val="null3"/>
      </w:pPr>
      <w:r>
        <w:rPr>
          <w:rFonts w:ascii="仿宋_GB2312" w:hAnsi="仿宋_GB2312" w:cs="仿宋_GB2312" w:eastAsia="仿宋_GB2312"/>
        </w:rPr>
        <w:t>4、安全生产许可证要求：具有建设行政主管部门核发有效的安全生产许可证；</w:t>
      </w:r>
    </w:p>
    <w:p>
      <w:pPr>
        <w:pStyle w:val="null3"/>
      </w:pPr>
      <w:r>
        <w:rPr>
          <w:rFonts w:ascii="仿宋_GB2312" w:hAnsi="仿宋_GB2312" w:cs="仿宋_GB2312" w:eastAsia="仿宋_GB2312"/>
        </w:rPr>
        <w:t>5、拟派项目经理资质和专业要求：拟派项目经理须具备建筑工程或市政公用工程注册建造师二级及以上资格和有效的安全生产考核证书，须提供项目经理无在建工程的相关证明材料或承诺书；</w:t>
      </w:r>
    </w:p>
    <w:p>
      <w:pPr>
        <w:pStyle w:val="null3"/>
      </w:pPr>
      <w:r>
        <w:rPr>
          <w:rFonts w:ascii="仿宋_GB2312" w:hAnsi="仿宋_GB2312" w:cs="仿宋_GB2312" w:eastAsia="仿宋_GB2312"/>
        </w:rPr>
        <w:t>6、财务状况要求：提供开标前近三个月内基本开户银行开具的资信证明或2025年经审计的财务报告（财务报告须符合《财政部关于注册会计师行业统一监管平台上线运行的通知》财办[2022]32号文件要求，成立时间至提交磋商响应文件截止时间不足一年的可提供成立后任意时段的财务报表）；</w:t>
      </w:r>
    </w:p>
    <w:p>
      <w:pPr>
        <w:pStyle w:val="null3"/>
      </w:pPr>
      <w:r>
        <w:rPr>
          <w:rFonts w:ascii="仿宋_GB2312" w:hAnsi="仿宋_GB2312" w:cs="仿宋_GB2312" w:eastAsia="仿宋_GB2312"/>
        </w:rPr>
        <w:t>7、缴纳税收的要求：提供依法缴纳税收的良好记录（提供磋商响应文件递交截止时间前六个月内任意一个月份的缴纳凭据复印件或扫描件。依法免税或开标前一年内零申报的供应商应提供相关证明文件）；</w:t>
      </w:r>
    </w:p>
    <w:p>
      <w:pPr>
        <w:pStyle w:val="null3"/>
      </w:pPr>
      <w:r>
        <w:rPr>
          <w:rFonts w:ascii="仿宋_GB2312" w:hAnsi="仿宋_GB2312" w:cs="仿宋_GB2312" w:eastAsia="仿宋_GB2312"/>
        </w:rPr>
        <w:t>8、缴纳社会保障资金的要求：提供依法缴纳社会保障资金的良好记录（提供磋商响应文件递交截止时间前六个月内任意一个月份的缴纳凭据复印件或扫描件。依法不需要缴纳社会保障资金的供应商应提供相关证明文件）；</w:t>
      </w:r>
    </w:p>
    <w:p>
      <w:pPr>
        <w:pStyle w:val="null3"/>
      </w:pPr>
      <w:r>
        <w:rPr>
          <w:rFonts w:ascii="仿宋_GB2312" w:hAnsi="仿宋_GB2312" w:cs="仿宋_GB2312" w:eastAsia="仿宋_GB2312"/>
        </w:rPr>
        <w:t>9、信誉要求：a.投标截止日前不得为“信用中国”网站（www.creditchina.gov.cn）中列入失信被执行人、重大税收违法失信主体和政府采购严重违法失信行为记录名单的供应商；b.不得为“中国政府采购网”（www.ccgp.gov.cn）中政府采购严重违法失信行为信息记录名单中被财政部门禁止参加政府采购活动的供应商（注：处罚期限届满的除外，最终以采购代理机构开标现场查询结果为准）；</w:t>
      </w:r>
    </w:p>
    <w:p>
      <w:pPr>
        <w:pStyle w:val="null3"/>
      </w:pPr>
      <w:r>
        <w:rPr>
          <w:rFonts w:ascii="仿宋_GB2312" w:hAnsi="仿宋_GB2312" w:cs="仿宋_GB2312" w:eastAsia="仿宋_GB2312"/>
        </w:rPr>
        <w:t>10、无重大违法记录的要求：提供近三年内在经营活动中无重大违法记录的书面声明；</w:t>
      </w:r>
    </w:p>
    <w:p>
      <w:pPr>
        <w:pStyle w:val="null3"/>
      </w:pPr>
      <w:r>
        <w:rPr>
          <w:rFonts w:ascii="仿宋_GB2312" w:hAnsi="仿宋_GB2312" w:cs="仿宋_GB2312" w:eastAsia="仿宋_GB2312"/>
        </w:rPr>
        <w:t>11、磋商保证金要求：a.提供磋商保证金转账凭证和基本存款账户信息证明资料复印件或扫描件；b.提供金融机构、担保机构出具的保函复印件或扫描件。以上两种方式二选一；</w:t>
      </w:r>
    </w:p>
    <w:p>
      <w:pPr>
        <w:pStyle w:val="null3"/>
      </w:pPr>
      <w:r>
        <w:rPr>
          <w:rFonts w:ascii="仿宋_GB2312" w:hAnsi="仿宋_GB2312" w:cs="仿宋_GB2312" w:eastAsia="仿宋_GB2312"/>
        </w:rPr>
        <w:t>12、单位负责人为同一人或者存在直接控股、管理关系的不同投标人，不得参加同一合同项下的政府采购活动的要求：提供单位负责人为同一人或者存在直接控股、管理关系的不同投标人，不得参加同一合同项下的政府采购活动的书面声明；</w:t>
      </w:r>
    </w:p>
    <w:p>
      <w:pPr>
        <w:pStyle w:val="null3"/>
      </w:pPr>
      <w:r>
        <w:rPr>
          <w:rFonts w:ascii="仿宋_GB2312" w:hAnsi="仿宋_GB2312" w:cs="仿宋_GB2312" w:eastAsia="仿宋_GB2312"/>
        </w:rPr>
        <w:t>13、具有履行本合同所必需的设备和专业技术能力的要求：提供具有履行本合同所必需的设备和专业技术能力的说明及承诺；</w:t>
      </w:r>
    </w:p>
    <w:p>
      <w:pPr>
        <w:pStyle w:val="null3"/>
      </w:pPr>
      <w:r>
        <w:rPr>
          <w:rFonts w:ascii="仿宋_GB2312" w:hAnsi="仿宋_GB2312" w:cs="仿宋_GB2312" w:eastAsia="仿宋_GB2312"/>
        </w:rPr>
        <w:t>14、面向中小企业采购政策落实情况：本项目专门面向中小企业采购，供应商须提供《中小企业声明函》。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富平县曹村镇人民政府（本级）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富平县曹村镇街道中段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富平县曹村镇人民政府（本级）经办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09138757001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宏睿鹏达项目管理有限公司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陕西省西安市雁塔区陕西省西安市雁塔区雁翔路99号博源科技广场C座西交一八九六孵化器2046号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井红艳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15511636505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杜股长</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开户名称：宏睿鹏达项⽬管理有限公司富平分公司</w:t>
            </w:r>
          </w:p>
          <w:p>
            <w:pPr>
              <w:pStyle w:val="null3"/>
            </w:pPr>
            <w:r>
              <w:rPr>
                <w:rFonts w:ascii="仿宋_GB2312" w:hAnsi="仿宋_GB2312" w:cs="仿宋_GB2312" w:eastAsia="仿宋_GB2312"/>
              </w:rPr>
              <w:t>开户银行：中国建设银⾏股份有限公司富平县东新街⽀⾏</w:t>
            </w:r>
          </w:p>
          <w:p>
            <w:pPr>
              <w:pStyle w:val="null3"/>
            </w:pPr>
            <w:r>
              <w:rPr>
                <w:rFonts w:ascii="仿宋_GB2312" w:hAnsi="仿宋_GB2312" w:cs="仿宋_GB2312" w:eastAsia="仿宋_GB2312"/>
              </w:rPr>
              <w:t>银行账号：61050164831500002163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代理服务费收费标准：本项⽬收取代理服务费 代理服务费⽤收取对象：采购⼈ 代理服务费收费标准：本项⽬收取代理服务费 代理服务费⽤收取对象：采购⼈ 代理服务费收费标准：招标代理服务费参照国家计委印发《招标代理服务收费管理暂⾏办法》的通 知（计价格[2002]1980 号）计算收取，不计⼊⼯程造价，按照《国家发展改⾰委办公厅关于招标代理服务收费有关问题的通知》（发改办价格〔2003〕 857 号）规定向成交供应商收取。造价咨询服务费按（陕价⾏发【2014】88 号⽂件）计算收取，不计⼊⼯程造价，由成交供应商⽀付。若本次招标失败（⾮代理机构原因），招标代理服务费由采购⼈⽀付。具体⾦额详⻅中标（成交）结果公告，在领取中标通知书时向采购代理机构⼀ 次付清（现⾦或转账）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富平县曹村镇人民政府（本级）</w:t>
      </w:r>
      <w:r>
        <w:rPr>
          <w:rFonts w:ascii="仿宋_GB2312" w:hAnsi="仿宋_GB2312" w:cs="仿宋_GB2312" w:eastAsia="仿宋_GB2312"/>
        </w:rPr>
        <w:t>和</w:t>
      </w:r>
      <w:r>
        <w:rPr>
          <w:rFonts w:ascii="仿宋_GB2312" w:hAnsi="仿宋_GB2312" w:cs="仿宋_GB2312" w:eastAsia="仿宋_GB2312"/>
        </w:rPr>
        <w:t>宏睿鹏达项目管理有限公司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富平县曹村镇人民政府（本级）</w:t>
      </w:r>
      <w:r>
        <w:rPr>
          <w:rFonts w:ascii="仿宋_GB2312" w:hAnsi="仿宋_GB2312" w:cs="仿宋_GB2312" w:eastAsia="仿宋_GB2312"/>
        </w:rPr>
        <w:t>负责解释。除上述磋商文件内容，其他内容由</w:t>
      </w:r>
      <w:r>
        <w:rPr>
          <w:rFonts w:ascii="仿宋_GB2312" w:hAnsi="仿宋_GB2312" w:cs="仿宋_GB2312" w:eastAsia="仿宋_GB2312"/>
        </w:rPr>
        <w:t>宏睿鹏达项目管理有限公司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富平县曹村镇人民政府（本级）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宏睿鹏达项目管理有限公司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保证在本项⽬中使⽤的任何技术、产品和服务（包括部分使⽤），不会产⽣因第三⽅提出侵犯其专利权、商标权或其它知识产权⽽引起的法律和经济纠纷，如因专利权、商标权或其它知识产权⽽引起法律和经济纠纷，由供应商承担所有相关责任。采购⼈享有本项⽬实施过程中产⽣的知识成果及知识产权。 ⼆、供应商将在采购项⽬实施过程中采⽤⾃有或者第三⽅知识成果的，使⽤该知识成果后，供应商需提供开发接⼝和开发⼿册等技术资料，并承诺提供⽆限期⽀持，采购⼈享有使⽤权（含采购⼈委托第三⽅在该项⽬后续开发的使⽤权）。 三、如采⽤供应商所不拥有的知识产权，则在报价中必须包括合法使⽤该知识产权的相关费⽤。 四、构成本磋商⽂件的各组成部分，未经采购⼈书⾯同意，供应商不得擅⾃复印或⽤于⾮本磋商项⽬所需的其他⽬的。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在签订施工合同时另行约定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联系人：井红艳</w:t>
      </w:r>
    </w:p>
    <w:p>
      <w:pPr>
        <w:pStyle w:val="null3"/>
      </w:pPr>
      <w:r>
        <w:rPr>
          <w:rFonts w:ascii="仿宋_GB2312" w:hAnsi="仿宋_GB2312" w:cs="仿宋_GB2312" w:eastAsia="仿宋_GB2312"/>
        </w:rPr>
        <w:t>联系电话：15511636505</w:t>
      </w:r>
    </w:p>
    <w:p>
      <w:pPr>
        <w:pStyle w:val="null3"/>
      </w:pPr>
      <w:r>
        <w:rPr>
          <w:rFonts w:ascii="仿宋_GB2312" w:hAnsi="仿宋_GB2312" w:cs="仿宋_GB2312" w:eastAsia="仿宋_GB2312"/>
        </w:rPr>
        <w:t>地址：陕西省渭南市富平县城关街道新兴巷秦楚名苑⼩区对⾯⼆楼</w:t>
      </w:r>
    </w:p>
    <w:p>
      <w:pPr>
        <w:pStyle w:val="null3"/>
      </w:pPr>
      <w:r>
        <w:rPr>
          <w:rFonts w:ascii="仿宋_GB2312" w:hAnsi="仿宋_GB2312" w:cs="仿宋_GB2312" w:eastAsia="仿宋_GB2312"/>
        </w:rPr>
        <w:t>邮编：711700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798,662.61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2026年曹村镇大贾村道路硬化项目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标的名称：2026年曹村镇大贾村道路硬化项目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spacing w:before="45"/>
              <w:ind w:left="15" w:right="150"/>
            </w:pPr>
            <w:r>
              <w:rPr>
                <w:rFonts w:ascii="仿宋_GB2312" w:hAnsi="仿宋_GB2312" w:cs="仿宋_GB2312" w:eastAsia="仿宋_GB2312"/>
              </w:rPr>
              <w:t>新修混凝土路面4907m²(1402m*3.5m), 厚度18cm,做3:7灰土，完善其他配套设施。</w:t>
            </w:r>
            <w:r>
              <w:br/>
            </w:r>
            <w:r>
              <w:rPr>
                <w:rFonts w:ascii="仿宋_GB2312" w:hAnsi="仿宋_GB2312" w:cs="仿宋_GB2312" w:eastAsia="仿宋_GB2312"/>
              </w:rPr>
              <w:t xml:space="preserve"> 二、实施地点：采购人指定地点</w:t>
            </w:r>
            <w:r>
              <w:br/>
            </w:r>
            <w:r>
              <w:rPr>
                <w:rFonts w:ascii="仿宋_GB2312" w:hAnsi="仿宋_GB2312" w:cs="仿宋_GB2312" w:eastAsia="仿宋_GB2312"/>
              </w:rPr>
              <w:t xml:space="preserve"> 三、项目要求：</w:t>
            </w:r>
            <w:r>
              <w:br/>
            </w:r>
            <w:r>
              <w:rPr>
                <w:rFonts w:ascii="仿宋_GB2312" w:hAnsi="仿宋_GB2312" w:cs="仿宋_GB2312" w:eastAsia="仿宋_GB2312"/>
              </w:rPr>
              <w:t xml:space="preserve"> 1.工程质量目标:达到国家现行施工验收规范“合格”标准。</w:t>
            </w:r>
            <w:r>
              <w:br/>
            </w:r>
            <w:r>
              <w:rPr>
                <w:rFonts w:ascii="仿宋_GB2312" w:hAnsi="仿宋_GB2312" w:cs="仿宋_GB2312" w:eastAsia="仿宋_GB2312"/>
              </w:rPr>
              <w:t xml:space="preserve"> 2.文明施工:安全文明施工工地。</w:t>
            </w:r>
            <w:r>
              <w:br/>
            </w:r>
            <w:r>
              <w:rPr>
                <w:rFonts w:ascii="仿宋_GB2312" w:hAnsi="仿宋_GB2312" w:cs="仿宋_GB2312" w:eastAsia="仿宋_GB2312"/>
              </w:rPr>
              <w:t xml:space="preserve"> 四、工期：</w:t>
            </w:r>
            <w:r>
              <w:br/>
            </w:r>
            <w:r>
              <w:rPr>
                <w:rFonts w:ascii="仿宋_GB2312" w:hAnsi="仿宋_GB2312" w:cs="仿宋_GB2312" w:eastAsia="仿宋_GB2312"/>
              </w:rPr>
              <w:t xml:space="preserve"> 工期：60日历天（计划开、竣工日期以施工合同签订时间为准）。</w:t>
            </w:r>
            <w:r>
              <w:br/>
            </w:r>
            <w:r>
              <w:rPr>
                <w:rFonts w:ascii="仿宋_GB2312" w:hAnsi="仿宋_GB2312" w:cs="仿宋_GB2312" w:eastAsia="仿宋_GB2312"/>
              </w:rPr>
              <w:t xml:space="preserve"> 五、安全要求</w:t>
            </w:r>
            <w:r>
              <w:br/>
            </w:r>
            <w:r>
              <w:rPr>
                <w:rFonts w:ascii="仿宋_GB2312" w:hAnsi="仿宋_GB2312" w:cs="仿宋_GB2312" w:eastAsia="仿宋_GB2312"/>
              </w:rPr>
              <w:t xml:space="preserve"> 遵守工程建设安全生产有关管理规定，严格按安全标准组织施工，采取必要的安全生产措施，消除事故隐患。安全措施不力造成事故责任和发生的费用由成交供应商承担。</w:t>
            </w:r>
            <w:r>
              <w:br/>
            </w:r>
            <w:r>
              <w:rPr>
                <w:rFonts w:ascii="仿宋_GB2312" w:hAnsi="仿宋_GB2312" w:cs="仿宋_GB2312" w:eastAsia="仿宋_GB2312"/>
              </w:rPr>
              <w:t xml:space="preserve"> 六、工程施工基本要求</w:t>
            </w:r>
            <w:r>
              <w:br/>
            </w:r>
            <w:r>
              <w:rPr>
                <w:rFonts w:ascii="仿宋_GB2312" w:hAnsi="仿宋_GB2312" w:cs="仿宋_GB2312" w:eastAsia="仿宋_GB2312"/>
              </w:rPr>
              <w:t xml:space="preserve"> 严格按国家有关规定做到文明施工，规范施工，严格把好各道施工工序的质量，确保工程质量，并按要求如期完成工程建设，编制施工组织设计方案，确保工程按时优质完成，编制总进度计划，合理安排劳动力、物力、财力，尽量做到综合平衡配套施工，确保工程顺利完成。</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供应商特定资格要求.docx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开标前近三个月内基本开户银行开具的资信证明或2025年经审计的财务报告（财务报告须符合《财政部关于注册会计师行业统一监管平台上线运行的通知》财办[2022]32号文件要求，成立时间至提交磋商响应文件截止时间不足一年的可提供成立后任意时段的财务报表）。</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供应商特定资格要求.docx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供应商特定资格要求.docx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营业执照或其他要求</w:t>
            </w:r>
          </w:p>
        </w:tc>
        <w:tc>
          <w:tcPr>
            <w:tcW w:type="dxa" w:w="3322"/>
          </w:tcPr>
          <w:p>
            <w:pPr>
              <w:pStyle w:val="null3"/>
            </w:pPr>
            <w:r>
              <w:rPr>
                <w:rFonts w:ascii="仿宋_GB2312" w:hAnsi="仿宋_GB2312" w:cs="仿宋_GB2312" w:eastAsia="仿宋_GB2312"/>
              </w:rPr>
              <w:t>具有独立承担民事责任能力的法人、其他组织或自然人，提供合法有效年报合格的统一社会信用代码营业执照或事业单位法人证书等国家规定的相关证明，自然人参与的提供其身份证明；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授权委托要求</w:t>
            </w:r>
          </w:p>
        </w:tc>
        <w:tc>
          <w:tcPr>
            <w:tcW w:type="dxa" w:w="3322"/>
          </w:tcPr>
          <w:p>
            <w:pPr>
              <w:pStyle w:val="null3"/>
            </w:pPr>
            <w:r>
              <w:rPr>
                <w:rFonts w:ascii="仿宋_GB2312" w:hAnsi="仿宋_GB2312" w:cs="仿宋_GB2312" w:eastAsia="仿宋_GB2312"/>
              </w:rPr>
              <w:t>法定代表人参加投标只须提供法定代表人身份证明书（附法定代表人身份证复印件或扫描件）；被授权人参加投标只须提供法定代表人授权委托书（附法定代表人、被授权人身份证复印件或扫描件）；</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资质和专业要求</w:t>
            </w:r>
          </w:p>
        </w:tc>
        <w:tc>
          <w:tcPr>
            <w:tcW w:type="dxa" w:w="3322"/>
          </w:tcPr>
          <w:p>
            <w:pPr>
              <w:pStyle w:val="null3"/>
            </w:pPr>
            <w:r>
              <w:rPr>
                <w:rFonts w:ascii="仿宋_GB2312" w:hAnsi="仿宋_GB2312" w:cs="仿宋_GB2312" w:eastAsia="仿宋_GB2312"/>
              </w:rPr>
              <w:t>具备建筑工程或市政公用工程施工总承包三级及以上资质；</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安全生产许可证要求</w:t>
            </w:r>
          </w:p>
        </w:tc>
        <w:tc>
          <w:tcPr>
            <w:tcW w:type="dxa" w:w="3322"/>
          </w:tcPr>
          <w:p>
            <w:pPr>
              <w:pStyle w:val="null3"/>
            </w:pPr>
            <w:r>
              <w:rPr>
                <w:rFonts w:ascii="仿宋_GB2312" w:hAnsi="仿宋_GB2312" w:cs="仿宋_GB2312" w:eastAsia="仿宋_GB2312"/>
              </w:rPr>
              <w:t>具有建设行政主管部门核发有效的安全生产许可证；</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拟派项目经理须具备建筑工程或市政公用工程注册建造师二级及以上资格和有效的安全生产考核证书，须提供项目经理无在建工程的相关证明材料或承诺书；</w:t>
            </w:r>
          </w:p>
        </w:tc>
        <w:tc>
          <w:tcPr>
            <w:tcW w:type="dxa" w:w="1661"/>
          </w:tcPr>
          <w:p>
            <w:pPr>
              <w:pStyle w:val="null3"/>
            </w:pPr>
            <w:r>
              <w:rPr>
                <w:rFonts w:ascii="仿宋_GB2312" w:hAnsi="仿宋_GB2312" w:cs="仿宋_GB2312" w:eastAsia="仿宋_GB2312"/>
              </w:rPr>
              <w:t>项目组织机构.docx 项目管理机构组成表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财务状况要求</w:t>
            </w:r>
          </w:p>
        </w:tc>
        <w:tc>
          <w:tcPr>
            <w:tcW w:type="dxa" w:w="3322"/>
          </w:tcPr>
          <w:p>
            <w:pPr>
              <w:pStyle w:val="null3"/>
            </w:pPr>
            <w:r>
              <w:rPr>
                <w:rFonts w:ascii="仿宋_GB2312" w:hAnsi="仿宋_GB2312" w:cs="仿宋_GB2312" w:eastAsia="仿宋_GB2312"/>
              </w:rPr>
              <w:t>提供开标前近三个月内基本开户银行开具的资信证明或2025年经审计的财务报告（财务报告须符合《财政部关于注册会计师行业统一监管平台上线运行的通知》财办[2022]32号文件要求，成立时间至提交磋商响应文件截止时间不足一年的可提供成立后任意时段的财务报表）；</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缴纳税收的要求</w:t>
            </w:r>
          </w:p>
        </w:tc>
        <w:tc>
          <w:tcPr>
            <w:tcW w:type="dxa" w:w="3322"/>
          </w:tcPr>
          <w:p>
            <w:pPr>
              <w:pStyle w:val="null3"/>
            </w:pPr>
            <w:r>
              <w:rPr>
                <w:rFonts w:ascii="仿宋_GB2312" w:hAnsi="仿宋_GB2312" w:cs="仿宋_GB2312" w:eastAsia="仿宋_GB2312"/>
              </w:rPr>
              <w:t>提供依法缴纳税收的良好记录（提供磋商响应文件递交截止时间前六个月内任意一个月份的缴纳凭据复印件或扫描件。依法免税或开标前一年内零申报的供应商应提供相关证明文件）；</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缴纳社会保障资金的要求</w:t>
            </w:r>
          </w:p>
        </w:tc>
        <w:tc>
          <w:tcPr>
            <w:tcW w:type="dxa" w:w="3322"/>
          </w:tcPr>
          <w:p>
            <w:pPr>
              <w:pStyle w:val="null3"/>
            </w:pPr>
            <w:r>
              <w:rPr>
                <w:rFonts w:ascii="仿宋_GB2312" w:hAnsi="仿宋_GB2312" w:cs="仿宋_GB2312" w:eastAsia="仿宋_GB2312"/>
              </w:rPr>
              <w:t>提供依法缴纳社会保障资金的良好记录（提供磋商响应文件递交截止时间前六个月内任意一个月份的缴纳凭据复印件或扫描件。依法不需要缴纳社会保障资金的供应商应提供相关证明文件）；</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a.投标截止日前不得为“信用中国”网站（www.creditchina.gov.cn）中列入失信被执行人、重大税收违法失信主体和政府采购严重违法失信行为记录名单的供应商；b.不得为“中国政府采购网”（www.ccgp.gov.cn）中政府采购严重违法失信行为信息记录名单中被财政部门禁止参加政府采购活动的供应商（注：处罚期限届满的除外，最终以采购代理机构开标现场查询结果为准）；</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无重大违法记录的要求</w:t>
            </w:r>
          </w:p>
        </w:tc>
        <w:tc>
          <w:tcPr>
            <w:tcW w:type="dxa" w:w="3322"/>
          </w:tcPr>
          <w:p>
            <w:pPr>
              <w:pStyle w:val="null3"/>
            </w:pPr>
            <w:r>
              <w:rPr>
                <w:rFonts w:ascii="仿宋_GB2312" w:hAnsi="仿宋_GB2312" w:cs="仿宋_GB2312" w:eastAsia="仿宋_GB2312"/>
              </w:rPr>
              <w:t>提供近三年内在经营活动中无重大违法记录的书面声明；</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磋商保证金要求</w:t>
            </w:r>
          </w:p>
        </w:tc>
        <w:tc>
          <w:tcPr>
            <w:tcW w:type="dxa" w:w="3322"/>
          </w:tcPr>
          <w:p>
            <w:pPr>
              <w:pStyle w:val="null3"/>
            </w:pPr>
            <w:r>
              <w:rPr>
                <w:rFonts w:ascii="仿宋_GB2312" w:hAnsi="仿宋_GB2312" w:cs="仿宋_GB2312" w:eastAsia="仿宋_GB2312"/>
              </w:rPr>
              <w:t>a.提供磋商保证金转账凭证和基本存款账户信息证明资料复印件或扫描件；b.提供金融机构、担保机构出具的保函复印件或扫描件。以上两种方式二选一；</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单位负责人为同一人或者存在直接控股、管理关系的不同投标人，不得参加同一合同项下的政府采购活动的要求</w:t>
            </w:r>
          </w:p>
        </w:tc>
        <w:tc>
          <w:tcPr>
            <w:tcW w:type="dxa" w:w="3322"/>
          </w:tcPr>
          <w:p>
            <w:pPr>
              <w:pStyle w:val="null3"/>
            </w:pPr>
            <w:r>
              <w:rPr>
                <w:rFonts w:ascii="仿宋_GB2312" w:hAnsi="仿宋_GB2312" w:cs="仿宋_GB2312" w:eastAsia="仿宋_GB2312"/>
              </w:rPr>
              <w:t>提供单位负责人为同一人或者存在直接控股、管理关系的不同投标人，不得参加同一合同项下的政府采购活动的书面声明；</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具有履行本合同所必需的设备和专业技术能力的要求</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面向中小企业采购政策落实情况</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中小企业声明函 供应商特定资格要求.docx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技术响应.docx 项目组织机构.docx 已标价工程量清单 中小企业声明函 承诺书.docx 近年完成的类似项目情况表.docx 响应文件封面 项目管理机构组成表 残疾人福利性单位声明函 报价函 标的清单 供应商特定资格要求.docx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内容无重大缺漏项，报价唯一，且不高于本项目最高限价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响应文件的签署、加盖印章合格、有效</w:t>
            </w:r>
          </w:p>
        </w:tc>
        <w:tc>
          <w:tcPr>
            <w:tcW w:type="dxa" w:w="1661"/>
          </w:tcPr>
          <w:p>
            <w:pPr>
              <w:pStyle w:val="null3"/>
            </w:pPr>
            <w:r>
              <w:rPr>
                <w:rFonts w:ascii="仿宋_GB2312" w:hAnsi="仿宋_GB2312" w:cs="仿宋_GB2312" w:eastAsia="仿宋_GB2312"/>
              </w:rPr>
              <w:t>技术响应.docx 项目组织机构.docx 已标价工程量清单 中小企业声明函 承诺书.docx 近年完成的类似项目情况表.docx 响应文件封面 项目管理机构组成表 残疾人福利性单位声明函 报价函 标的清单 供应商特定资格要求.docx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符合或优于磋商文件要求</w:t>
            </w:r>
          </w:p>
        </w:tc>
        <w:tc>
          <w:tcPr>
            <w:tcW w:type="dxa" w:w="1661"/>
          </w:tcPr>
          <w:p>
            <w:pPr>
              <w:pStyle w:val="null3"/>
            </w:pPr>
            <w:r>
              <w:rPr>
                <w:rFonts w:ascii="仿宋_GB2312" w:hAnsi="仿宋_GB2312" w:cs="仿宋_GB2312" w:eastAsia="仿宋_GB2312"/>
              </w:rPr>
              <w:t>报价函 标的清单 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承诺书.docx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其他磋商文件或法律法规明确规定响应无效的事项</w:t>
            </w:r>
          </w:p>
        </w:tc>
        <w:tc>
          <w:tcPr>
            <w:tcW w:type="dxa" w:w="3322"/>
          </w:tcPr>
          <w:p>
            <w:pPr>
              <w:pStyle w:val="null3"/>
            </w:pPr>
            <w:r>
              <w:rPr>
                <w:rFonts w:ascii="仿宋_GB2312" w:hAnsi="仿宋_GB2312" w:cs="仿宋_GB2312" w:eastAsia="仿宋_GB2312"/>
              </w:rPr>
              <w:t>无其他磋商文件或法律法规明确规定响应无效的事项</w:t>
            </w:r>
          </w:p>
        </w:tc>
        <w:tc>
          <w:tcPr>
            <w:tcW w:type="dxa" w:w="1661"/>
          </w:tcPr>
          <w:p>
            <w:pPr>
              <w:pStyle w:val="null3"/>
            </w:pPr>
            <w:r>
              <w:rPr>
                <w:rFonts w:ascii="仿宋_GB2312" w:hAnsi="仿宋_GB2312" w:cs="仿宋_GB2312" w:eastAsia="仿宋_GB2312"/>
              </w:rPr>
              <w:t>技术响应.docx 项目组织机构.docx 已标价工程量清单 中小企业声明函 承诺书.docx 近年完成的类似项目情况表.docx 响应文件封面 项目管理机构组成表 残疾人福利性单位声明函 报价函 标的清单 供应商特定资格要求.docx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技术部分</w:t>
            </w:r>
          </w:p>
        </w:tc>
        <w:tc>
          <w:tcPr>
            <w:tcW w:type="dxa" w:w="2492"/>
          </w:tcPr>
          <w:p>
            <w:pPr>
              <w:pStyle w:val="null3"/>
            </w:pPr>
            <w:r>
              <w:rPr>
                <w:rFonts w:ascii="仿宋_GB2312" w:hAnsi="仿宋_GB2312" w:cs="仿宋_GB2312" w:eastAsia="仿宋_GB2312"/>
              </w:rPr>
              <w:t>提供针对本项目的施工组织设计，至少应包括：①确保工程质量的技术组织措施；②确保安全生产的技术组织措施；③确保文明施工及环境保护的技术组织措施；④确保工期的技术组织措施及施工进度表(横道图或网络图)；⑤施工方案；⑥施工机械配备和材料投入计划及劳动力安排计划；⑦新技术、新产品、新工艺、新材料应用。包含但不限于上述全部内容，方案详细，清晰有利于项目实施的每项得8分。（如有缺陷或不足在此分数基础上进行扣分），以上7项中：（1）每有1项缺失或不切实符合项目需求的扣8分；（2）每有1项内容存在缺陷或不足扣5分；（3）每有1项总体内容完备但存在部分瑕疵扣2分。</w:t>
            </w:r>
          </w:p>
        </w:tc>
        <w:tc>
          <w:tcPr>
            <w:tcW w:type="dxa" w:w="831"/>
          </w:tcPr>
          <w:p>
            <w:pPr>
              <w:pStyle w:val="null3"/>
              <w:jc w:val="right"/>
            </w:pPr>
            <w:r>
              <w:rPr>
                <w:rFonts w:ascii="仿宋_GB2312" w:hAnsi="仿宋_GB2312" w:cs="仿宋_GB2312" w:eastAsia="仿宋_GB2312"/>
              </w:rPr>
              <w:t>56.0000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1、项目经理具有中级职称的得2分，高级及以上职称得3分。 2、具有五大员（质量员、安全员、施工员、材料员、资料员）上岗证书（安全员须具有安全生产考核合格证书）的一项得1分，最高得5分。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项目组织机构.docx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2024年06月01日至今完成的类似业绩，一项得2分，最多得6分。 注：须附类似项目业绩的中标（成交）通知书或合同或竣工验收证明材料复印件或扫描件），以提供证明资料的落款时间为准。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近年完成的类似项目情况表.docx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经资格审查合格及符合性审查合格的磋商响应文件，其磋商报价有效；将满足磋商文件要求且最后报价最低的供应商的价格作为磋商基准价，其价格分为满分（30分）； 其他供应商磋商报价得分=(磋商基准价／最后磋商报价)×30%×100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详见附件：供应商特定资格要求.docx</w:t>
      </w:r>
    </w:p>
    <w:p>
      <w:pPr>
        <w:pStyle w:val="null3"/>
        <w:ind w:firstLine="960"/>
      </w:pPr>
      <w:r>
        <w:rPr>
          <w:rFonts w:ascii="仿宋_GB2312" w:hAnsi="仿宋_GB2312" w:cs="仿宋_GB2312" w:eastAsia="仿宋_GB2312"/>
        </w:rPr>
        <w:t>详见附件：项目组织机构.docx</w:t>
      </w:r>
    </w:p>
    <w:p>
      <w:pPr>
        <w:pStyle w:val="null3"/>
        <w:ind w:firstLine="960"/>
      </w:pPr>
      <w:r>
        <w:rPr>
          <w:rFonts w:ascii="仿宋_GB2312" w:hAnsi="仿宋_GB2312" w:cs="仿宋_GB2312" w:eastAsia="仿宋_GB2312"/>
        </w:rPr>
        <w:t>详见附件：近年完成的类似项目情况表.docx</w:t>
      </w:r>
    </w:p>
    <w:p>
      <w:pPr>
        <w:pStyle w:val="null3"/>
        <w:ind w:firstLine="960"/>
      </w:pPr>
      <w:r>
        <w:rPr>
          <w:rFonts w:ascii="仿宋_GB2312" w:hAnsi="仿宋_GB2312" w:cs="仿宋_GB2312" w:eastAsia="仿宋_GB2312"/>
        </w:rPr>
        <w:t>详见附件：技术响应.docx</w:t>
      </w:r>
    </w:p>
    <w:p>
      <w:pPr>
        <w:pStyle w:val="null3"/>
        <w:ind w:firstLine="960"/>
      </w:pPr>
      <w:r>
        <w:rPr>
          <w:rFonts w:ascii="仿宋_GB2312" w:hAnsi="仿宋_GB2312" w:cs="仿宋_GB2312" w:eastAsia="仿宋_GB2312"/>
        </w:rPr>
        <w:t>详见附件：承诺书.docx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