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版本号：政采-省本级-2026-0425320260514001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陕西省智慧水利二期项目实施方案设计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政采-省本级-2026-04253</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陕西省智慧水利二期项目实施方案设计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政采-省本级-2026-04253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陕西省智慧水利二期项目实施方案设计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陕西省水利业务实际需求、建设特点、基础设施现状、组织保障措施等情况，坚持“需求牵引、应用至上，数字赋能、提升能力，全面覆盖、急用先行，融合创新、安全高效，整合共享、集约利用，健全机制、持续发展”的原则。开展陕西省智慧水利二期项目实施方案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1、资质要求：供应商须具备工程设计水利行业乙级（含乙级）以上资质，须提供有效的资质证书复印件。</w:t>
      </w:r>
    </w:p>
    <w:p>
      <w:pPr>
        <w:pStyle w:val="null3"/>
      </w:pPr>
      <w:r>
        <w:rPr>
          <w:rFonts w:ascii="仿宋_GB2312" w:hAnsi="仿宋_GB2312" w:cs="仿宋_GB2312" w:eastAsia="仿宋_GB2312"/>
        </w:rPr>
        <w:t>2、营业执照或事业单位法人证书：供应商为合法注册的法人、其他组织，具有独立承担民事责任的能力，提供营业执照或事业单位法人证书复印件，供应商为自然人的提供身份证复印件。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3、项目负责人要求：项目负责人须为本单位人员并提供相应证明材料。项目负责人须具有水利相关专业高级（含高级）以上技术职称，并提供有效的高级（含高级）以上技术职称证书复印件。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5、社保缴纳证明：提供递交投标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6、无重大违法记录的书面声明：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p>
      <w:pPr>
        <w:pStyle w:val="null3"/>
      </w:pPr>
      <w:r>
        <w:rPr>
          <w:rFonts w:ascii="仿宋_GB2312" w:hAnsi="仿宋_GB2312" w:cs="仿宋_GB2312" w:eastAsia="仿宋_GB2312"/>
        </w:rPr>
        <w:t>7、具有履行本合同所必需的设备和专业技术能力：提供具有履行本合同所必需的设备和专业技术能力的承诺并加盖公章。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符合招标文件要求，符合国家行业标准、规范。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水利业务实际需求、建设特点、基础设施现状、组织保障措施等情况，坚持“需求牵引、应用至上，数字赋能、提升能力，全面覆盖、急用先行，融合创新、安全高效，整合共享、集约利用，健全机制、持续发展”的原则。开展陕西省智慧水利二期项目实施方案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陕西省智慧水利二期项目实施方案设计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标的名称：陕西省智慧水利二期项目实施方案设计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一、主要工作内容</w:t>
            </w:r>
          </w:p>
          <w:p>
            <w:pPr>
              <w:pStyle w:val="null3"/>
              <w:ind w:firstLine="420"/>
              <w:jc w:val="both"/>
            </w:pPr>
            <w:r>
              <w:rPr>
                <w:rFonts w:ascii="仿宋_GB2312" w:hAnsi="仿宋_GB2312" w:cs="仿宋_GB2312" w:eastAsia="仿宋_GB2312"/>
                <w:sz w:val="21"/>
              </w:rPr>
              <w:t>按照陕西省智慧水利项目总体设计要求，以及水利厅业务需求和管理特点开展水利厅业务需求调研，结合智慧水利一期已有成果，按照智慧水利总体建设目标、总体框架、数据架构、层级架构，明确智慧水利二期建设任务、实施计划和保证措施；结合水利厅数字化建设总体设计方案，以及业务应用需求，编制完成设计方案，内容包括新建6+1业务应用系统，完善业务支撑体系1项、数据治理1项、地理空间数据采集1项、充实完善安全体系建设2项。</w:t>
            </w:r>
          </w:p>
          <w:p>
            <w:pPr>
              <w:pStyle w:val="null3"/>
              <w:jc w:val="both"/>
            </w:pPr>
            <w:r>
              <w:rPr>
                <w:rFonts w:ascii="仿宋_GB2312" w:hAnsi="仿宋_GB2312" w:cs="仿宋_GB2312" w:eastAsia="仿宋_GB2312"/>
                <w:sz w:val="21"/>
              </w:rPr>
              <w:t>二、标准规范</w:t>
            </w:r>
          </w:p>
          <w:p>
            <w:pPr>
              <w:pStyle w:val="null3"/>
              <w:ind w:firstLine="420"/>
              <w:jc w:val="both"/>
            </w:pPr>
            <w:r>
              <w:rPr>
                <w:rFonts w:ascii="仿宋_GB2312" w:hAnsi="仿宋_GB2312" w:cs="仿宋_GB2312" w:eastAsia="仿宋_GB2312"/>
                <w:sz w:val="21"/>
              </w:rPr>
              <w:t>《中华人民共和国水法》</w:t>
            </w:r>
          </w:p>
          <w:p>
            <w:pPr>
              <w:pStyle w:val="null3"/>
              <w:ind w:firstLine="420"/>
              <w:jc w:val="both"/>
            </w:pPr>
            <w:r>
              <w:rPr>
                <w:rFonts w:ascii="仿宋_GB2312" w:hAnsi="仿宋_GB2312" w:cs="仿宋_GB2312" w:eastAsia="仿宋_GB2312"/>
                <w:sz w:val="21"/>
              </w:rPr>
              <w:t>《中华人民共和国网络安全法》</w:t>
            </w:r>
          </w:p>
          <w:p>
            <w:pPr>
              <w:pStyle w:val="null3"/>
              <w:ind w:firstLine="420"/>
              <w:jc w:val="both"/>
            </w:pPr>
            <w:r>
              <w:rPr>
                <w:rFonts w:ascii="仿宋_GB2312" w:hAnsi="仿宋_GB2312" w:cs="仿宋_GB2312" w:eastAsia="仿宋_GB2312"/>
                <w:sz w:val="21"/>
              </w:rPr>
              <w:t>《中华人民共和国数据安全法》</w:t>
            </w:r>
          </w:p>
          <w:p>
            <w:pPr>
              <w:pStyle w:val="null3"/>
              <w:ind w:firstLine="420"/>
              <w:jc w:val="both"/>
            </w:pPr>
            <w:r>
              <w:rPr>
                <w:rFonts w:ascii="仿宋_GB2312" w:hAnsi="仿宋_GB2312" w:cs="仿宋_GB2312" w:eastAsia="仿宋_GB2312"/>
                <w:sz w:val="21"/>
              </w:rPr>
              <w:t>《水利信息网建设指南》（</w:t>
            </w:r>
            <w:r>
              <w:rPr>
                <w:rFonts w:ascii="仿宋_GB2312" w:hAnsi="仿宋_GB2312" w:cs="仿宋_GB2312" w:eastAsia="仿宋_GB2312"/>
                <w:sz w:val="21"/>
              </w:rPr>
              <w:t>SL434-2008）</w:t>
            </w:r>
          </w:p>
          <w:p>
            <w:pPr>
              <w:pStyle w:val="null3"/>
              <w:ind w:firstLine="420"/>
              <w:jc w:val="both"/>
            </w:pPr>
            <w:r>
              <w:rPr>
                <w:rFonts w:ascii="仿宋_GB2312" w:hAnsi="仿宋_GB2312" w:cs="仿宋_GB2312" w:eastAsia="仿宋_GB2312"/>
                <w:sz w:val="21"/>
              </w:rPr>
              <w:t>《水电水利工程通信设计规范》（</w:t>
            </w:r>
            <w:r>
              <w:rPr>
                <w:rFonts w:ascii="仿宋_GB2312" w:hAnsi="仿宋_GB2312" w:cs="仿宋_GB2312" w:eastAsia="仿宋_GB2312"/>
                <w:sz w:val="21"/>
              </w:rPr>
              <w:t>SL517-2013）</w:t>
            </w:r>
          </w:p>
          <w:p>
            <w:pPr>
              <w:pStyle w:val="null3"/>
              <w:ind w:firstLine="420"/>
              <w:jc w:val="both"/>
            </w:pPr>
            <w:r>
              <w:rPr>
                <w:rFonts w:ascii="仿宋_GB2312" w:hAnsi="仿宋_GB2312" w:cs="仿宋_GB2312" w:eastAsia="仿宋_GB2312"/>
                <w:sz w:val="21"/>
              </w:rPr>
              <w:t>《水文自动测报系统技术规范》（</w:t>
            </w:r>
            <w:r>
              <w:rPr>
                <w:rFonts w:ascii="仿宋_GB2312" w:hAnsi="仿宋_GB2312" w:cs="仿宋_GB2312" w:eastAsia="仿宋_GB2312"/>
                <w:sz w:val="21"/>
              </w:rPr>
              <w:t>SL61-2015）</w:t>
            </w:r>
          </w:p>
          <w:p>
            <w:pPr>
              <w:pStyle w:val="null3"/>
              <w:ind w:firstLine="420"/>
              <w:jc w:val="both"/>
            </w:pPr>
            <w:r>
              <w:rPr>
                <w:rFonts w:ascii="仿宋_GB2312" w:hAnsi="仿宋_GB2312" w:cs="仿宋_GB2312" w:eastAsia="仿宋_GB2312"/>
                <w:sz w:val="21"/>
              </w:rPr>
              <w:t>《通信线路工程设计规范》</w:t>
            </w:r>
            <w:r>
              <w:rPr>
                <w:rFonts w:ascii="仿宋_GB2312" w:hAnsi="仿宋_GB2312" w:cs="仿宋_GB2312" w:eastAsia="仿宋_GB2312"/>
                <w:sz w:val="21"/>
              </w:rPr>
              <w:t>GB 51158-2015</w:t>
            </w:r>
          </w:p>
          <w:p>
            <w:pPr>
              <w:pStyle w:val="null3"/>
              <w:ind w:firstLine="420"/>
              <w:jc w:val="both"/>
            </w:pPr>
            <w:r>
              <w:rPr>
                <w:rFonts w:ascii="仿宋_GB2312" w:hAnsi="仿宋_GB2312" w:cs="仿宋_GB2312" w:eastAsia="仿宋_GB2312"/>
                <w:sz w:val="21"/>
              </w:rPr>
              <w:t>《数据中心设计规范》（</w:t>
            </w:r>
            <w:r>
              <w:rPr>
                <w:rFonts w:ascii="仿宋_GB2312" w:hAnsi="仿宋_GB2312" w:cs="仿宋_GB2312" w:eastAsia="仿宋_GB2312"/>
                <w:sz w:val="21"/>
              </w:rPr>
              <w:t>GB50174-2017）</w:t>
            </w:r>
          </w:p>
          <w:p>
            <w:pPr>
              <w:pStyle w:val="null3"/>
              <w:ind w:firstLine="420"/>
              <w:jc w:val="both"/>
            </w:pPr>
            <w:r>
              <w:rPr>
                <w:rFonts w:ascii="仿宋_GB2312" w:hAnsi="仿宋_GB2312" w:cs="仿宋_GB2312" w:eastAsia="仿宋_GB2312"/>
                <w:sz w:val="21"/>
              </w:rPr>
              <w:t>《水利水电工程安全监测系统运行管理规范》</w:t>
            </w:r>
            <w:r>
              <w:rPr>
                <w:rFonts w:ascii="仿宋_GB2312" w:hAnsi="仿宋_GB2312" w:cs="仿宋_GB2312" w:eastAsia="仿宋_GB2312"/>
                <w:sz w:val="21"/>
              </w:rPr>
              <w:t>SL/T 782-2019</w:t>
            </w:r>
          </w:p>
          <w:p>
            <w:pPr>
              <w:pStyle w:val="null3"/>
              <w:ind w:firstLine="420"/>
              <w:jc w:val="both"/>
            </w:pPr>
            <w:r>
              <w:rPr>
                <w:rFonts w:ascii="仿宋_GB2312" w:hAnsi="仿宋_GB2312" w:cs="仿宋_GB2312" w:eastAsia="仿宋_GB2312"/>
                <w:sz w:val="21"/>
              </w:rPr>
              <w:t>《工业电视系统工程设计标准》</w:t>
            </w:r>
            <w:r>
              <w:rPr>
                <w:rFonts w:ascii="仿宋_GB2312" w:hAnsi="仿宋_GB2312" w:cs="仿宋_GB2312" w:eastAsia="仿宋_GB2312"/>
                <w:sz w:val="21"/>
              </w:rPr>
              <w:t>GB/T 50115-2019</w:t>
            </w:r>
          </w:p>
          <w:p>
            <w:pPr>
              <w:pStyle w:val="null3"/>
              <w:ind w:firstLine="420"/>
              <w:jc w:val="both"/>
            </w:pPr>
            <w:r>
              <w:rPr>
                <w:rFonts w:ascii="仿宋_GB2312" w:hAnsi="仿宋_GB2312" w:cs="仿宋_GB2312" w:eastAsia="仿宋_GB2312"/>
                <w:sz w:val="21"/>
              </w:rPr>
              <w:t>《信息安全技术网络安全等级保护实施指南》（</w:t>
            </w:r>
            <w:r>
              <w:rPr>
                <w:rFonts w:ascii="仿宋_GB2312" w:hAnsi="仿宋_GB2312" w:cs="仿宋_GB2312" w:eastAsia="仿宋_GB2312"/>
                <w:sz w:val="21"/>
              </w:rPr>
              <w:t>GB/T25058-2019）</w:t>
            </w:r>
          </w:p>
          <w:p>
            <w:pPr>
              <w:pStyle w:val="null3"/>
              <w:ind w:firstLine="420"/>
              <w:jc w:val="both"/>
            </w:pPr>
            <w:r>
              <w:rPr>
                <w:rFonts w:ascii="仿宋_GB2312" w:hAnsi="仿宋_GB2312" w:cs="仿宋_GB2312" w:eastAsia="仿宋_GB2312"/>
                <w:sz w:val="21"/>
              </w:rPr>
              <w:t>《信息安全技术数据库管理系统安全技术要求》（</w:t>
            </w:r>
            <w:r>
              <w:rPr>
                <w:rFonts w:ascii="仿宋_GB2312" w:hAnsi="仿宋_GB2312" w:cs="仿宋_GB2312" w:eastAsia="仿宋_GB2312"/>
                <w:sz w:val="21"/>
              </w:rPr>
              <w:t>GB/T20273-2019）</w:t>
            </w:r>
          </w:p>
          <w:p>
            <w:pPr>
              <w:pStyle w:val="null3"/>
              <w:ind w:firstLine="420"/>
              <w:jc w:val="both"/>
            </w:pPr>
            <w:r>
              <w:rPr>
                <w:rFonts w:ascii="仿宋_GB2312" w:hAnsi="仿宋_GB2312" w:cs="仿宋_GB2312" w:eastAsia="仿宋_GB2312"/>
                <w:sz w:val="21"/>
              </w:rPr>
              <w:t>《网络安全等级保护基本要求》（</w:t>
            </w:r>
            <w:r>
              <w:rPr>
                <w:rFonts w:ascii="仿宋_GB2312" w:hAnsi="仿宋_GB2312" w:cs="仿宋_GB2312" w:eastAsia="仿宋_GB2312"/>
                <w:sz w:val="21"/>
              </w:rPr>
              <w:t>GB/T 22239-2019）</w:t>
            </w:r>
          </w:p>
          <w:p>
            <w:pPr>
              <w:pStyle w:val="null3"/>
              <w:ind w:firstLine="420"/>
              <w:jc w:val="both"/>
            </w:pPr>
            <w:r>
              <w:rPr>
                <w:rFonts w:ascii="仿宋_GB2312" w:hAnsi="仿宋_GB2312" w:cs="仿宋_GB2312" w:eastAsia="仿宋_GB2312"/>
                <w:sz w:val="21"/>
              </w:rPr>
              <w:t>《网络安全等级保护测评要求》（</w:t>
            </w:r>
            <w:r>
              <w:rPr>
                <w:rFonts w:ascii="仿宋_GB2312" w:hAnsi="仿宋_GB2312" w:cs="仿宋_GB2312" w:eastAsia="仿宋_GB2312"/>
                <w:sz w:val="21"/>
              </w:rPr>
              <w:t>GB/T 28448-2019）</w:t>
            </w:r>
          </w:p>
          <w:p>
            <w:pPr>
              <w:pStyle w:val="null3"/>
              <w:ind w:firstLine="420"/>
              <w:jc w:val="both"/>
            </w:pPr>
            <w:r>
              <w:rPr>
                <w:rFonts w:ascii="仿宋_GB2312" w:hAnsi="仿宋_GB2312" w:cs="仿宋_GB2312" w:eastAsia="仿宋_GB2312"/>
                <w:sz w:val="21"/>
              </w:rPr>
              <w:t>《网络安全等级保护安全设计技术要求》（</w:t>
            </w:r>
            <w:r>
              <w:rPr>
                <w:rFonts w:ascii="仿宋_GB2312" w:hAnsi="仿宋_GB2312" w:cs="仿宋_GB2312" w:eastAsia="仿宋_GB2312"/>
                <w:sz w:val="21"/>
              </w:rPr>
              <w:t>GB/T25070-2019）</w:t>
            </w:r>
          </w:p>
          <w:p>
            <w:pPr>
              <w:pStyle w:val="null3"/>
              <w:ind w:firstLine="420"/>
              <w:jc w:val="both"/>
            </w:pPr>
            <w:r>
              <w:rPr>
                <w:rFonts w:ascii="仿宋_GB2312" w:hAnsi="仿宋_GB2312" w:cs="仿宋_GB2312" w:eastAsia="仿宋_GB2312"/>
                <w:sz w:val="21"/>
              </w:rPr>
              <w:t>《水利网络安全保护技术规范》（</w:t>
            </w:r>
            <w:r>
              <w:rPr>
                <w:rFonts w:ascii="仿宋_GB2312" w:hAnsi="仿宋_GB2312" w:cs="仿宋_GB2312" w:eastAsia="仿宋_GB2312"/>
                <w:sz w:val="21"/>
              </w:rPr>
              <w:t>SL/T803-2020）</w:t>
            </w:r>
          </w:p>
          <w:p>
            <w:pPr>
              <w:pStyle w:val="null3"/>
              <w:ind w:firstLine="420"/>
              <w:jc w:val="both"/>
            </w:pPr>
            <w:r>
              <w:rPr>
                <w:rFonts w:ascii="仿宋_GB2312" w:hAnsi="仿宋_GB2312" w:cs="仿宋_GB2312" w:eastAsia="仿宋_GB2312"/>
                <w:sz w:val="21"/>
              </w:rPr>
              <w:t>《水利系统通信业务技术导则》</w:t>
            </w:r>
            <w:r>
              <w:rPr>
                <w:rFonts w:ascii="仿宋_GB2312" w:hAnsi="仿宋_GB2312" w:cs="仿宋_GB2312" w:eastAsia="仿宋_GB2312"/>
                <w:sz w:val="21"/>
              </w:rPr>
              <w:t>SL/T 292-2020</w:t>
            </w:r>
          </w:p>
          <w:p>
            <w:pPr>
              <w:pStyle w:val="null3"/>
              <w:ind w:firstLine="420"/>
              <w:jc w:val="both"/>
            </w:pPr>
            <w:r>
              <w:rPr>
                <w:rFonts w:ascii="仿宋_GB2312" w:hAnsi="仿宋_GB2312" w:cs="仿宋_GB2312" w:eastAsia="仿宋_GB2312"/>
                <w:sz w:val="21"/>
              </w:rPr>
              <w:t>《水利信息产品服务总则》</w:t>
            </w:r>
            <w:r>
              <w:rPr>
                <w:rFonts w:ascii="仿宋_GB2312" w:hAnsi="仿宋_GB2312" w:cs="仿宋_GB2312" w:eastAsia="仿宋_GB2312"/>
                <w:sz w:val="21"/>
              </w:rPr>
              <w:t>SL/T 798-2020</w:t>
            </w:r>
          </w:p>
          <w:p>
            <w:pPr>
              <w:pStyle w:val="null3"/>
              <w:ind w:firstLine="420"/>
              <w:jc w:val="both"/>
            </w:pPr>
            <w:r>
              <w:rPr>
                <w:rFonts w:ascii="仿宋_GB2312" w:hAnsi="仿宋_GB2312" w:cs="仿宋_GB2312" w:eastAsia="仿宋_GB2312"/>
                <w:sz w:val="21"/>
              </w:rPr>
              <w:t>《水利一张图空间信息服务规范》</w:t>
            </w:r>
            <w:r>
              <w:rPr>
                <w:rFonts w:ascii="仿宋_GB2312" w:hAnsi="仿宋_GB2312" w:cs="仿宋_GB2312" w:eastAsia="仿宋_GB2312"/>
                <w:sz w:val="21"/>
              </w:rPr>
              <w:t>SL/T 801-2020</w:t>
            </w:r>
          </w:p>
          <w:p>
            <w:pPr>
              <w:pStyle w:val="null3"/>
              <w:ind w:firstLine="420"/>
              <w:jc w:val="both"/>
            </w:pPr>
            <w:r>
              <w:rPr>
                <w:rFonts w:ascii="仿宋_GB2312" w:hAnsi="仿宋_GB2312" w:cs="仿宋_GB2312" w:eastAsia="仿宋_GB2312"/>
                <w:sz w:val="21"/>
              </w:rPr>
              <w:t>《水利数据目录服务规范》</w:t>
            </w:r>
            <w:r>
              <w:rPr>
                <w:rFonts w:ascii="仿宋_GB2312" w:hAnsi="仿宋_GB2312" w:cs="仿宋_GB2312" w:eastAsia="仿宋_GB2312"/>
                <w:sz w:val="21"/>
              </w:rPr>
              <w:t>SL/T 799-2020</w:t>
            </w:r>
          </w:p>
          <w:p>
            <w:pPr>
              <w:pStyle w:val="null3"/>
              <w:ind w:firstLine="420"/>
              <w:jc w:val="both"/>
            </w:pPr>
            <w:r>
              <w:rPr>
                <w:rFonts w:ascii="仿宋_GB2312" w:hAnsi="仿宋_GB2312" w:cs="仿宋_GB2312" w:eastAsia="仿宋_GB2312"/>
                <w:sz w:val="21"/>
              </w:rPr>
              <w:t>等相关设计、规范、规定及技术标准。</w:t>
            </w:r>
          </w:p>
          <w:p>
            <w:pPr>
              <w:pStyle w:val="null3"/>
              <w:jc w:val="both"/>
            </w:pPr>
            <w:r>
              <w:rPr>
                <w:rFonts w:ascii="仿宋_GB2312" w:hAnsi="仿宋_GB2312" w:cs="仿宋_GB2312" w:eastAsia="仿宋_GB2312"/>
                <w:sz w:val="21"/>
              </w:rPr>
              <w:t>三、主要成果递交</w:t>
            </w:r>
          </w:p>
          <w:p>
            <w:pPr>
              <w:pStyle w:val="null3"/>
              <w:ind w:firstLine="420"/>
              <w:jc w:val="both"/>
            </w:pPr>
            <w:r>
              <w:rPr>
                <w:rFonts w:ascii="仿宋_GB2312" w:hAnsi="仿宋_GB2312" w:cs="仿宋_GB2312" w:eastAsia="仿宋_GB2312"/>
                <w:sz w:val="21"/>
              </w:rPr>
              <w:t>编制完成《陕西省智慧水利二期设计方案》。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本项目有明确的项目负责人及团队组成要求，具体详见第五章 5.6.2评分标准。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满足技术要求、满足国家及行业相关技术规范要求。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满足国家、行业相关规定、规范。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投标人应提交的相关资格证明材料1.docx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供应商须具备工程设计水利行业乙级（含乙级）以上资质，须提供有效的资质证书复印件。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项目负责人须为本单位人员并提供相应证明材料。项目负责人须具有水利相关专业高级（含高级）以上技术职称，并提供有效的高级（含高级）以上技术职称证书复印件。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声明并加盖公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投标人应提交的相关资格证明材料1.docx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服务内容及服务邀请应答表 投标函 投标人应提交的相关资格证明材料1.docx 授权委托书.docx 中小企业声明函 残疾人福利性单位声明函 标的清单 商务应答表.docx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应符合“第六章 投标文件格式”的要求</w:t>
            </w:r>
          </w:p>
        </w:tc>
        <w:tc>
          <w:tcPr>
            <w:tcW w:type="dxa" w:w="1661"/>
          </w:tcPr>
          <w:p>
            <w:pPr>
              <w:pStyle w:val="null3"/>
            </w:pPr>
            <w:r>
              <w:rPr>
                <w:rFonts w:ascii="仿宋_GB2312" w:hAnsi="仿宋_GB2312" w:cs="仿宋_GB2312" w:eastAsia="仿宋_GB2312"/>
              </w:rPr>
              <w:t>服务内容及服务邀请应答表 人员配备.docx 投标人应提交的相关资格证明材料1.docx 授权委托书.docx 中小企业声明函 商务应答表.docx 项目负责人.docx 供应商认为有必要说明的事宜（如有）.docx 投标函 承揽的类似项目情况表.docx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满足招标文件要求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供应商针对本项目报告编制结构框架及内容进行打分：供应商报告结构框架完整、编制内容全面，对评审内容中的各项要求有详细描述，切合本项目实际情况，提出步骤清晰、方案合理且具有针对性，方案能够紧扣项目实际情况，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工作进度计划及保证措施</w:t>
            </w:r>
          </w:p>
        </w:tc>
        <w:tc>
          <w:tcPr>
            <w:tcW w:type="dxa" w:w="2492"/>
          </w:tcPr>
          <w:p>
            <w:pPr>
              <w:pStyle w:val="null3"/>
            </w:pPr>
            <w:r>
              <w:rPr>
                <w:rFonts w:ascii="仿宋_GB2312" w:hAnsi="仿宋_GB2312" w:cs="仿宋_GB2312" w:eastAsia="仿宋_GB2312"/>
              </w:rPr>
              <w:t>根据供应商针对本项目工作进度计划及保证措施进行打分：工作进度计划及保证措施步骤节点清晰、切合项目实际。每项完全满足得4分，有缺陷或者不满足扣2分，缺项不得分。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根据供应商提供的针对本项目组织机构进行打分：组织机构健全、团队人员配备充分满足项目要求、专业配备齐全、职责分工明确。每项完全满足评审标准3分，有缺陷或者不满足扣1.5分，缺项不得分。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投标人应提交的相关资格证明材料1.docx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配备1名水利类相关专业正高级工程师职称的得2分，每配备1名副高级技术职称的得1分。本项最多得6分。【注】以上同一人员不得重复计分，投标文件中须提供人员身份证、职称证、在职证明（证明人员与投标人具有劳动关系的证明材料，例如劳动合同或近三个月中任意一个月社保缴纳证明）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投标人应提交的相关资格证明材料1.docx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实施经验的，每个得1分，最多得3分；【注】投标文件中须提供项目负责人身份证、职称证、在职证明（证明人员与投标人具有劳动关系的证明材料，例如劳动合同及工资发放记录或近三个月中任意一个月社保缴纳证明）复印件，并加盖单位公章。②项目负责人类似业绩须提供中标/成交通知书、合同或业主盖章的证明材料中的任意一种，证明材料中应载明项目负责人姓名，且在项目中担任项目负责人或技术负责人职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p>
            <w:pPr>
              <w:pStyle w:val="null3"/>
            </w:pPr>
            <w:r>
              <w:rPr>
                <w:rFonts w:ascii="仿宋_GB2312" w:hAnsi="仿宋_GB2312" w:cs="仿宋_GB2312" w:eastAsia="仿宋_GB2312"/>
              </w:rPr>
              <w:t>投标人应提交的相关资格证明材料1.docx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近年具有类似项目业绩，每具有一个得3分，最高得9分。 注：应附合同协议书或中标（成交）通知书或立项文件或成果文件（如论文、课题、专利等）复印件。类似项目指：2022年5月1日至投标截止日前，承揽过类似信息化项目方案编制。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投标人应提交的相关资格证明材料1.docx</w:t>
            </w:r>
          </w:p>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10×（评标基准价/投标报价）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详见附件：供应商认为有必要说明的事宜（如有）.docx</w:t>
      </w:r>
    </w:p>
    <w:p>
      <w:pPr>
        <w:pStyle w:val="null3"/>
        <w:ind w:firstLine="960"/>
      </w:pPr>
      <w:r>
        <w:rPr>
          <w:rFonts w:ascii="仿宋_GB2312" w:hAnsi="仿宋_GB2312" w:cs="仿宋_GB2312" w:eastAsia="仿宋_GB2312"/>
        </w:rPr>
        <w:t>详见附件：投标人应提交的相关资格证明材料1.docx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