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F3A70">
      <w:pPr>
        <w:bidi w:val="0"/>
        <w:jc w:val="center"/>
        <w:rPr>
          <w:rFonts w:hint="eastAsia" w:ascii="仿宋" w:hAnsi="仿宋" w:eastAsia="仿宋" w:cs="仿宋"/>
          <w:b/>
          <w:sz w:val="48"/>
          <w:szCs w:val="48"/>
          <w:highlight w:val="none"/>
          <w:lang w:val="en-US" w:eastAsia="zh-CN"/>
        </w:rPr>
      </w:pPr>
      <w:r>
        <w:rPr>
          <w:rFonts w:hint="eastAsia" w:ascii="仿宋" w:hAnsi="仿宋" w:eastAsia="仿宋" w:cs="仿宋"/>
          <w:b/>
          <w:sz w:val="48"/>
          <w:szCs w:val="48"/>
          <w:highlight w:val="none"/>
          <w:lang w:val="en-US" w:eastAsia="zh-CN"/>
        </w:rPr>
        <w:t>合同条款及格式</w:t>
      </w:r>
    </w:p>
    <w:p w14:paraId="5C1EFD10">
      <w:pPr>
        <w:spacing w:line="440" w:lineRule="exact"/>
        <w:ind w:firstLine="480" w:firstLineChars="200"/>
        <w:rPr>
          <w:rFonts w:hint="eastAsia" w:ascii="仿宋" w:hAnsi="仿宋" w:eastAsia="仿宋" w:cs="仿宋"/>
          <w:sz w:val="24"/>
          <w:highlight w:val="none"/>
        </w:rPr>
      </w:pPr>
    </w:p>
    <w:p w14:paraId="023F1073">
      <w:pPr>
        <w:pStyle w:val="6"/>
        <w:rPr>
          <w:rFonts w:hint="eastAsia" w:ascii="仿宋" w:hAnsi="仿宋" w:eastAsia="仿宋" w:cs="仿宋"/>
          <w:highlight w:val="none"/>
        </w:rPr>
      </w:pPr>
    </w:p>
    <w:p w14:paraId="2C155850">
      <w:pPr>
        <w:rPr>
          <w:rFonts w:hint="eastAsia" w:ascii="仿宋" w:hAnsi="仿宋" w:eastAsia="仿宋" w:cs="仿宋"/>
          <w:highlight w:val="none"/>
        </w:rPr>
      </w:pPr>
    </w:p>
    <w:p w14:paraId="2B125D46">
      <w:pPr>
        <w:pStyle w:val="6"/>
        <w:rPr>
          <w:rFonts w:hint="eastAsia" w:ascii="仿宋" w:hAnsi="仿宋" w:eastAsia="仿宋" w:cs="仿宋"/>
          <w:highlight w:val="none"/>
        </w:rPr>
      </w:pPr>
    </w:p>
    <w:p w14:paraId="326A1D3D">
      <w:pPr>
        <w:rPr>
          <w:rFonts w:hint="eastAsia" w:ascii="仿宋" w:hAnsi="仿宋" w:eastAsia="仿宋" w:cs="仿宋"/>
          <w:highlight w:val="none"/>
        </w:rPr>
      </w:pPr>
    </w:p>
    <w:p w14:paraId="7D837EF5">
      <w:pPr>
        <w:bidi w:val="0"/>
        <w:jc w:val="center"/>
        <w:rPr>
          <w:rFonts w:hint="eastAsia" w:ascii="仿宋" w:hAnsi="仿宋" w:eastAsia="仿宋" w:cs="仿宋"/>
          <w:b/>
          <w:sz w:val="48"/>
          <w:szCs w:val="48"/>
          <w:highlight w:val="none"/>
          <w:lang w:val="en-US" w:eastAsia="zh-CN"/>
        </w:rPr>
      </w:pPr>
    </w:p>
    <w:p w14:paraId="079A33B4">
      <w:pPr>
        <w:bidi w:val="0"/>
        <w:jc w:val="center"/>
        <w:rPr>
          <w:rFonts w:hint="eastAsia" w:ascii="仿宋" w:hAnsi="仿宋" w:eastAsia="仿宋" w:cs="仿宋"/>
          <w:b/>
          <w:bCs/>
          <w:sz w:val="44"/>
          <w:szCs w:val="44"/>
          <w:highlight w:val="none"/>
          <w:lang w:eastAsia="zh-CN"/>
        </w:rPr>
      </w:pPr>
      <w:r>
        <w:rPr>
          <w:rFonts w:hint="eastAsia" w:ascii="仿宋" w:hAnsi="仿宋" w:eastAsia="仿宋" w:cs="仿宋"/>
          <w:b/>
          <w:sz w:val="48"/>
          <w:szCs w:val="48"/>
          <w:highlight w:val="none"/>
          <w:lang w:val="en-US" w:eastAsia="zh-CN"/>
        </w:rPr>
        <w:t>“2026优质网络主播陕西行（西安站）”活动</w:t>
      </w:r>
    </w:p>
    <w:p w14:paraId="2461447C">
      <w:pPr>
        <w:pStyle w:val="6"/>
        <w:rPr>
          <w:rFonts w:hint="eastAsia" w:ascii="仿宋" w:hAnsi="仿宋" w:eastAsia="仿宋" w:cs="仿宋"/>
          <w:b/>
          <w:bCs/>
          <w:sz w:val="44"/>
          <w:szCs w:val="44"/>
          <w:highlight w:val="none"/>
          <w:lang w:eastAsia="zh-CN"/>
        </w:rPr>
      </w:pPr>
    </w:p>
    <w:p w14:paraId="57D9574B">
      <w:pPr>
        <w:pStyle w:val="6"/>
        <w:rPr>
          <w:rFonts w:hint="eastAsia" w:ascii="仿宋" w:hAnsi="仿宋" w:eastAsia="仿宋" w:cs="仿宋"/>
          <w:b/>
          <w:bCs/>
          <w:sz w:val="44"/>
          <w:szCs w:val="44"/>
          <w:highlight w:val="none"/>
          <w:lang w:eastAsia="zh-CN"/>
        </w:rPr>
      </w:pPr>
    </w:p>
    <w:p w14:paraId="0BC561A6">
      <w:pPr>
        <w:rPr>
          <w:rFonts w:hint="eastAsia" w:ascii="仿宋" w:hAnsi="仿宋" w:eastAsia="仿宋" w:cs="仿宋"/>
          <w:b/>
          <w:bCs/>
          <w:sz w:val="44"/>
          <w:szCs w:val="44"/>
          <w:highlight w:val="none"/>
          <w:lang w:eastAsia="zh-CN"/>
        </w:rPr>
      </w:pPr>
    </w:p>
    <w:p w14:paraId="50325316">
      <w:pPr>
        <w:pStyle w:val="6"/>
        <w:rPr>
          <w:rFonts w:hint="eastAsia" w:ascii="仿宋" w:hAnsi="仿宋" w:eastAsia="仿宋" w:cs="仿宋"/>
          <w:b/>
          <w:bCs/>
          <w:sz w:val="44"/>
          <w:szCs w:val="44"/>
          <w:highlight w:val="none"/>
          <w:lang w:eastAsia="zh-CN"/>
        </w:rPr>
      </w:pPr>
    </w:p>
    <w:p w14:paraId="1FED1F24">
      <w:pPr>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服务合同</w:t>
      </w:r>
    </w:p>
    <w:p w14:paraId="6AEFC176">
      <w:pPr>
        <w:pStyle w:val="6"/>
        <w:rPr>
          <w:rFonts w:hint="eastAsia" w:ascii="仿宋" w:hAnsi="仿宋" w:eastAsia="仿宋" w:cs="仿宋"/>
          <w:b/>
          <w:bCs/>
          <w:sz w:val="44"/>
          <w:szCs w:val="44"/>
          <w:highlight w:val="none"/>
          <w:lang w:val="en-US" w:eastAsia="zh-CN"/>
        </w:rPr>
      </w:pPr>
    </w:p>
    <w:p w14:paraId="193CF86F">
      <w:pPr>
        <w:rPr>
          <w:rFonts w:hint="eastAsia" w:ascii="仿宋" w:hAnsi="仿宋" w:eastAsia="仿宋" w:cs="仿宋"/>
          <w:b/>
          <w:bCs/>
          <w:sz w:val="44"/>
          <w:szCs w:val="44"/>
          <w:highlight w:val="none"/>
          <w:lang w:val="en-US" w:eastAsia="zh-CN"/>
        </w:rPr>
      </w:pPr>
    </w:p>
    <w:p w14:paraId="5A407F7B">
      <w:pPr>
        <w:pStyle w:val="6"/>
        <w:rPr>
          <w:rFonts w:hint="eastAsia" w:ascii="仿宋" w:hAnsi="仿宋" w:eastAsia="仿宋" w:cs="仿宋"/>
          <w:b/>
          <w:bCs/>
          <w:sz w:val="44"/>
          <w:szCs w:val="44"/>
          <w:highlight w:val="none"/>
          <w:lang w:val="en-US" w:eastAsia="zh-CN"/>
        </w:rPr>
      </w:pPr>
    </w:p>
    <w:p w14:paraId="780FDE76">
      <w:pPr>
        <w:rPr>
          <w:rFonts w:hint="eastAsia" w:ascii="仿宋" w:hAnsi="仿宋" w:eastAsia="仿宋" w:cs="仿宋"/>
          <w:highlight w:val="none"/>
          <w:lang w:val="en-US" w:eastAsia="zh-CN"/>
        </w:rPr>
      </w:pPr>
    </w:p>
    <w:p w14:paraId="159C304C">
      <w:pPr>
        <w:pStyle w:val="6"/>
        <w:rPr>
          <w:rFonts w:hint="eastAsia" w:ascii="仿宋" w:hAnsi="仿宋" w:eastAsia="仿宋" w:cs="仿宋"/>
          <w:b/>
          <w:bCs/>
          <w:sz w:val="44"/>
          <w:szCs w:val="44"/>
          <w:highlight w:val="none"/>
          <w:lang w:val="en-US" w:eastAsia="zh-CN"/>
        </w:rPr>
      </w:pPr>
    </w:p>
    <w:p w14:paraId="0C30B73E">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  同  编  号：</w:t>
      </w:r>
    </w:p>
    <w:p w14:paraId="43801E7A">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  目  名  称：</w:t>
      </w:r>
    </w:p>
    <w:p w14:paraId="6296768C">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w:t>
      </w:r>
    </w:p>
    <w:p w14:paraId="1C64E9BF">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成交人（</w:t>
      </w:r>
      <w:r>
        <w:rPr>
          <w:rFonts w:hint="eastAsia" w:ascii="仿宋" w:hAnsi="仿宋" w:eastAsia="仿宋" w:cs="仿宋"/>
          <w:sz w:val="28"/>
          <w:szCs w:val="28"/>
          <w:highlight w:val="none"/>
          <w:lang w:val="en-US" w:eastAsia="zh-CN"/>
        </w:rPr>
        <w:t>乙</w:t>
      </w:r>
      <w:r>
        <w:rPr>
          <w:rFonts w:hint="eastAsia" w:ascii="仿宋" w:hAnsi="仿宋" w:eastAsia="仿宋" w:cs="仿宋"/>
          <w:sz w:val="28"/>
          <w:szCs w:val="28"/>
          <w:highlight w:val="none"/>
        </w:rPr>
        <w:t>方）：</w:t>
      </w:r>
    </w:p>
    <w:p w14:paraId="2D6279AE">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点： </w:t>
      </w:r>
    </w:p>
    <w:p w14:paraId="79AC505B">
      <w:pPr>
        <w:spacing w:line="500" w:lineRule="exact"/>
        <w:ind w:firstLine="1120" w:firstLineChars="400"/>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间：</w:t>
      </w:r>
    </w:p>
    <w:p w14:paraId="721B25F3">
      <w:pPr>
        <w:pStyle w:val="6"/>
        <w:rPr>
          <w:rFonts w:hint="eastAsia" w:ascii="仿宋" w:hAnsi="仿宋" w:eastAsia="仿宋" w:cs="仿宋"/>
          <w:highlight w:val="none"/>
        </w:rPr>
        <w:sectPr>
          <w:footerReference r:id="rId3" w:type="default"/>
          <w:pgSz w:w="11907" w:h="16840"/>
          <w:pgMar w:top="1418" w:right="1417" w:bottom="1417" w:left="1417" w:header="907" w:footer="654" w:gutter="0"/>
          <w:cols w:space="720" w:num="1"/>
          <w:titlePg/>
          <w:docGrid w:linePitch="312" w:charSpace="0"/>
        </w:sectPr>
      </w:pPr>
    </w:p>
    <w:p w14:paraId="3F23AE53">
      <w:pPr>
        <w:pStyle w:val="7"/>
        <w:keepNext w:val="0"/>
        <w:keepLines w:val="0"/>
        <w:pageBreakBefore w:val="0"/>
        <w:kinsoku/>
        <w:wordWrap/>
        <w:overflowPunct/>
        <w:topLinePunct w:val="0"/>
        <w:autoSpaceDE/>
        <w:autoSpaceDN/>
        <w:bidi w:val="0"/>
        <w:adjustRightInd w:val="0"/>
        <w:snapToGrid w:val="0"/>
        <w:spacing w:line="360" w:lineRule="auto"/>
        <w:ind w:firstLine="210"/>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（本格式条款供双方签订合同参考，采购人可根据项目的实际情况增减条款和内容（实质性条款除外））</w:t>
      </w:r>
    </w:p>
    <w:p w14:paraId="354C7E18">
      <w:pPr>
        <w:pStyle w:val="1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根据《中华人民共和国政府采购法》及实施条例、《中华人民共和国民法典》和</w:t>
      </w:r>
      <w:r>
        <w:rPr>
          <w:rFonts w:hint="eastAsia" w:ascii="仿宋" w:hAnsi="仿宋" w:eastAsia="仿宋" w:cs="仿宋"/>
          <w:color w:val="000000"/>
          <w:sz w:val="24"/>
          <w:szCs w:val="24"/>
          <w:highlight w:val="none"/>
          <w:u w:val="single"/>
          <w:lang w:val="en-US" w:eastAsia="zh-CN"/>
        </w:rPr>
        <w:t>“2026优质网络主播陕西行（西安站）”活动</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）的采购文件、响应文件等有关规定，为确保甲方采购项目的顺利实施，甲、乙双方在平等自愿原则下签订本合同，并共同遵守如下条款，其主要要求如下：</w:t>
      </w:r>
    </w:p>
    <w:p w14:paraId="0EEA5B62">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   合同标的及合同价</w:t>
      </w:r>
    </w:p>
    <w:p w14:paraId="2DE3C03D">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1、合同标的及标的物</w:t>
      </w:r>
    </w:p>
    <w:p w14:paraId="062F9D79">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项目名称：</w:t>
      </w:r>
      <w:r>
        <w:rPr>
          <w:rFonts w:hint="eastAsia" w:ascii="仿宋" w:hAnsi="仿宋" w:eastAsia="仿宋" w:cs="仿宋"/>
          <w:color w:val="000000"/>
          <w:sz w:val="24"/>
          <w:szCs w:val="24"/>
          <w:highlight w:val="none"/>
          <w:u w:val="single"/>
          <w:lang w:val="en-US" w:eastAsia="zh-CN"/>
        </w:rPr>
        <w:t xml:space="preserve">               </w:t>
      </w:r>
    </w:p>
    <w:p w14:paraId="2D8E79D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2、合同价</w:t>
      </w:r>
    </w:p>
    <w:p w14:paraId="3D8161FE">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rPr>
        <w:t>，人民币小写：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none"/>
        </w:rPr>
        <w:t>。</w:t>
      </w:r>
    </w:p>
    <w:p w14:paraId="66FB0B30">
      <w:pPr>
        <w:keepNext w:val="0"/>
        <w:keepLines w:val="0"/>
        <w:pageBreakBefore w:val="0"/>
        <w:numPr>
          <w:ilvl w:val="0"/>
          <w:numId w:val="1"/>
        </w:numPr>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 xml:space="preserve">  服务期限</w:t>
      </w:r>
    </w:p>
    <w:p w14:paraId="2C85B193">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bookmarkStart w:id="0" w:name="_Toc185395249"/>
      <w:bookmarkStart w:id="1" w:name="_Toc237145406"/>
      <w:bookmarkStart w:id="2" w:name="_Toc239568418"/>
      <w:bookmarkStart w:id="3" w:name="_Toc239233914"/>
      <w:bookmarkStart w:id="4" w:name="_Toc225244852"/>
      <w:bookmarkStart w:id="5" w:name="_Toc212019594"/>
      <w:bookmarkStart w:id="6" w:name="_Toc283019214"/>
      <w:bookmarkStart w:id="7" w:name="_Toc238984975"/>
      <w:bookmarkStart w:id="8" w:name="_Toc282696226"/>
      <w:bookmarkStart w:id="9" w:name="_Toc251768862"/>
      <w:bookmarkStart w:id="10" w:name="_Toc232492928"/>
      <w:bookmarkStart w:id="11" w:name="_Toc286993786"/>
      <w:bookmarkStart w:id="12" w:name="_Toc241833903"/>
      <w:bookmarkStart w:id="13" w:name="_Toc211854449"/>
      <w:bookmarkStart w:id="14" w:name="_Toc247334841"/>
      <w:bookmarkStart w:id="15" w:name="_Toc225654644"/>
      <w:bookmarkStart w:id="16" w:name="_Toc211911348"/>
      <w:bookmarkStart w:id="17" w:name="_Toc225670751"/>
      <w:r>
        <w:rPr>
          <w:rFonts w:hint="eastAsia" w:ascii="仿宋" w:hAnsi="仿宋" w:eastAsia="仿宋" w:cs="仿宋"/>
          <w:color w:val="000000"/>
          <w:sz w:val="24"/>
          <w:szCs w:val="24"/>
          <w:highlight w:val="none"/>
          <w:u w:val="single"/>
          <w:lang w:val="en-US" w:eastAsia="zh-CN"/>
        </w:rPr>
        <w:t xml:space="preserve">            </w:t>
      </w:r>
    </w:p>
    <w:p w14:paraId="169410DC">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   服务内容</w:t>
      </w:r>
    </w:p>
    <w:p w14:paraId="5479DF2D">
      <w:pPr>
        <w:keepNext w:val="0"/>
        <w:keepLines w:val="0"/>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具体内容以磋商文件“第三章 磋商项目技术、服务、商务及其他要求”以及成交供应商“磋商响应文件”为准。</w:t>
      </w:r>
    </w:p>
    <w:p w14:paraId="4E55528D">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付款方式和程序</w:t>
      </w:r>
    </w:p>
    <w:p w14:paraId="3F7F4ED4">
      <w:pPr>
        <w:keepNext w:val="0"/>
        <w:keepLines w:val="0"/>
        <w:pageBreakBefore w:val="0"/>
        <w:tabs>
          <w:tab w:val="left" w:pos="669"/>
        </w:tabs>
        <w:kinsoku/>
        <w:wordWrap/>
        <w:overflowPunct/>
        <w:topLinePunct w:val="0"/>
        <w:autoSpaceDE/>
        <w:autoSpaceDN/>
        <w:bidi w:val="0"/>
        <w:adjustRightInd w:val="0"/>
        <w:snapToGrid w:val="0"/>
        <w:spacing w:line="360" w:lineRule="auto"/>
        <w:ind w:left="-426" w:firstLine="960" w:firstLine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1、按下列比例支付价款：</w:t>
      </w:r>
    </w:p>
    <w:p w14:paraId="1DEBE19E">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服务费用分叁次支付，合同签订完毕并收到供应商开具的等额合法有效的增值税正式发票之日起10个工作日内，以银行转账形式向其支付本合同总费用的50%；完成执行方案设计和物料准备后，收到供应商开具的等额合法有效的增值税正式发票之日起10个工作日内，以银行转账形式向其支付本合同总费用的30%；项目全部履约完成后，绩效目标已完成并出具验收报告，收到供应商开具的等额合法有效的增值税正式发票之日起30个工作日内，支付合同总费用的的20%。</w:t>
      </w:r>
    </w:p>
    <w:p w14:paraId="5FCEF714">
      <w:pPr>
        <w:keepNext w:val="0"/>
        <w:keepLines w:val="0"/>
        <w:pageBreakBefore w:val="0"/>
        <w:tabs>
          <w:tab w:val="left" w:pos="669"/>
        </w:tabs>
        <w:kinsoku/>
        <w:wordWrap/>
        <w:overflowPunct/>
        <w:topLinePunct w:val="0"/>
        <w:autoSpaceDE/>
        <w:autoSpaceDN/>
        <w:bidi w:val="0"/>
        <w:adjustRightInd w:val="0"/>
        <w:snapToGrid w:val="0"/>
        <w:spacing w:line="360" w:lineRule="auto"/>
        <w:ind w:left="468" w:leftChars="223" w:firstLine="0" w:firstLineChars="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2、支付方式：银行转账。</w:t>
      </w:r>
    </w:p>
    <w:p w14:paraId="1ED1D5CC">
      <w:pPr>
        <w:pStyle w:val="1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Cs/>
          <w:sz w:val="24"/>
          <w:szCs w:val="24"/>
          <w:highlight w:val="none"/>
        </w:rPr>
      </w:pPr>
      <w:r>
        <w:rPr>
          <w:rFonts w:hint="eastAsia" w:ascii="仿宋" w:hAnsi="仿宋" w:eastAsia="仿宋" w:cs="仿宋"/>
          <w:sz w:val="24"/>
          <w:szCs w:val="24"/>
          <w:highlight w:val="none"/>
        </w:rPr>
        <w:t>3、结算方式：供应商持成交通知书、发票、合同</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，与采购人结算。</w:t>
      </w:r>
    </w:p>
    <w:p w14:paraId="7012EEE6">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第五条   知识产权（若有）</w:t>
      </w:r>
    </w:p>
    <w:p w14:paraId="52A3BE5D">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乙方应保证所提供的服务或其任何一部分均不会侵犯任何第三方的专利权、商标权或著作权。</w:t>
      </w:r>
    </w:p>
    <w:p w14:paraId="316A9FA5">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第六条  无产权瑕疵条款（如有）</w:t>
      </w:r>
    </w:p>
    <w:p w14:paraId="599067AA">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乙方保证所提供的服务的所有权完全属于乙方且无任何抵押、查封等产权瑕疵。如有产权瑕疵的，视为乙方违约。乙方应负担由此而产生的一切损失。</w:t>
      </w:r>
    </w:p>
    <w:p w14:paraId="5133D89F">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第七条   履约保证金</w:t>
      </w:r>
    </w:p>
    <w:p w14:paraId="45FCF022">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C12F70C">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第八条  甲方的权利和义务</w:t>
      </w:r>
    </w:p>
    <w:p w14:paraId="039BCB55">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6AA18E6">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2、负责检查监督乙方管理工作的实施及制度的执行情况。</w:t>
      </w:r>
    </w:p>
    <w:p w14:paraId="2F7FC9C2">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3、根据本合同规定，按时向乙方支付应付服务费用。</w:t>
      </w:r>
    </w:p>
    <w:p w14:paraId="3DD07821">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4、国家法律、法规所规定由甲方承担的其它责任。</w:t>
      </w:r>
    </w:p>
    <w:p w14:paraId="1FEA0E16">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第九条  乙方的权利和义务</w:t>
      </w:r>
    </w:p>
    <w:p w14:paraId="777E887F">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1、对本合同规定的委托服务范围内的项目享有管理权及服务义务。</w:t>
      </w:r>
    </w:p>
    <w:p w14:paraId="7F5F242E">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2、根据本合同的规定向甲方收取相关服务费用，并有权在本项目管理范围内管理及合理使用。</w:t>
      </w:r>
    </w:p>
    <w:p w14:paraId="6B93B5E8">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3、及时向甲方通告本项目服务范围内有关服务的重大事项，及时配合处理投诉。</w:t>
      </w:r>
    </w:p>
    <w:p w14:paraId="2C4951A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4、接受项目行业管理部门及政府有关部门的指导，接受甲方的监督。</w:t>
      </w:r>
    </w:p>
    <w:p w14:paraId="7294BA17">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5、国家法律、法规所规定由乙方承担的其它责任。</w:t>
      </w:r>
    </w:p>
    <w:p w14:paraId="493C7EB1">
      <w:pPr>
        <w:keepNext w:val="0"/>
        <w:keepLines w:val="0"/>
        <w:pageBreakBefore w:val="0"/>
        <w:kinsoku/>
        <w:wordWrap/>
        <w:overflowPunct/>
        <w:topLinePunct w:val="0"/>
        <w:autoSpaceDE/>
        <w:autoSpaceDN/>
        <w:bidi w:val="0"/>
        <w:adjustRightInd w:val="0"/>
        <w:snapToGrid w:val="0"/>
        <w:spacing w:line="360" w:lineRule="auto"/>
        <w:ind w:left="426" w:firstLine="0" w:firstLineChars="0"/>
        <w:rPr>
          <w:rFonts w:hint="eastAsia" w:ascii="仿宋" w:hAnsi="仿宋" w:eastAsia="仿宋" w:cs="仿宋"/>
          <w:b w:val="0"/>
          <w:color w:val="000000"/>
          <w:sz w:val="24"/>
          <w:szCs w:val="24"/>
          <w:highlight w:val="none"/>
          <w:lang w:val="en-US" w:eastAsia="zh-CN"/>
        </w:rPr>
      </w:pPr>
      <w:r>
        <w:rPr>
          <w:rFonts w:hint="eastAsia" w:ascii="仿宋" w:hAnsi="仿宋" w:eastAsia="仿宋" w:cs="仿宋"/>
          <w:b/>
          <w:color w:val="000000"/>
          <w:sz w:val="24"/>
          <w:szCs w:val="24"/>
          <w:highlight w:val="none"/>
        </w:rPr>
        <w:t xml:space="preserve">第十条  </w:t>
      </w:r>
      <w:r>
        <w:rPr>
          <w:rFonts w:hint="eastAsia" w:ascii="仿宋" w:hAnsi="仿宋" w:eastAsia="仿宋" w:cs="仿宋"/>
          <w:b/>
          <w:color w:val="000000"/>
          <w:sz w:val="24"/>
          <w:szCs w:val="24"/>
          <w:highlight w:val="none"/>
          <w:lang w:eastAsia="zh-CN"/>
        </w:rPr>
        <w:t>保密、泄密条款</w:t>
      </w:r>
    </w:p>
    <w:p w14:paraId="5BA04873">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1、</w:t>
      </w:r>
      <w:r>
        <w:rPr>
          <w:rFonts w:hint="eastAsia" w:ascii="仿宋" w:hAnsi="仿宋" w:eastAsia="仿宋" w:cs="仿宋"/>
          <w:b w:val="0"/>
          <w:color w:val="000000"/>
          <w:sz w:val="24"/>
          <w:szCs w:val="24"/>
          <w:highlight w:val="none"/>
        </w:rPr>
        <w:t>双方应当对本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的内容、因履行本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或在本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期间获得的或收到的对方的商务等信息保守秘密，未经信息披露方书面事先同意，不得向本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以外的任何第三方披露。</w:t>
      </w:r>
    </w:p>
    <w:p w14:paraId="080B159A">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2、</w:t>
      </w:r>
      <w:r>
        <w:rPr>
          <w:rFonts w:hint="eastAsia" w:ascii="仿宋" w:hAnsi="仿宋" w:eastAsia="仿宋" w:cs="仿宋"/>
          <w:b w:val="0"/>
          <w:color w:val="000000"/>
          <w:sz w:val="24"/>
          <w:szCs w:val="24"/>
          <w:highlight w:val="none"/>
        </w:rPr>
        <w:t>除非得到另一方的书面许可，甲乙双方均不得将本合同中的内容及在本合同执行过程中获得的对方的商业信息向任何第三方泄露</w:t>
      </w:r>
      <w:r>
        <w:rPr>
          <w:rFonts w:hint="eastAsia" w:ascii="仿宋" w:hAnsi="仿宋" w:eastAsia="仿宋" w:cs="仿宋"/>
          <w:b w:val="0"/>
          <w:color w:val="000000"/>
          <w:sz w:val="24"/>
          <w:szCs w:val="24"/>
          <w:highlight w:val="none"/>
          <w:lang w:eastAsia="zh-CN"/>
        </w:rPr>
        <w:t>。</w:t>
      </w:r>
    </w:p>
    <w:p w14:paraId="021F0559">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一</w:t>
      </w:r>
      <w:r>
        <w:rPr>
          <w:rFonts w:hint="eastAsia" w:ascii="仿宋" w:hAnsi="仿宋" w:eastAsia="仿宋" w:cs="仿宋"/>
          <w:b/>
          <w:color w:val="000000"/>
          <w:sz w:val="24"/>
          <w:szCs w:val="24"/>
          <w:highlight w:val="none"/>
        </w:rPr>
        <w:t>条  违约责任</w:t>
      </w:r>
    </w:p>
    <w:p w14:paraId="415BD595">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1、甲乙双方必须遵守本合同并执行合同中的各项规定，保证本合同的正常履行。</w:t>
      </w:r>
    </w:p>
    <w:p w14:paraId="47E0C245">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636E7A">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二</w:t>
      </w:r>
      <w:r>
        <w:rPr>
          <w:rFonts w:hint="eastAsia" w:ascii="仿宋" w:hAnsi="仿宋" w:eastAsia="仿宋" w:cs="仿宋"/>
          <w:b/>
          <w:color w:val="000000"/>
          <w:sz w:val="24"/>
          <w:szCs w:val="24"/>
          <w:highlight w:val="none"/>
        </w:rPr>
        <w:t>条  不可抗力事件处理</w:t>
      </w:r>
    </w:p>
    <w:p w14:paraId="63EDE198">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1、在合同有效期内，任何一方因不可抗力事件导致不能履行合同，则合同履行期可延长，其延长期与不可抗力影响期相同。</w:t>
      </w:r>
    </w:p>
    <w:p w14:paraId="539D80D4">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2、不可抗力事件发生后，应立即通知对方，并寄送有关权威机构出具的证明。</w:t>
      </w:r>
    </w:p>
    <w:p w14:paraId="4B2CF81A">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3、不可抗力事件延续XX天以上，双方应通过友好协商，确定是否继续履行合同。</w:t>
      </w:r>
    </w:p>
    <w:p w14:paraId="2F8637E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仿宋" w:hAnsi="仿宋" w:eastAsia="仿宋" w:cs="仿宋"/>
          <w:color w:val="000000"/>
          <w:sz w:val="24"/>
          <w:szCs w:val="24"/>
          <w:highlight w:val="none"/>
        </w:rPr>
      </w:pPr>
      <w:bookmarkStart w:id="18" w:name="_Toc238984980"/>
      <w:bookmarkStart w:id="19" w:name="_Toc286993792"/>
      <w:bookmarkStart w:id="20" w:name="_Toc225670756"/>
      <w:bookmarkStart w:id="21" w:name="_Toc239568423"/>
      <w:bookmarkStart w:id="22" w:name="_Toc211911353"/>
      <w:bookmarkStart w:id="23" w:name="_Toc212019599"/>
      <w:bookmarkStart w:id="24" w:name="_Toc232492933"/>
      <w:bookmarkStart w:id="25" w:name="_Toc247334846"/>
      <w:bookmarkStart w:id="26" w:name="_Toc225244857"/>
      <w:bookmarkStart w:id="27" w:name="_Toc225654649"/>
      <w:bookmarkStart w:id="28" w:name="_Toc251768867"/>
      <w:bookmarkStart w:id="29" w:name="_Toc241833908"/>
      <w:bookmarkStart w:id="30" w:name="_Toc237145411"/>
      <w:bookmarkStart w:id="31" w:name="_Toc239233919"/>
      <w:bookmarkStart w:id="32" w:name="_Toc185395254"/>
      <w:bookmarkStart w:id="33" w:name="_Toc211854454"/>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三</w:t>
      </w:r>
      <w:r>
        <w:rPr>
          <w:rFonts w:hint="eastAsia" w:ascii="仿宋" w:hAnsi="仿宋" w:eastAsia="仿宋" w:cs="仿宋"/>
          <w:b/>
          <w:color w:val="000000"/>
          <w:sz w:val="24"/>
          <w:szCs w:val="24"/>
          <w:highlight w:val="none"/>
        </w:rPr>
        <w:t>条  合同的变更和终止</w:t>
      </w:r>
    </w:p>
    <w:p w14:paraId="04B70371">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除《中华人民共和国政府采购法》第49条、第50条第二款规定的情形外，本合同一经签订，甲乙双方不得擅自变更、中止或终止合同。</w:t>
      </w:r>
    </w:p>
    <w:p w14:paraId="081B8910">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四</w:t>
      </w:r>
      <w:r>
        <w:rPr>
          <w:rFonts w:hint="eastAsia" w:ascii="仿宋" w:hAnsi="仿宋" w:eastAsia="仿宋" w:cs="仿宋"/>
          <w:b/>
          <w:color w:val="000000"/>
          <w:sz w:val="24"/>
          <w:szCs w:val="24"/>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B192FA">
      <w:pPr>
        <w:pStyle w:val="1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1、在执行本合同中发生的或与本合同有关的争端，双方应通过友好协商解决，经协商在</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天内不能达成协议时，则采取以下第</w:t>
      </w:r>
      <w:r>
        <w:rPr>
          <w:rFonts w:hint="eastAsia" w:ascii="仿宋" w:hAnsi="仿宋" w:eastAsia="仿宋" w:cs="仿宋"/>
          <w:color w:val="000000"/>
          <w:sz w:val="24"/>
          <w:szCs w:val="24"/>
          <w:highlight w:val="none"/>
          <w:u w:val="single"/>
        </w:rPr>
        <w:t>1</w:t>
      </w:r>
      <w:r>
        <w:rPr>
          <w:rFonts w:hint="eastAsia" w:ascii="仿宋" w:hAnsi="仿宋" w:eastAsia="仿宋" w:cs="仿宋"/>
          <w:color w:val="000000"/>
          <w:sz w:val="24"/>
          <w:szCs w:val="24"/>
          <w:highlight w:val="none"/>
        </w:rPr>
        <w:t>种方式解决争议：</w:t>
      </w:r>
    </w:p>
    <w:p w14:paraId="5CA16F09">
      <w:pPr>
        <w:pStyle w:val="1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（1）向甲方所在地有管辖权的人民法院提起诉讼；</w:t>
      </w:r>
    </w:p>
    <w:p w14:paraId="2F6D87A8">
      <w:pPr>
        <w:pStyle w:val="12"/>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仲裁委员会按其仲裁规则申请仲裁。</w:t>
      </w:r>
    </w:p>
    <w:p w14:paraId="4EC6AA3C">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2、在仲裁期间，本合同应继续履行。</w:t>
      </w:r>
    </w:p>
    <w:p w14:paraId="1F8AC5FD">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bookmarkStart w:id="34" w:name="_Toc225670757"/>
      <w:bookmarkStart w:id="35" w:name="_Toc241833909"/>
      <w:bookmarkStart w:id="36" w:name="_Toc232492934"/>
      <w:bookmarkStart w:id="37" w:name="_Toc211854455"/>
      <w:bookmarkStart w:id="38" w:name="_Toc225244858"/>
      <w:bookmarkStart w:id="39" w:name="_Toc286993793"/>
      <w:bookmarkStart w:id="40" w:name="_Toc225654650"/>
      <w:bookmarkStart w:id="41" w:name="_Toc239568424"/>
      <w:bookmarkStart w:id="42" w:name="_Toc211911354"/>
      <w:bookmarkStart w:id="43" w:name="_Toc237145412"/>
      <w:bookmarkStart w:id="44" w:name="_Toc212019600"/>
      <w:bookmarkStart w:id="45" w:name="_Toc185395255"/>
      <w:bookmarkStart w:id="46" w:name="_Toc238984981"/>
      <w:bookmarkStart w:id="47" w:name="_Toc282696231"/>
      <w:bookmarkStart w:id="48" w:name="_Toc251768868"/>
      <w:bookmarkStart w:id="49" w:name="_Toc283019219"/>
      <w:bookmarkStart w:id="50" w:name="_Toc239233920"/>
      <w:bookmarkStart w:id="51" w:name="_Toc247334847"/>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五</w:t>
      </w:r>
      <w:r>
        <w:rPr>
          <w:rFonts w:hint="eastAsia" w:ascii="仿宋" w:hAnsi="仿宋" w:eastAsia="仿宋" w:cs="仿宋"/>
          <w:b/>
          <w:color w:val="000000"/>
          <w:sz w:val="24"/>
          <w:szCs w:val="24"/>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color w:val="000000"/>
          <w:sz w:val="24"/>
          <w:szCs w:val="24"/>
          <w:highlight w:val="none"/>
        </w:rPr>
        <w:t>生效及其他</w:t>
      </w:r>
    </w:p>
    <w:p w14:paraId="2FD41753">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1、合同经双方法定代表人（单位负责人）或授权委托代理人签字并加盖单位公章后生效。</w:t>
      </w:r>
    </w:p>
    <w:p w14:paraId="78AC5788">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6A8D95B3">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3、本合同一式陆份，自双方签章之日起</w:t>
      </w:r>
      <w:r>
        <w:rPr>
          <w:rFonts w:hint="eastAsia" w:ascii="仿宋" w:hAnsi="仿宋" w:eastAsia="仿宋" w:cs="仿宋"/>
          <w:color w:val="000000"/>
          <w:sz w:val="24"/>
          <w:szCs w:val="24"/>
          <w:highlight w:val="none"/>
          <w:lang w:val="en-US" w:eastAsia="zh-CN"/>
        </w:rPr>
        <w:t>生</w:t>
      </w:r>
      <w:r>
        <w:rPr>
          <w:rFonts w:hint="eastAsia" w:ascii="仿宋" w:hAnsi="仿宋" w:eastAsia="仿宋" w:cs="仿宋"/>
          <w:color w:val="000000"/>
          <w:sz w:val="24"/>
          <w:szCs w:val="24"/>
          <w:highlight w:val="none"/>
        </w:rPr>
        <w:t>效。甲方</w:t>
      </w:r>
      <w:r>
        <w:rPr>
          <w:rFonts w:hint="eastAsia" w:ascii="仿宋" w:hAnsi="仿宋" w:eastAsia="仿宋" w:cs="仿宋"/>
          <w:color w:val="000000"/>
          <w:sz w:val="24"/>
          <w:szCs w:val="24"/>
          <w:highlight w:val="none"/>
          <w:lang w:val="en-US" w:eastAsia="zh-CN"/>
        </w:rPr>
        <w:t>叁</w:t>
      </w:r>
      <w:r>
        <w:rPr>
          <w:rFonts w:hint="eastAsia" w:ascii="仿宋" w:hAnsi="仿宋" w:eastAsia="仿宋" w:cs="仿宋"/>
          <w:color w:val="000000"/>
          <w:sz w:val="24"/>
          <w:szCs w:val="24"/>
          <w:highlight w:val="none"/>
        </w:rPr>
        <w:t>份，乙方贰份，同级财政部门备案壹份，具有同等法律效力。</w:t>
      </w:r>
    </w:p>
    <w:p w14:paraId="513D805F">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六</w:t>
      </w:r>
      <w:r>
        <w:rPr>
          <w:rFonts w:hint="eastAsia" w:ascii="仿宋" w:hAnsi="仿宋" w:eastAsia="仿宋" w:cs="仿宋"/>
          <w:b/>
          <w:color w:val="000000"/>
          <w:sz w:val="24"/>
          <w:szCs w:val="24"/>
          <w:highlight w:val="none"/>
        </w:rPr>
        <w:t>条  附件</w:t>
      </w:r>
    </w:p>
    <w:p w14:paraId="434518E9">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w:t>
      </w:r>
    </w:p>
    <w:p w14:paraId="39A172AB">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2、澄清文件</w:t>
      </w:r>
    </w:p>
    <w:p w14:paraId="219A3C15">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3、响应文件</w:t>
      </w:r>
    </w:p>
    <w:p w14:paraId="02B67CCC">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4、成交通知书</w:t>
      </w:r>
    </w:p>
    <w:p w14:paraId="03E75EC8">
      <w:pPr>
        <w:pStyle w:val="13"/>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
          <w:bCs/>
          <w:color w:val="000000"/>
          <w:sz w:val="24"/>
          <w:szCs w:val="24"/>
          <w:highlight w:val="none"/>
        </w:rPr>
      </w:pPr>
      <w:r>
        <w:rPr>
          <w:rFonts w:hint="eastAsia" w:ascii="仿宋" w:hAnsi="仿宋" w:eastAsia="仿宋" w:cs="仿宋"/>
          <w:color w:val="000000"/>
          <w:sz w:val="24"/>
          <w:szCs w:val="24"/>
          <w:highlight w:val="none"/>
        </w:rPr>
        <w:t>5、其他</w:t>
      </w:r>
    </w:p>
    <w:tbl>
      <w:tblPr>
        <w:tblStyle w:val="9"/>
        <w:tblW w:w="9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9"/>
        <w:gridCol w:w="4141"/>
      </w:tblGrid>
      <w:tr w14:paraId="39632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09719C66">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甲方：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c>
          <w:tcPr>
            <w:tcW w:w="4141" w:type="dxa"/>
            <w:vAlign w:val="center"/>
          </w:tcPr>
          <w:p w14:paraId="39E62C88">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乙方：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r>
      <w:tr w14:paraId="5E635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5039" w:type="dxa"/>
            <w:vAlign w:val="center"/>
          </w:tcPr>
          <w:p w14:paraId="4C91237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法定代表人（单位负责人）（授权代表）：</w:t>
            </w:r>
          </w:p>
        </w:tc>
        <w:tc>
          <w:tcPr>
            <w:tcW w:w="4141" w:type="dxa"/>
            <w:vAlign w:val="center"/>
          </w:tcPr>
          <w:p w14:paraId="4516D6F1">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法定代表人（授权代表）：</w:t>
            </w:r>
          </w:p>
        </w:tc>
      </w:tr>
      <w:tr w14:paraId="1CDE4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1129314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c>
          <w:tcPr>
            <w:tcW w:w="4141" w:type="dxa"/>
            <w:vAlign w:val="center"/>
          </w:tcPr>
          <w:p w14:paraId="36216160">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r>
      <w:tr w14:paraId="20D2A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30C038C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c>
          <w:tcPr>
            <w:tcW w:w="4141" w:type="dxa"/>
            <w:vAlign w:val="center"/>
          </w:tcPr>
          <w:p w14:paraId="4586290A">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r>
      <w:tr w14:paraId="485A8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4A2A8797">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c>
          <w:tcPr>
            <w:tcW w:w="4141" w:type="dxa"/>
            <w:vAlign w:val="center"/>
          </w:tcPr>
          <w:p w14:paraId="68501FDD">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r>
      <w:tr w14:paraId="6319F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06FC4394">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c>
          <w:tcPr>
            <w:tcW w:w="4141" w:type="dxa"/>
            <w:vAlign w:val="center"/>
          </w:tcPr>
          <w:p w14:paraId="0B19F42C">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r>
      <w:tr w14:paraId="6F8F3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1A901C63">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c>
          <w:tcPr>
            <w:tcW w:w="4141" w:type="dxa"/>
            <w:vAlign w:val="center"/>
          </w:tcPr>
          <w:p w14:paraId="4F74A03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r>
      <w:tr w14:paraId="349A6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5039" w:type="dxa"/>
            <w:vAlign w:val="center"/>
          </w:tcPr>
          <w:p w14:paraId="452A7658">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c>
          <w:tcPr>
            <w:tcW w:w="4141" w:type="dxa"/>
            <w:vAlign w:val="center"/>
          </w:tcPr>
          <w:p w14:paraId="7321A06E">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r>
    </w:tbl>
    <w:p w14:paraId="57A0FA01">
      <w:pPr>
        <w:rPr>
          <w:highlight w:val="none"/>
        </w:rPr>
      </w:pPr>
      <w:bookmarkStart w:id="52" w:name="_GoBack"/>
      <w:bookmarkEnd w:id="52"/>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B9DBF">
    <w:pPr>
      <w:pStyle w:val="5"/>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0979FA">
                          <w:pPr>
                            <w:pStyle w:val="5"/>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F0979FA">
                    <w:pPr>
                      <w:pStyle w:val="5"/>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774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262E"/>
    <w:multiLevelType w:val="singleLevel"/>
    <w:tmpl w:val="FDEF262E"/>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5459F"/>
    <w:rsid w:val="04A76B32"/>
    <w:rsid w:val="082E7378"/>
    <w:rsid w:val="09E544CB"/>
    <w:rsid w:val="19274253"/>
    <w:rsid w:val="31673619"/>
    <w:rsid w:val="3252231D"/>
    <w:rsid w:val="33381316"/>
    <w:rsid w:val="3560419E"/>
    <w:rsid w:val="41A0173B"/>
    <w:rsid w:val="574746C0"/>
    <w:rsid w:val="63793840"/>
    <w:rsid w:val="74054864"/>
    <w:rsid w:val="7CA54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toc 1"/>
    <w:basedOn w:val="1"/>
    <w:next w:val="1"/>
    <w:qFormat/>
    <w:uiPriority w:val="39"/>
  </w:style>
  <w:style w:type="paragraph" w:styleId="7">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楷体" w:hAnsi="楷体" w:eastAsia="仿宋" w:cs="Times New Roman"/>
      <w:b/>
      <w:sz w:val="24"/>
      <w:szCs w:val="32"/>
    </w:rPr>
  </w:style>
  <w:style w:type="paragraph" w:customStyle="1" w:styleId="12">
    <w:name w:val="样式 首行缩进:  2 字符"/>
    <w:basedOn w:val="1"/>
    <w:qFormat/>
    <w:uiPriority w:val="0"/>
    <w:pPr>
      <w:spacing w:line="400" w:lineRule="exact"/>
      <w:ind w:firstLine="200" w:firstLineChars="200"/>
    </w:pPr>
    <w:rPr>
      <w:rFonts w:cs="宋体"/>
      <w:sz w:val="24"/>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2026-07-09T05:41:00Z</dcterms:created>
  <dc:creator>劉瑛</dc:creator>
  <cp:lastModifiedBy>劉瑛</cp:lastModifiedBy>
  <dcterms:modified xsi:type="dcterms:W3CDTF">2026-07-09T05:44:23Z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5D6A8D1E511546E984343C96D2CF8D06_13</vt:lpwstr>
  </property>
  <property fmtid="{D5CDD505-2E9C-101B-9397-08002B2CF9AE}" pid="4" name="KSOTemplateDocerSaveRecord">
    <vt:lpwstr>eyJoZGlkIjoiMjg3MDQ0ODIzNjJjOGZkYzRkM2M1MjZiMzhkN2I0ZjEiLCJ1c2VySWQiOiI1NzQ3NjczNDAifQ==</vt:lpwstr>
  </property>
</Properties>
</file>