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00CF3">
      <w:pPr>
        <w:pStyle w:val="2"/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服务内容响应偏差表</w:t>
      </w:r>
    </w:p>
    <w:bookmarkEnd w:id="0"/>
    <w:p w14:paraId="2C9CF0A7">
      <w:pPr>
        <w:bidi w:val="0"/>
        <w:spacing w:line="30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6"/>
        <w:tblW w:w="545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319"/>
        <w:gridCol w:w="2242"/>
        <w:gridCol w:w="2564"/>
        <w:gridCol w:w="802"/>
        <w:gridCol w:w="1656"/>
      </w:tblGrid>
      <w:tr w14:paraId="471AC9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385" w:type="pct"/>
            <w:noWrap w:val="0"/>
            <w:vAlign w:val="center"/>
          </w:tcPr>
          <w:p w14:paraId="194D1105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09" w:type="pct"/>
            <w:noWrap w:val="0"/>
            <w:vAlign w:val="center"/>
          </w:tcPr>
          <w:p w14:paraId="158687FF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41BA2178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05" w:type="pct"/>
            <w:noWrap w:val="0"/>
            <w:vAlign w:val="center"/>
          </w:tcPr>
          <w:p w14:paraId="16DEBC6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2CBEDE29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1378" w:type="pct"/>
            <w:noWrap w:val="0"/>
            <w:vAlign w:val="center"/>
          </w:tcPr>
          <w:p w14:paraId="1FE3AA94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0AC9812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431" w:type="pct"/>
            <w:noWrap w:val="0"/>
            <w:vAlign w:val="center"/>
          </w:tcPr>
          <w:p w14:paraId="4202A5A6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90" w:type="pct"/>
            <w:noWrap w:val="0"/>
            <w:vAlign w:val="center"/>
          </w:tcPr>
          <w:p w14:paraId="3E4DEB3D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1C1D5D0E">
            <w:pPr>
              <w:bidi w:val="0"/>
              <w:adjustRightInd w:val="0"/>
              <w:snapToGrid w:val="0"/>
              <w:spacing w:line="30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663A9A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628323C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1F4C040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6607914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4119E33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2AEFD12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7EA777D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1ECD0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0CA146A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09366D7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2305B7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567539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761F5ADC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07681E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70595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39392D6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4C22391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4589D6FE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69CC2E36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0EA8BE60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5667DEA2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AA62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exact"/>
          <w:jc w:val="center"/>
        </w:trPr>
        <w:tc>
          <w:tcPr>
            <w:tcW w:w="385" w:type="pct"/>
            <w:noWrap w:val="0"/>
            <w:vAlign w:val="top"/>
          </w:tcPr>
          <w:p w14:paraId="6F9EB3C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35750E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6EE4297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57FD9E07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7545CD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3694ADCD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C43AB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385" w:type="pct"/>
            <w:noWrap w:val="0"/>
            <w:vAlign w:val="top"/>
          </w:tcPr>
          <w:p w14:paraId="7E5E9829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09" w:type="pct"/>
            <w:noWrap w:val="0"/>
            <w:vAlign w:val="top"/>
          </w:tcPr>
          <w:p w14:paraId="1E47DDCB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top"/>
          </w:tcPr>
          <w:p w14:paraId="3220CA08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78" w:type="pct"/>
            <w:noWrap w:val="0"/>
            <w:vAlign w:val="top"/>
          </w:tcPr>
          <w:p w14:paraId="364383D3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31" w:type="pct"/>
            <w:noWrap w:val="0"/>
            <w:vAlign w:val="top"/>
          </w:tcPr>
          <w:p w14:paraId="52FF711F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890" w:type="pct"/>
            <w:noWrap w:val="0"/>
            <w:vAlign w:val="top"/>
          </w:tcPr>
          <w:p w14:paraId="6A35065A">
            <w:pPr>
              <w:bidi w:val="0"/>
              <w:adjustRightInd w:val="0"/>
              <w:snapToGrid w:val="0"/>
              <w:spacing w:line="30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7D570B52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14DC5CD0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</w:rPr>
        <w:t>本表只填写磋商响应文件中与磋商文件有偏离（包括负偏离和正偏离）的内容，在磋商响应文件中须一一列出，无偏离可直接提供空白表。</w:t>
      </w:r>
    </w:p>
    <w:p w14:paraId="241BEBD7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5A4E6284">
      <w:pPr>
        <w:bidi w:val="0"/>
        <w:spacing w:line="30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C06C3A1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1A582297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57FCCAC5">
      <w:pPr>
        <w:bidi w:val="0"/>
        <w:spacing w:line="30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</w:t>
      </w:r>
    </w:p>
    <w:p w14:paraId="69937975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774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26335B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26335B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5459F"/>
    <w:rsid w:val="09E544CB"/>
    <w:rsid w:val="19274253"/>
    <w:rsid w:val="31673619"/>
    <w:rsid w:val="33381316"/>
    <w:rsid w:val="63793840"/>
    <w:rsid w:val="7CA5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link w:val="2"/>
    <w:qFormat/>
    <w:uiPriority w:val="0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2026-07-09T05:41:00Z</dcterms:created>
  <dc:creator>劉瑛</dc:creator>
  <cp:lastModifiedBy>劉瑛</cp:lastModifiedBy>
  <dcterms:modified xsi:type="dcterms:W3CDTF">2026-07-09T05:42:48Z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5B5A3891CB1A472EBEABCFA59AEA2FC0_13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