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版本号：SXZHZB2026-ZC044-CS20260709001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国家名城评估年报项目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SXZHZB2026-ZC044-CS</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国家名城评估年报项目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SXZHZB2026-ZC044-CS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国家名城评估年报项目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中共中央办公厅、国务院办公厅《关于在城乡建设中加强历史文化保护传承的若干意见》、住房和城乡建设部、国家文物局《关于加强国家历史文化名城保护专项评估工作的通知》(建科〔2021〕83号)、陕西省住房和城乡建设厅、陕西省文物局《关于开展全省历史文化名城保护专项评估的工作通知》(陕建城发〔2022〕14号)等文件，按照《西安历史文化名城保护条例》第六十一条“市人民政府应当每年组织对西安历史文化名城、历史文化街区、历史地段、历史文化名镇、名村、传统村落、历史建筑保护工作进行自评估，形成自评估报告，报省住房和城乡建设主管部门。评估发现的问题，应当及时整改”的工作要求，开展本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3、资质证书：供应商须具有城乡规划编制乙级及以上资质；</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通过专家评审并经甲方验收合格。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联系电话：029-86252018</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中共中央办公厅、国务院办公厅《关于在城乡建设中加强历史文化保护传承的若干意见》、住房和城乡建设部、国家文物局《关于加强国家历史文化名城保护专项评估工作的通知》(建科〔2021〕83号)、陕西省住房和城乡建设厅、陕西省文物局《关于开展全省历史文化名城保护专项评估的工作通知》(陕建城发〔2022〕14号)等文件，按照《西安历史文化名城保护条例》第六十一条“市人民政府应当每年组织对西安历史文化名城、历史文化街区、历史地段、历史文化名镇、名村、传统村落、历史建筑保护工作进行自评估，形成自评估报告，报省住房和城乡建设主管部门。评估发现的问题，应当及时整改”的工作要求，开展本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2026年国家名城评估年报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标的名称：2026年国家名城评估年报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落实中共中央办公厅、国务院办公厅《关于在城乡建设中加强历史文化保护传承的若干意见》、住房和城乡建设部、国家文物局《关于加强国家历史文化名城保护专项评估工作的通知》（建科〔2021〕83号）、陕西省住房和城乡建设厅、陕西省文物局《关于开展全省历史文化名城保护专项评估的工作通知》（陕建城发〔2022〕14号）等文件要求，以及《陕西省历史文化名城名镇名村保护条例》第五十六条“市、县（区）人民政府应当每年对历史文化名城、名镇、名村，以及历史文化街区、历史地段、历史建筑和传统村落的保护工作开展自评估，形成自评估报告，报省住房城乡建设主管部门”的要求，开展本次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（一）规划范围：西安市域。</w:t>
            </w:r>
          </w:p>
          <w:p>
            <w:pPr>
              <w:pStyle w:val="null3"/>
            </w:pPr>
            <w:r>
              <w:rPr>
                <w:rFonts w:ascii="仿宋_GB2312" w:hAnsi="仿宋_GB2312" w:cs="仿宋_GB2312" w:eastAsia="仿宋_GB2312"/>
              </w:rPr>
              <w:t>（二）工作内容</w:t>
            </w:r>
          </w:p>
          <w:p>
            <w:pPr>
              <w:pStyle w:val="null3"/>
            </w:pPr>
            <w:r>
              <w:rPr>
                <w:rFonts w:ascii="仿宋_GB2312" w:hAnsi="仿宋_GB2312" w:cs="仿宋_GB2312" w:eastAsia="仿宋_GB2312"/>
              </w:rPr>
              <w:t>从“历史文化资源调查评估和认定情况”“保护管理责任落实情况”及 “保护利用工作成效”等3方面，全面评估2026年西安国家历史文化名城的保护工作，实事求是梳理经验、查找问题，形成数据详实、直面问题的年度自评估报告。</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1、组织专家评审会，对《国家名城评估年报》成果进行技术审查。</w:t>
            </w:r>
          </w:p>
          <w:p>
            <w:pPr>
              <w:pStyle w:val="null3"/>
            </w:pPr>
            <w:r>
              <w:rPr>
                <w:rFonts w:ascii="仿宋_GB2312" w:hAnsi="仿宋_GB2312" w:cs="仿宋_GB2312" w:eastAsia="仿宋_GB2312"/>
              </w:rPr>
              <w:t>2、履行相关行政审查程序。</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项目成果内容应符合《中华人民共和国城乡规划法》《中华人民共和国文物保护法》等法律法规。</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自合同签订之日起至2027年10月31日止。</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项目总合同额按项目进度分三批支付：合同签订后10个工作日内支付合同总价款的40%；项目实施阶段完成成果经专家验收后，10个工作日内支付合同总价款的30%；交付验收合格后，10工作日内支付合同总价款的30%。</w:t>
            </w:r>
          </w:p>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2027年6月前，完成评估报告，并通过专家评审。</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《国家名城评估年报》，电子版1份（pdf）、纸质版1份。</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1、法律法规</w:t>
            </w:r>
          </w:p>
          <w:p>
            <w:pPr>
              <w:pStyle w:val="null3"/>
            </w:pPr>
            <w:r>
              <w:rPr>
                <w:rFonts w:ascii="仿宋_GB2312" w:hAnsi="仿宋_GB2312" w:cs="仿宋_GB2312" w:eastAsia="仿宋_GB2312"/>
              </w:rPr>
              <w:t>《中华人民共和国城乡规划法》</w:t>
            </w:r>
          </w:p>
          <w:p>
            <w:pPr>
              <w:pStyle w:val="null3"/>
            </w:pPr>
            <w:r>
              <w:rPr>
                <w:rFonts w:ascii="仿宋_GB2312" w:hAnsi="仿宋_GB2312" w:cs="仿宋_GB2312" w:eastAsia="仿宋_GB2312"/>
              </w:rPr>
              <w:t>《中华人民共和国文物保护法》</w:t>
            </w:r>
          </w:p>
          <w:p>
            <w:pPr>
              <w:pStyle w:val="null3"/>
            </w:pPr>
            <w:r>
              <w:rPr>
                <w:rFonts w:ascii="仿宋_GB2312" w:hAnsi="仿宋_GB2312" w:cs="仿宋_GB2312" w:eastAsia="仿宋_GB2312"/>
              </w:rPr>
              <w:t>《陕西省文物保护条例》</w:t>
            </w:r>
          </w:p>
          <w:p>
            <w:pPr>
              <w:pStyle w:val="null3"/>
            </w:pPr>
            <w:r>
              <w:rPr>
                <w:rFonts w:ascii="仿宋_GB2312" w:hAnsi="仿宋_GB2312" w:cs="仿宋_GB2312" w:eastAsia="仿宋_GB2312"/>
              </w:rPr>
              <w:t>《陕西省历史文化名城名镇名村保护条例》</w:t>
            </w:r>
          </w:p>
          <w:p>
            <w:pPr>
              <w:pStyle w:val="null3"/>
            </w:pPr>
            <w:r>
              <w:rPr>
                <w:rFonts w:ascii="仿宋_GB2312" w:hAnsi="仿宋_GB2312" w:cs="仿宋_GB2312" w:eastAsia="仿宋_GB2312"/>
              </w:rPr>
              <w:t>《西安历史文化名城保护条例》</w:t>
            </w:r>
          </w:p>
          <w:p>
            <w:pPr>
              <w:pStyle w:val="null3"/>
            </w:pPr>
            <w:r>
              <w:rPr>
                <w:rFonts w:ascii="仿宋_GB2312" w:hAnsi="仿宋_GB2312" w:cs="仿宋_GB2312" w:eastAsia="仿宋_GB2312"/>
              </w:rPr>
              <w:t>《西安市不可移动文物保护条例》</w:t>
            </w:r>
          </w:p>
          <w:p>
            <w:pPr>
              <w:pStyle w:val="null3"/>
            </w:pPr>
            <w:r>
              <w:rPr>
                <w:rFonts w:ascii="仿宋_GB2312" w:hAnsi="仿宋_GB2312" w:cs="仿宋_GB2312" w:eastAsia="仿宋_GB2312"/>
              </w:rPr>
              <w:t>2、国家标准与行业标准</w:t>
            </w:r>
          </w:p>
          <w:p>
            <w:pPr>
              <w:pStyle w:val="null3"/>
            </w:pPr>
            <w:r>
              <w:rPr>
                <w:rFonts w:ascii="仿宋_GB2312" w:hAnsi="仿宋_GB2312" w:cs="仿宋_GB2312" w:eastAsia="仿宋_GB2312"/>
              </w:rPr>
              <w:t>GB_T50357-2018《历史文化名城保护规划标准》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自合同签订之日起至2027年10月31日止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通过专家评审并经甲方验收合格。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进度款，项目实施阶段完成成果经专家验收后，达到付款条件起10个工作日内，支付合同总金额的30.0%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进度款，交付验收合格后，达到付款条件起10个工作日内，支付合同总金额的30.0%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的合同解除权：当乙方的违约行为导致或可能导致甲方签订本合同的核心目的无法实现时，甲方有权单方以书面通知乙方立即解除本合同，且无需承担任何责任，乙方已收取的款项应在合同解除后10个工作日内返还甲方。前述情形包括但不限于：(1)乙方逾期交付本合同第三条项下任何一项成果超过【5】个工作日；(2)乙方交付的成果经甲方组织两次修改后，仍未能通过甲方书面认可的专家组或甲方指定的主管部门的最终验收；(3)乙方累计逾期天数超过30日；(4)乙方以书面或行为明确表示放弃履行或确已无能力继续履行本合同。乙方的单方解约限制与责任：未经甲方事先书面同意，乙方不得以任何理由单方解除或中止履行本合同。若乙方违反本款约定擅自解除合同，应向甲方支付相当于合同总价款20%的违约金。若该违约金不足以弥补甲方因此遭受的全部损失(包括但不限于甲方为继续完成项目而向第三方支付的额外费用、项目延误损失、律师费、诉讼费、保全费、差旅费等所有合理支出),乙方应就差额部分予以补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包括但不限于人工费、评估费、评审费、办公费、保险、招标代理服务费、利润、税金、风险、协调费用及完成工作准备阶段、实施阶段、成果交付阶段、验收阶段等其他一切相关费用。2、项目属性：服务。3、本项目所属行业为：其他未列明行业。从业人员300人以下的为中小微型企业。其中，从业人员100人及以上的为中型企业；从业人员10人及以上的为小型企业；从业人员10人以下的为微型企业。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供应商须具有城乡规划编制乙级及以上资质；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项目认知</w:t>
            </w:r>
          </w:p>
        </w:tc>
        <w:tc>
          <w:tcPr>
            <w:tcW w:type="dxa" w:w="2492"/>
          </w:tcPr>
          <w:p>
            <w:pPr>
              <w:pStyle w:val="null3"/>
            </w:pPr>
            <w:r>
              <w:rPr>
                <w:rFonts w:ascii="仿宋_GB2312" w:hAnsi="仿宋_GB2312" w:cs="仿宋_GB2312" w:eastAsia="仿宋_GB2312"/>
              </w:rPr>
              <w:t>一、评审内容 提出针对本项目的项目认知，内容包括： ①明确本次项目评估的任务要求、目的作用、核心内容； ②对重点、难点进行分析总结； ③有针对性的提出对策和解决思路。 二、评审标准 1、完整性：方案必须全面，对评审内容有详细描述； 2、可实施性：切合本项目实际情况，提出步骤清晰、合理的方案； 3、针对性：方案能够紧扣项目实际情况，内容科学合理。 三、赋分标准（ 9 分） ①明确本次项目编制的任务要求、目的作用、核心内容，每完全满足一项评审标准 1.0 分，满分 3.0 分； ②对重点、难点进行分析总结，每完全满足一项评审标准得 1.0 分， 满分 3.0 分； ③有针对性的提出对策和解决思路：每完全满足一项评审标准得 1.0 分，满分 3.0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提出针对本项目的进度计划，内容包括： ①项目整体进度规划； ②进度保障组织措施； ③进度保障技术措施。 二、评审标准 1、完整性：内容全面，对评审内容中的各项要求有详细描述及说明； 2、可实施性：符合本项目实际情况，面向实施，分析思路清晰，切实可行； 3、针对性：能够紧扣项目特征，内容科学合理。 三、赋分标准（满分 9 分） ①项目整体进度规划，每完全满足一项评审标准 1.0 分，满分 3.0 分； ②进度保障组织措施，每完全满足一项评审标准得 1.0 分， 满分 3.0 分； ③进度保障技术措施，每完全满足一项评审标准得1.0 分，满分 3.0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总体思路</w:t>
            </w:r>
          </w:p>
        </w:tc>
        <w:tc>
          <w:tcPr>
            <w:tcW w:type="dxa" w:w="2492"/>
          </w:tcPr>
          <w:p>
            <w:pPr>
              <w:pStyle w:val="null3"/>
            </w:pPr>
            <w:r>
              <w:rPr>
                <w:rFonts w:ascii="仿宋_GB2312" w:hAnsi="仿宋_GB2312" w:cs="仿宋_GB2312" w:eastAsia="仿宋_GB2312"/>
              </w:rPr>
              <w:t>一、评审内容 提出针对本项目的总体思路，内容包括： ①规划思路； ②技术路线。 二、评审标准 1、完整性：内容全面，对评审内容中的各项要求有详细描述及说明； 2、可实施性：符合本项目实际情况，面向实施，分析思路清晰，切实可行； 3、针对性：能够紧扣项目特征，内容科学合理。 三、赋分标准（满分 6 分） ①规划思路：每完全满足一项评审标准 1.0 分，满分3.0 分； ②技术路线：每完全满足一项评审标准得 1.0 分，满分 3.0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1.项目负责人同时具备高级工程师职称和国家注册城乡规划师的得5分，只具备高级工程师职称的得3分，其他不得分。 2.项目负责人具备10年以上工作经验的得2分；6年以上工作经验的得1分。其他不得分。 3.项目负责人具有研究生及以上学历，得2分；有本科及以上学历，得1分；其他不得分。 评审标准：提供负责人毕业证、注册证书、职称证等复印件加盖公章，及截止投标前近3个月内任意一个月本单位社保缴纳证明，依法不需要缴纳社会保障资金的，应当提供相应证明文件，否则不得分。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拟投入项目团队人员能力</w:t>
            </w:r>
          </w:p>
        </w:tc>
        <w:tc>
          <w:tcPr>
            <w:tcW w:type="dxa" w:w="2492"/>
          </w:tcPr>
          <w:p>
            <w:pPr>
              <w:pStyle w:val="null3"/>
            </w:pPr>
            <w:r>
              <w:rPr>
                <w:rFonts w:ascii="仿宋_GB2312" w:hAnsi="仿宋_GB2312" w:cs="仿宋_GB2312" w:eastAsia="仿宋_GB2312"/>
              </w:rPr>
              <w:t>项目组成员(除项目负责人外)，具备高级工程师职称或国家注册城乡规划师资格的，每人得3分；满分18分。 评审标准：所有人员分值累加，同一人不得重复计分。 提供人员有效的注册证书或职称证等复印件加盖公章,及项目人员截止投标前近3个月内任意一个月本单位社保缴纳证明，依法不需要缴纳社会保障资金的，应当提供相应证明文件，否则不得分。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供应商提供2023年1月至今类似项目业绩合同（以合同签订时间为准）；一个业绩得3分，最高得18分。 评审依据：提供合同复印件并加盖公章。未提供不得分。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评估方案</w:t>
            </w:r>
          </w:p>
        </w:tc>
        <w:tc>
          <w:tcPr>
            <w:tcW w:type="dxa" w:w="2492"/>
          </w:tcPr>
          <w:p>
            <w:pPr>
              <w:pStyle w:val="null3"/>
            </w:pPr>
            <w:r>
              <w:rPr>
                <w:rFonts w:ascii="仿宋_GB2312" w:hAnsi="仿宋_GB2312" w:cs="仿宋_GB2312" w:eastAsia="仿宋_GB2312"/>
              </w:rPr>
              <w:t>一、评审内容 提出针对本项目的规划方案，内容包括： ①历史文化资源调查评估和认定情况评估； ②保护管理责任落实情况评估； ③保护利用工作成效评估。 二、评审标准 1、完整性：内容全面，对评审内容中的各项要求有详细描述及说明； 2、可实施性：符合本项目实际情况，面向实施，分析思路清晰，切实可行； 3、针对性：能够紧扣项目特征，内容科学合理。 三、赋分标准（满分 15 分） ①历史文化资源调查评估和认定情况评估：每完全满足一项评审标准 1.5 分，满分 4.5分； ②保护管理责任落实情况评估：每完全满足一项评审标准得 1.5 分， 满分 4.5 分； ③保护利用工作成效评估：每完全满足一项评审标准得 2 分， 满分 6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对能够完成本项目工作的服务承诺，包括①对本项目进度、时限、成果文件质量等做出承诺；②对服务时限内团队稳定性、人员到位情况等相关内容做出承诺；③数据准确性承诺。每提供一项承诺得 2 分，最高得 6 分。 评审标准：以承诺函加盖公章为准。未提供不得分。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