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0EA402BB">
      <w:pPr>
        <w:pStyle w:val="7"/>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一、项目概况</w:t>
      </w:r>
    </w:p>
    <w:p w14:paraId="0BDC03B5">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西安经开区北田街道滩王村排水管网改造项目，</w:t>
      </w:r>
      <w:r>
        <w:rPr>
          <w:rFonts w:hint="eastAsia" w:ascii="仿宋_GB2312" w:hAnsi="仿宋_GB2312" w:eastAsia="仿宋_GB2312" w:cs="仿宋_GB2312"/>
          <w:sz w:val="28"/>
          <w:szCs w:val="28"/>
          <w:lang w:val="en-US" w:eastAsia="zh-CN"/>
        </w:rPr>
        <w:t>位于西安市临潼区滩王村，施工内容如下：</w:t>
      </w:r>
    </w:p>
    <w:p w14:paraId="611A8FA5">
      <w:pPr>
        <w:numPr>
          <w:ilvl w:val="0"/>
          <w:numId w:val="0"/>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napToGrid w:val="0"/>
          <w:color w:val="000000"/>
          <w:sz w:val="28"/>
          <w:szCs w:val="28"/>
          <w:lang w:val="en-US" w:eastAsia="zh-CN" w:bidi="ar-SA"/>
        </w:rPr>
        <w:t>（一）</w:t>
      </w:r>
      <w:r>
        <w:rPr>
          <w:rFonts w:hint="eastAsia" w:ascii="仿宋_GB2312" w:hAnsi="仿宋_GB2312" w:eastAsia="仿宋_GB2312" w:cs="仿宋_GB2312"/>
          <w:sz w:val="28"/>
          <w:szCs w:val="28"/>
          <w:lang w:val="en-US" w:eastAsia="zh-CN"/>
        </w:rPr>
        <w:t>钢带增强聚乙烯(PE)DN600螺旋波纹管830米；Φ1000圆形砖砌排水检查井5座，做法参见陕09S9-P40；</w:t>
      </w:r>
    </w:p>
    <w:p w14:paraId="1A740D9A">
      <w:pPr>
        <w:numPr>
          <w:ilvl w:val="0"/>
          <w:numId w:val="0"/>
        </w:numPr>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napToGrid w:val="0"/>
          <w:color w:val="000000"/>
          <w:sz w:val="28"/>
          <w:szCs w:val="28"/>
          <w:lang w:val="en-US" w:eastAsia="zh-CN" w:bidi="ar-SA"/>
        </w:rPr>
        <w:t>（二）</w:t>
      </w:r>
      <w:r>
        <w:rPr>
          <w:rFonts w:hint="eastAsia" w:ascii="仿宋_GB2312" w:hAnsi="仿宋_GB2312" w:eastAsia="仿宋_GB2312" w:cs="仿宋_GB2312"/>
          <w:sz w:val="28"/>
          <w:szCs w:val="28"/>
          <w:lang w:val="en-US" w:eastAsia="zh-CN"/>
        </w:rPr>
        <w:t>矩形直线钢筋混凝土排水检查井（1100*1100）2座，做法参见陕09SS-P47；</w:t>
      </w:r>
    </w:p>
    <w:p w14:paraId="3E91CBC1">
      <w:pPr>
        <w:numPr>
          <w:ilvl w:val="0"/>
          <w:numId w:val="0"/>
        </w:numPr>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napToGrid w:val="0"/>
          <w:color w:val="000000"/>
          <w:sz w:val="28"/>
          <w:szCs w:val="28"/>
          <w:lang w:val="en-US" w:eastAsia="zh-CN" w:bidi="ar-SA"/>
        </w:rPr>
        <w:t>（三）</w:t>
      </w:r>
      <w:r>
        <w:rPr>
          <w:rFonts w:hint="eastAsia" w:ascii="仿宋_GB2312" w:hAnsi="仿宋_GB2312" w:eastAsia="仿宋_GB2312" w:cs="仿宋_GB2312"/>
          <w:sz w:val="28"/>
          <w:szCs w:val="28"/>
          <w:lang w:val="en-US" w:eastAsia="zh-CN"/>
        </w:rPr>
        <w:t>带防坠网的重型可调式球墨铸铁井框、盖（D400级）7套；道路拆除1666.98㎡；道路恢复</w:t>
      </w:r>
      <w:bookmarkStart w:id="4" w:name="_GoBack"/>
      <w:bookmarkEnd w:id="4"/>
      <w:r>
        <w:rPr>
          <w:rFonts w:hint="eastAsia" w:ascii="仿宋_GB2312" w:hAnsi="仿宋_GB2312" w:eastAsia="仿宋_GB2312" w:cs="仿宋_GB2312"/>
          <w:sz w:val="28"/>
          <w:szCs w:val="28"/>
          <w:lang w:val="en-US" w:eastAsia="zh-CN"/>
        </w:rPr>
        <w:t>1666.98㎡</w:t>
      </w:r>
      <w:r>
        <w:rPr>
          <w:rFonts w:hint="eastAsia" w:ascii="仿宋_GB2312" w:hAnsi="仿宋_GB2312" w:eastAsia="仿宋_GB2312" w:cs="仿宋_GB2312"/>
          <w:sz w:val="28"/>
          <w:szCs w:val="28"/>
          <w:lang w:eastAsia="zh-CN"/>
        </w:rPr>
        <w:t>等。</w:t>
      </w:r>
    </w:p>
    <w:p w14:paraId="19CE7926">
      <w:pPr>
        <w:numPr>
          <w:ilvl w:val="0"/>
          <w:numId w:val="0"/>
        </w:numPr>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具体内容详见</w:t>
      </w:r>
      <w:r>
        <w:rPr>
          <w:rFonts w:hint="eastAsia" w:ascii="仿宋_GB2312" w:hAnsi="仿宋_GB2312" w:eastAsia="仿宋_GB2312" w:cs="仿宋_GB2312"/>
          <w:sz w:val="28"/>
          <w:szCs w:val="28"/>
          <w:lang w:val="en-US" w:eastAsia="zh-CN"/>
        </w:rPr>
        <w:t>工程量</w:t>
      </w:r>
      <w:r>
        <w:rPr>
          <w:rFonts w:hint="eastAsia" w:ascii="仿宋_GB2312" w:hAnsi="仿宋_GB2312" w:eastAsia="仿宋_GB2312" w:cs="仿宋_GB2312"/>
          <w:sz w:val="28"/>
          <w:szCs w:val="28"/>
          <w:lang w:eastAsia="zh-CN"/>
        </w:rPr>
        <w:t>清单</w:t>
      </w:r>
      <w:r>
        <w:rPr>
          <w:rFonts w:hint="eastAsia" w:ascii="仿宋_GB2312" w:hAnsi="仿宋_GB2312" w:eastAsia="仿宋_GB2312" w:cs="仿宋_GB2312"/>
          <w:sz w:val="28"/>
          <w:szCs w:val="28"/>
          <w:lang w:val="en-US" w:eastAsia="zh-CN"/>
        </w:rPr>
        <w:t>及</w:t>
      </w:r>
      <w:r>
        <w:rPr>
          <w:rFonts w:hint="eastAsia" w:ascii="仿宋_GB2312" w:hAnsi="仿宋_GB2312" w:eastAsia="仿宋_GB2312" w:cs="仿宋_GB2312"/>
          <w:sz w:val="28"/>
          <w:szCs w:val="28"/>
          <w:lang w:eastAsia="zh-CN"/>
        </w:rPr>
        <w:t>设计图纸。</w:t>
      </w:r>
    </w:p>
    <w:p w14:paraId="5FD6B11E">
      <w:pPr>
        <w:pStyle w:val="7"/>
        <w:spacing w:line="360" w:lineRule="auto"/>
        <w:ind w:firstLine="562" w:firstLineChars="200"/>
        <w:rPr>
          <w:rFonts w:ascii="仿宋_GB2312" w:hAnsi="仿宋_GB2312" w:eastAsia="仿宋_GB2312" w:cs="仿宋_GB2312"/>
          <w:b/>
          <w:bCs/>
          <w:sz w:val="28"/>
          <w:szCs w:val="28"/>
          <w:lang w:eastAsia="zh-CN"/>
        </w:rPr>
      </w:pPr>
      <w:bookmarkStart w:id="0" w:name="_Toc6781"/>
      <w:bookmarkStart w:id="1" w:name="_Toc19193798"/>
      <w:bookmarkStart w:id="2" w:name="_Toc25228617"/>
      <w:bookmarkStart w:id="3" w:name="_Toc25652117"/>
      <w:r>
        <w:rPr>
          <w:rFonts w:ascii="仿宋_GB2312" w:hAnsi="仿宋_GB2312" w:eastAsia="仿宋_GB2312" w:cs="仿宋_GB2312"/>
          <w:b/>
          <w:bCs/>
          <w:sz w:val="28"/>
          <w:szCs w:val="28"/>
          <w:lang w:eastAsia="zh-CN"/>
        </w:rPr>
        <w:t>二、商务要求</w:t>
      </w:r>
    </w:p>
    <w:p w14:paraId="52F62E4E">
      <w:pPr>
        <w:pStyle w:val="7"/>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一</w:t>
      </w:r>
      <w:r>
        <w:rPr>
          <w:rFonts w:hint="eastAsia" w:ascii="仿宋_GB2312" w:hAnsi="仿宋_GB2312" w:eastAsia="仿宋_GB2312" w:cs="仿宋_GB2312"/>
          <w:sz w:val="28"/>
          <w:szCs w:val="28"/>
          <w:lang w:eastAsia="zh-CN"/>
        </w:rPr>
        <w:t>）</w:t>
      </w:r>
      <w:r>
        <w:rPr>
          <w:rFonts w:ascii="仿宋_GB2312" w:hAnsi="仿宋_GB2312" w:eastAsia="仿宋_GB2312" w:cs="仿宋_GB2312"/>
          <w:sz w:val="28"/>
          <w:szCs w:val="28"/>
          <w:lang w:eastAsia="zh-CN"/>
        </w:rPr>
        <w:t>工期：自合同签订之日起</w:t>
      </w:r>
      <w:r>
        <w:rPr>
          <w:rFonts w:hint="eastAsia" w:ascii="仿宋_GB2312" w:hAnsi="仿宋_GB2312" w:eastAsia="仿宋_GB2312" w:cs="仿宋_GB2312"/>
          <w:sz w:val="28"/>
          <w:szCs w:val="28"/>
          <w:lang w:val="en-US" w:eastAsia="zh-CN"/>
        </w:rPr>
        <w:t>60</w:t>
      </w:r>
      <w:r>
        <w:rPr>
          <w:rFonts w:ascii="仿宋_GB2312" w:hAnsi="仿宋_GB2312" w:eastAsia="仿宋_GB2312" w:cs="仿宋_GB2312"/>
          <w:sz w:val="28"/>
          <w:szCs w:val="28"/>
          <w:lang w:eastAsia="zh-CN"/>
        </w:rPr>
        <w:t>日历天。</w:t>
      </w:r>
    </w:p>
    <w:p w14:paraId="65553EBA">
      <w:pPr>
        <w:pStyle w:val="7"/>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二</w:t>
      </w:r>
      <w:r>
        <w:rPr>
          <w:rFonts w:hint="eastAsia" w:ascii="仿宋_GB2312" w:hAnsi="仿宋_GB2312" w:eastAsia="仿宋_GB2312" w:cs="仿宋_GB2312"/>
          <w:sz w:val="28"/>
          <w:szCs w:val="28"/>
          <w:lang w:eastAsia="zh-CN"/>
        </w:rPr>
        <w:t>）</w:t>
      </w:r>
      <w:r>
        <w:rPr>
          <w:rFonts w:ascii="仿宋_GB2312" w:hAnsi="仿宋_GB2312" w:eastAsia="仿宋_GB2312" w:cs="仿宋_GB2312"/>
          <w:sz w:val="28"/>
          <w:szCs w:val="28"/>
          <w:lang w:eastAsia="zh-CN"/>
        </w:rPr>
        <w:t>工程地点：</w:t>
      </w:r>
      <w:r>
        <w:rPr>
          <w:rFonts w:hint="eastAsia" w:ascii="仿宋_GB2312" w:hAnsi="仿宋_GB2312" w:eastAsia="仿宋_GB2312" w:cs="仿宋_GB2312"/>
          <w:sz w:val="28"/>
          <w:szCs w:val="28"/>
          <w:lang w:eastAsia="zh-CN"/>
        </w:rPr>
        <w:t>西安经开区北田街道滩王村</w:t>
      </w:r>
      <w:r>
        <w:rPr>
          <w:rFonts w:ascii="仿宋_GB2312" w:hAnsi="仿宋_GB2312" w:eastAsia="仿宋_GB2312" w:cs="仿宋_GB2312"/>
          <w:sz w:val="28"/>
          <w:szCs w:val="28"/>
          <w:lang w:eastAsia="zh-CN"/>
        </w:rPr>
        <w:t>，具体以采购人指定地点为准。</w:t>
      </w:r>
    </w:p>
    <w:p w14:paraId="699959E7">
      <w:pPr>
        <w:pStyle w:val="7"/>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三</w:t>
      </w:r>
      <w:r>
        <w:rPr>
          <w:rFonts w:hint="eastAsia" w:ascii="仿宋_GB2312" w:hAnsi="仿宋_GB2312" w:eastAsia="仿宋_GB2312" w:cs="仿宋_GB2312"/>
          <w:sz w:val="28"/>
          <w:szCs w:val="28"/>
          <w:lang w:eastAsia="zh-CN"/>
        </w:rPr>
        <w:t>）</w:t>
      </w:r>
      <w:r>
        <w:rPr>
          <w:rFonts w:ascii="仿宋_GB2312" w:hAnsi="仿宋_GB2312" w:eastAsia="仿宋_GB2312" w:cs="仿宋_GB2312"/>
          <w:sz w:val="28"/>
          <w:szCs w:val="28"/>
          <w:lang w:eastAsia="zh-CN"/>
        </w:rPr>
        <w:t>工程质量标准：达到国家、省市或相关行业规范“合格”标准要求。</w:t>
      </w:r>
    </w:p>
    <w:bookmarkEnd w:id="0"/>
    <w:bookmarkEnd w:id="1"/>
    <w:bookmarkEnd w:id="2"/>
    <w:bookmarkEnd w:id="3"/>
    <w:p w14:paraId="0B9E5946">
      <w:pPr>
        <w:pStyle w:val="7"/>
        <w:spacing w:line="360" w:lineRule="auto"/>
        <w:ind w:firstLine="560" w:firstLineChars="200"/>
        <w:rPr>
          <w:rFonts w:hint="default"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eastAsia="zh-CN" w:bidi="ar"/>
        </w:rPr>
        <w:t>（</w:t>
      </w:r>
      <w:r>
        <w:rPr>
          <w:rFonts w:hint="eastAsia" w:ascii="仿宋_GB2312" w:hAnsi="仿宋_GB2312" w:eastAsia="仿宋_GB2312" w:cs="仿宋_GB2312"/>
          <w:bCs/>
          <w:sz w:val="28"/>
          <w:szCs w:val="28"/>
          <w:highlight w:val="none"/>
          <w:lang w:val="en-US" w:eastAsia="zh-CN" w:bidi="ar"/>
        </w:rPr>
        <w:t>四</w:t>
      </w:r>
      <w:r>
        <w:rPr>
          <w:rFonts w:hint="eastAsia" w:ascii="仿宋_GB2312" w:hAnsi="仿宋_GB2312" w:eastAsia="仿宋_GB2312" w:cs="仿宋_GB2312"/>
          <w:bCs/>
          <w:sz w:val="28"/>
          <w:szCs w:val="28"/>
          <w:highlight w:val="none"/>
          <w:lang w:eastAsia="zh-CN" w:bidi="ar"/>
        </w:rPr>
        <w:t>）</w:t>
      </w:r>
      <w:r>
        <w:rPr>
          <w:rFonts w:ascii="仿宋_GB2312" w:hAnsi="仿宋_GB2312" w:eastAsia="仿宋_GB2312" w:cs="仿宋_GB2312"/>
          <w:bCs/>
          <w:sz w:val="28"/>
          <w:szCs w:val="28"/>
          <w:highlight w:val="none"/>
          <w:lang w:eastAsia="zh-CN" w:bidi="ar"/>
        </w:rPr>
        <w:t>工程量清单及图纸（详见附件）。</w:t>
      </w:r>
    </w:p>
    <w:p w14:paraId="5593F9E3">
      <w:pPr>
        <w:pStyle w:val="7"/>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仿宋_GB2312" w:hAnsi="仿宋_GB2312" w:eastAsia="仿宋_GB2312" w:cs="仿宋_GB2312"/>
          <w:b/>
          <w:sz w:val="28"/>
          <w:szCs w:val="28"/>
          <w:lang w:eastAsia="zh-CN" w:bidi="ar"/>
        </w:rPr>
      </w:pPr>
      <w:r>
        <w:rPr>
          <w:rFonts w:ascii="仿宋_GB2312" w:hAnsi="仿宋_GB2312" w:eastAsia="仿宋_GB2312" w:cs="仿宋_GB2312"/>
          <w:b/>
          <w:sz w:val="28"/>
          <w:szCs w:val="28"/>
          <w:lang w:eastAsia="zh-CN" w:bidi="ar"/>
        </w:rPr>
        <w:t>三、质量保证、服务要求</w:t>
      </w:r>
    </w:p>
    <w:p w14:paraId="6249E227">
      <w:pPr>
        <w:pStyle w:val="7"/>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一</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工程质量应当达到约定的质量标准，质量标准的评定以国家或行业的质量检验评定标准为依据。因成交供应商原因导致工程质量达不到约定的质量标准，成交供应商承担违约责任。</w:t>
      </w:r>
    </w:p>
    <w:p w14:paraId="32A3A451">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二</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成交供应商在质保期内应无偿负责所承包工程的维修和替换等工作。超出质保期收取人工及材料成本费用。</w:t>
      </w:r>
    </w:p>
    <w:p w14:paraId="6F79AF3E">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三</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服务响应时限：7*24小时服务，提供售后服务电话（应具有：固定电话、移动电话、传真）。</w:t>
      </w:r>
    </w:p>
    <w:p w14:paraId="1D2FF38D">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四</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维修工作时间不大于24小时，更换工作时间不大于72小时。</w:t>
      </w:r>
    </w:p>
    <w:p w14:paraId="70B1CFB1">
      <w:pPr>
        <w:pStyle w:val="7"/>
        <w:spacing w:line="360" w:lineRule="auto"/>
        <w:ind w:firstLine="562" w:firstLineChars="200"/>
        <w:rPr>
          <w:rFonts w:ascii="仿宋_GB2312" w:hAnsi="仿宋_GB2312" w:eastAsia="仿宋_GB2312" w:cs="仿宋_GB2312"/>
          <w:b/>
          <w:sz w:val="28"/>
          <w:szCs w:val="28"/>
          <w:lang w:eastAsia="zh-CN" w:bidi="ar"/>
        </w:rPr>
      </w:pPr>
      <w:r>
        <w:rPr>
          <w:rFonts w:ascii="仿宋_GB2312" w:hAnsi="仿宋_GB2312" w:eastAsia="仿宋_GB2312" w:cs="仿宋_GB2312"/>
          <w:b/>
          <w:sz w:val="28"/>
          <w:szCs w:val="28"/>
          <w:lang w:eastAsia="zh-CN" w:bidi="ar"/>
        </w:rPr>
        <w:t>四、职责要求</w:t>
      </w:r>
    </w:p>
    <w:p w14:paraId="3D19794F">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一</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成交供应商全权负责现场的施工安全、保卫、夜间照明、围栏设施及场内外接口交通疏导，按照施工现场临时用电安全技术规范和现场供用电安全规范组织施工，搞好施工现场管理，如未尽到安全、管理责任，采购人可对该违约行为进行处罚。</w:t>
      </w:r>
    </w:p>
    <w:p w14:paraId="25F508CA">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二</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开工后2日内提交经修改后的施工组织设计和施工总进度计划。</w:t>
      </w:r>
    </w:p>
    <w:p w14:paraId="2F2FDB43">
      <w:pPr>
        <w:pStyle w:val="7"/>
        <w:spacing w:line="360" w:lineRule="auto"/>
        <w:ind w:firstLine="562" w:firstLineChars="200"/>
        <w:rPr>
          <w:rFonts w:ascii="仿宋_GB2312" w:hAnsi="仿宋_GB2312" w:eastAsia="仿宋_GB2312" w:cs="仿宋_GB2312"/>
          <w:b/>
          <w:sz w:val="28"/>
          <w:szCs w:val="28"/>
          <w:lang w:eastAsia="zh-CN" w:bidi="ar"/>
        </w:rPr>
      </w:pPr>
      <w:r>
        <w:rPr>
          <w:rFonts w:ascii="仿宋_GB2312" w:hAnsi="仿宋_GB2312" w:eastAsia="仿宋_GB2312" w:cs="仿宋_GB2312"/>
          <w:b/>
          <w:sz w:val="28"/>
          <w:szCs w:val="28"/>
          <w:lang w:eastAsia="zh-CN" w:bidi="ar"/>
        </w:rPr>
        <w:t>五、技术要求</w:t>
      </w:r>
    </w:p>
    <w:p w14:paraId="6860EA05">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一</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成交供应商应根据本工程招标范围及要求规范施工，制定工期计划，确保按期完成施工工作。</w:t>
      </w:r>
    </w:p>
    <w:p w14:paraId="3124360D">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二</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供应的材料均须达到国家环保、节能有关规范和标准的要求，一切用于本工程的材料、设备必须符合合同规定的品种、规格、质量要求。</w:t>
      </w:r>
    </w:p>
    <w:p w14:paraId="25BE9C6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三</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验收要求：工程施工完成，成交供应商进行自检验收，出现的问题限期整改。自检最终通过后，成交供应商提出最终验收申请，采购人组织相关人员进行最终验收。验收标准：执行国家、省或行业现行的工程建设质量验收标准及规范，须达到合格标准</w:t>
      </w:r>
      <w:r>
        <w:rPr>
          <w:rFonts w:hint="eastAsia" w:ascii="仿宋_GB2312" w:hAnsi="仿宋_GB2312" w:eastAsia="仿宋_GB2312" w:cs="仿宋_GB2312"/>
          <w:color w:val="auto"/>
          <w:kern w:val="0"/>
          <w:sz w:val="28"/>
          <w:szCs w:val="28"/>
          <w:highlight w:val="none"/>
          <w:lang w:val="en-US" w:eastAsia="zh-CN" w:bidi="ar-SA"/>
        </w:rPr>
        <w:t>。</w:t>
      </w:r>
    </w:p>
    <w:p w14:paraId="4D9224C9">
      <w:pPr>
        <w:ind w:firstLine="560" w:firstLineChars="200"/>
        <w:rPr>
          <w:rFonts w:hint="default" w:ascii="仿宋_GB2312" w:hAnsi="仿宋_GB2312" w:eastAsia="仿宋_GB2312" w:cs="仿宋_GB2312"/>
          <w:color w:val="auto"/>
          <w:kern w:val="0"/>
          <w:sz w:val="28"/>
          <w:szCs w:val="28"/>
          <w:highlight w:val="none"/>
          <w:lang w:val="en-US" w:eastAsia="zh-CN" w:bidi="ar-SA"/>
        </w:rPr>
      </w:pPr>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033E4BBF"/>
    <w:rsid w:val="04690431"/>
    <w:rsid w:val="0A5A36D3"/>
    <w:rsid w:val="0B5728BD"/>
    <w:rsid w:val="1D68375E"/>
    <w:rsid w:val="1FF50190"/>
    <w:rsid w:val="21BF0821"/>
    <w:rsid w:val="327527AA"/>
    <w:rsid w:val="38CD161E"/>
    <w:rsid w:val="43B943E8"/>
    <w:rsid w:val="4D5F6129"/>
    <w:rsid w:val="4D7A36CB"/>
    <w:rsid w:val="51650CB9"/>
    <w:rsid w:val="54D13E0A"/>
    <w:rsid w:val="551D6150"/>
    <w:rsid w:val="5AFD4F5C"/>
    <w:rsid w:val="64A95275"/>
    <w:rsid w:val="65665AED"/>
    <w:rsid w:val="67012D89"/>
    <w:rsid w:val="68C11FB6"/>
    <w:rsid w:val="6B9B0FF0"/>
    <w:rsid w:val="6D5D6D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6">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3133</Words>
  <Characters>3449</Characters>
  <Lines>0</Lines>
  <Paragraphs>0</Paragraphs>
  <TotalTime>0</TotalTime>
  <ScaleCrop>false</ScaleCrop>
  <LinksUpToDate>false</LinksUpToDate>
  <CharactersWithSpaces>3454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2026-05-25T07:55:08Z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8BD413BB872A4C85911DBAD5AC8A2E6E_13</vt:lpwstr>
  </property>
  <property fmtid="{D5CDD505-2E9C-101B-9397-08002B2CF9AE}" pid="4" name="KSOTemplateDocerSaveRecord">
    <vt:lpwstr>eyJoZGlkIjoiYjZjMDgwYWJjZmNiM2YzZmU4MTk1ZjZmYmY1NWU1OTEiLCJ1c2VySWQiOiI5MzY1NjA0ODAifQ==</vt:lpwstr>
  </property>
</Properties>
</file>