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版本号：XHZB-26-07120260727001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陕西应急管理融媒平台运维项目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XHZB-26-071</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陕西应急管理融媒平台运维项目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XHZB-26-071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陕西应急管理融媒平台运维项目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供应商须按照至少3名编辑以上的固定人员，成立专业的内容运维服务团队，为采购人负责PC网站及wap手机站的内容更新、官方微信公众号内容编发运营、官方微信视频号内容编发运营、官方微博内容编发运营的工作。 2.供应商的运维服务团队须负责采购人“陕西应急管理融媒平台”的专题专栏策划、设计制作和信息填充。同时围绕采购人宣传工作需要，为采购人策划、设计、制作图解产品、图片海报、短视频。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采购包1（陕西应急管理融媒平台运维项目）：属于专门面向中小企业采购。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1、具有承担民事责任的能力：具有独立承担民事责任能力的法人、其他社会组织或自然人，并出具合法有效的营业执照或事业单位法人证书等国家规定的相关证明，自然人参与的提供其身份证明。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5、互联网新闻信息服务许可证：具有互联网新闻信息服务许可证。</w:t>
      </w:r>
    </w:p>
    <w:p>
      <w:pPr>
        <w:pStyle w:val="null3"/>
      </w:pPr>
      <w:r>
        <w:rPr>
          <w:rFonts w:ascii="仿宋_GB2312" w:hAnsi="仿宋_GB2312" w:cs="仿宋_GB2312" w:eastAsia="仿宋_GB2312"/>
        </w:rPr>
        <w:t>6、法定代表人身份证明或法定代表人授权委托书：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p>
      <w:pPr>
        <w:pStyle w:val="null3"/>
      </w:pPr>
      <w:r>
        <w:rPr>
          <w:rFonts w:ascii="仿宋_GB2312" w:hAnsi="仿宋_GB2312" w:cs="仿宋_GB2312" w:eastAsia="仿宋_GB2312"/>
        </w:rPr>
        <w:t>7、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8、关联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9、联合体：本项目（合同包）不接受联合体磋商。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029-61166718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招标代理服务收费管理暂行办法》的通知（计价格〔2002〕1980号）、《国家发展和改革委员会办公厅关于招标代理服务收费有关问题的通知》（发改办价格〔2003〕857号），以中标(成交)价为基数按照服务类计算收取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同时保证，本项⽬交付的所有⼯作成果，不会因第三⽅主张专利权、商标权、著作权或其他知识产权引发任何法律和经济纠纷；若出现相关侵权索赔、诉讼情形，由供应商承担全部责任，负责全程处理相关争议，并全额赔偿采购⼈因此产⽣的所有损失，包括但不限于赔偿⾦、诉讼费、律师费、公证费、鉴定费等全部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内容发布合规性、更新频次、数据指标完成度、用户反馈情况作为核心验收标准。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联系人：万仕彬、耿萍、田丰原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供应商须按照至少3名编辑以上的固定人员，成立专业的内容运维服务团队，为采购人负责PC网站及wap手机站的内容更新、官方微信公众号内容编发运营、官方微信视频号内容编发运营、官方微博内容编发运营的工作。 2.供应商的运维服务团队须负责采购人“陕西应急管理融媒平台”的专题专栏策划、设计制作和信息填充。同时围绕采购人宣传工作需要，为采购人策划、设计、制作图解产品、图片海报、短视频。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陕西应急管理融媒平台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标的名称：陕西应急管理融媒平台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采购项目概况：</w:t>
            </w:r>
          </w:p>
          <w:p>
            <w:pPr>
              <w:pStyle w:val="null3"/>
            </w:pPr>
            <w:r>
              <w:rPr>
                <w:rFonts w:ascii="仿宋_GB2312" w:hAnsi="仿宋_GB2312" w:cs="仿宋_GB2312" w:eastAsia="仿宋_GB2312"/>
                <w:sz w:val="21"/>
              </w:rPr>
              <w:t>1.供应商须按照至少3名编辑以上的固定人员，成立专业的内容运维服务团队，为采购人负责PC网站及wap手机站的内容更新、官方微信公众号内容编发运营、官方微信视频号内容编发运营、官方微博内容编发运营的工作。 2.供应商的运维服务团队须负责采购人“陕西应急管理融媒平台”的专题专栏策划、设计制作和信息填充。同时围绕采购人宣传工作需要，为采购人策划、设计、制作图解产品、图片海报、短视频。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shd w:fill="FFFFFF" w:val="clear"/>
              </w:rPr>
              <w:t>服务需求：</w:t>
            </w:r>
          </w:p>
          <w:tbl>
            <w:tblPr>
              <w:tblInd w:type="dxa" w:w="120"/>
              <w:tblBorders>
                <w:top w:val="none" w:color="000000" w:sz="4"/>
                <w:left w:val="none" w:color="000000" w:sz="4"/>
                <w:bottom w:val="none" w:color="000000" w:sz="4"/>
                <w:right w:val="none" w:color="000000" w:sz="4"/>
                <w:insideH w:val="none"/>
                <w:insideV w:val="none"/>
              </w:tblBorders>
            </w:tblPr>
            <w:tblGrid>
              <w:gridCol w:w="765"/>
              <w:gridCol w:w="1390"/>
              <w:gridCol w:w="398"/>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服务内容</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性能描述</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shd w:fill="FFFFFF" w:val="clear"/>
                    </w:rPr>
                    <w:t>数量</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PC官网内容、WAP手机站内容运营</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负责陕西省应急管理厅PC官网及wap手机站的栏目内容更新，以及每月官网内容的修正。</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微信公众号内容运营</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负责微信公众号内容的编辑、审核与发布。</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微博、微信视频号内容运营</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负责微博话题设置及微博内容更新，</w:t>
                  </w:r>
                  <w:r>
                    <w:rPr>
                      <w:rFonts w:ascii="仿宋_GB2312" w:hAnsi="仿宋_GB2312" w:cs="仿宋_GB2312" w:eastAsia="仿宋_GB2312"/>
                      <w:sz w:val="21"/>
                      <w:shd w:fill="FFFFFF" w:val="clear"/>
                    </w:rPr>
                    <w:t>以及</w:t>
                  </w:r>
                  <w:r>
                    <w:rPr>
                      <w:rFonts w:ascii="仿宋_GB2312" w:hAnsi="仿宋_GB2312" w:cs="仿宋_GB2312" w:eastAsia="仿宋_GB2312"/>
                      <w:sz w:val="21"/>
                      <w:shd w:fill="FFFFFF" w:val="clear"/>
                    </w:rPr>
                    <w:t>微信视频号内容更新</w:t>
                  </w:r>
                  <w:r>
                    <w:rPr>
                      <w:rFonts w:ascii="仿宋_GB2312" w:hAnsi="仿宋_GB2312" w:cs="仿宋_GB2312" w:eastAsia="仿宋_GB2312"/>
                      <w:sz w:val="21"/>
                      <w:shd w:fill="FFFFFF" w:val="clear"/>
                    </w:rPr>
                    <w:t>。</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专题</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负责PC官网专题的策划、制作与内容填充。</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个/年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图解</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用数据、图标等形式解读陕西省应急管理厅的相关工作、政策、文件。</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个/年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海报</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在重点、重大宣传活动、24节气中，在新媒体端制作微海报，对省应急厅工作进行宣传、扩散。</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80</w:t>
                  </w:r>
                  <w:r>
                    <w:rPr>
                      <w:rFonts w:ascii="仿宋_GB2312" w:hAnsi="仿宋_GB2312" w:cs="仿宋_GB2312" w:eastAsia="仿宋_GB2312"/>
                      <w:sz w:val="21"/>
                      <w:shd w:fill="FFFFFF" w:val="clear"/>
                    </w:rPr>
                    <w:t>张</w:t>
                  </w:r>
                  <w:r>
                    <w:rPr>
                      <w:rFonts w:ascii="仿宋_GB2312" w:hAnsi="仿宋_GB2312" w:cs="仿宋_GB2312" w:eastAsia="仿宋_GB2312"/>
                      <w:sz w:val="21"/>
                      <w:shd w:fill="FFFFFF" w:val="clear"/>
                    </w:rPr>
                    <w:t>/年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短视频</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制作活动</w:t>
                  </w:r>
                  <w:r>
                    <w:rPr>
                      <w:rFonts w:ascii="仿宋_GB2312" w:hAnsi="仿宋_GB2312" w:cs="仿宋_GB2312" w:eastAsia="仿宋_GB2312"/>
                      <w:sz w:val="21"/>
                      <w:shd w:fill="FFFFFF" w:val="clear"/>
                    </w:rPr>
                    <w:t>类、应急宣传类</w:t>
                  </w:r>
                  <w:r>
                    <w:rPr>
                      <w:rFonts w:ascii="仿宋_GB2312" w:hAnsi="仿宋_GB2312" w:cs="仿宋_GB2312" w:eastAsia="仿宋_GB2312"/>
                      <w:sz w:val="21"/>
                      <w:shd w:fill="FFFFFF" w:val="clear"/>
                    </w:rPr>
                    <w:t>短视频。（60秒内）</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≥75</w:t>
                  </w:r>
                  <w:r>
                    <w:rPr>
                      <w:rFonts w:ascii="仿宋_GB2312" w:hAnsi="仿宋_GB2312" w:cs="仿宋_GB2312" w:eastAsia="仿宋_GB2312"/>
                      <w:sz w:val="21"/>
                      <w:shd w:fill="FFFFFF" w:val="clear"/>
                    </w:rPr>
                    <w:t>个/年</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服务期限、地点及付款方式：</w:t>
            </w:r>
          </w:p>
          <w:p>
            <w:pPr>
              <w:pStyle w:val="null3"/>
            </w:pPr>
            <w:r>
              <w:rPr>
                <w:rFonts w:ascii="仿宋_GB2312" w:hAnsi="仿宋_GB2312" w:cs="仿宋_GB2312" w:eastAsia="仿宋_GB2312"/>
                <w:sz w:val="21"/>
              </w:rPr>
              <w:t>1.服务期限：1年</w:t>
            </w:r>
          </w:p>
          <w:p>
            <w:pPr>
              <w:pStyle w:val="null3"/>
            </w:pPr>
            <w:r>
              <w:rPr>
                <w:rFonts w:ascii="仿宋_GB2312" w:hAnsi="仿宋_GB2312" w:cs="仿宋_GB2312" w:eastAsia="仿宋_GB2312"/>
                <w:sz w:val="21"/>
              </w:rPr>
              <w:t>2.服务地点：采购人指定地点。</w:t>
            </w:r>
          </w:p>
          <w:p>
            <w:pPr>
              <w:pStyle w:val="null3"/>
            </w:pPr>
            <w:r>
              <w:rPr>
                <w:rFonts w:ascii="仿宋_GB2312" w:hAnsi="仿宋_GB2312" w:cs="仿宋_GB2312" w:eastAsia="仿宋_GB2312"/>
                <w:sz w:val="21"/>
              </w:rPr>
              <w:t>3.付款方式：甲方在合同签订后且收到乙方提供的等额、合法、有效的发票之日起25个工作日内，向乙方账户支付合同总金额的80％；甲方验收合格后25个工作日内，向乙方账户支付剩余合同总金额的20％。所有款项均以银行转账方式支付，每次甲方付款前乙方应开具等额发票给甲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1.供应商应保证所提供的服务或其任何一部分均不会侵犯任何第三方的专利权、商标权或著作权。</w:t>
            </w:r>
          </w:p>
          <w:p>
            <w:pPr>
              <w:pStyle w:val="null3"/>
            </w:pPr>
            <w:r>
              <w:rPr>
                <w:rFonts w:ascii="仿宋_GB2312" w:hAnsi="仿宋_GB2312" w:cs="仿宋_GB2312" w:eastAsia="仿宋_GB2312"/>
                <w:sz w:val="21"/>
              </w:rPr>
              <w:t>2.报价要求：（1）成交供应商在项目实施期间，若上级主管部门对本项目的完成时间、工作内容和技术要求有调整和变化的，供应商应无条件按照新要求执行，满足采购人和上级主管部门对本项目的部署与要求，所需一切费用包含在本次磋商报价中。（2）项目总报价应当包括完成本项目可能发生的各项费用的总和，为包干费用，如人工费、成果编制费、咨询费、招标代理服务费、税金等一切费用的体现，采购文件未列明而供应商认为其他必需的费用也须列入报价内。采购人不再另行支付成交金额以外的其他任何费用。</w:t>
            </w:r>
          </w:p>
          <w:p>
            <w:pPr>
              <w:pStyle w:val="null3"/>
            </w:pPr>
            <w:r>
              <w:rPr>
                <w:rFonts w:ascii="仿宋_GB2312" w:hAnsi="仿宋_GB2312" w:cs="仿宋_GB2312" w:eastAsia="仿宋_GB2312"/>
                <w:sz w:val="21"/>
              </w:rPr>
              <w:t>3、违约责任与解决争议的方法：（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至少3名编辑以上的固定人员，成立专业的内容运维服务团队，为采购人负责PC网站及wap手机站的内容更新、官方微信公众号内容编发运营、官方微信视频号内容编发运营、官方微博内容编发运营的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1、甲方按服务周期对乙方服务进行阶段性验收，以内容发布合规性、更新频次、数据指标完成度、用户反馈情况作为核心验收标准。 2、若乙方服务未达到合同约定标准，甲方有权向乙方出具整改通知书，乙方需在3个工作日内完成整改并提交复验。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预付款，甲方在合同签订后且收到乙方提供的等额、合法、有效的发票之日起，达到付款条件起25个工作日内，支付合同总金额的80.0%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进度款，甲方验收合格后，达到付款条件起25个工作日内，支付合同总金额的20.0%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中标（成交）人在领取中标（成交）通知书时将纸质版投标（响应）文件正本1册、副本2册打印胶装盖章后提交至采购代理机构处，以便采购人进行留存备案等工作，中标（成交）人应保证投标（响应）文件文件纸质版内容与平台上传电子版内容完全一致，否则将承担一切法律责任。2.本项目所属行业为：软件和信息技术服务业。根据《工业和信息化部、国家统计局、国家发展和改革委员会、财政部关于印发中小企业划型标准规定的通知》《工信部联企业(2011)300号)规定的划型标准：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需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本采购包专门面向中小企业采购（监狱企业、残疾人福利性单位视同小型、微型企业）。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具有承担民事责任的能力</w:t>
            </w:r>
          </w:p>
        </w:tc>
        <w:tc>
          <w:tcPr>
            <w:tcW w:type="dxa" w:w="3322"/>
          </w:tcPr>
          <w:p>
            <w:pPr>
              <w:pStyle w:val="null3"/>
            </w:pPr>
            <w:r>
              <w:rPr>
                <w:rFonts w:ascii="仿宋_GB2312" w:hAnsi="仿宋_GB2312" w:cs="仿宋_GB2312" w:eastAsia="仿宋_GB2312"/>
              </w:rPr>
              <w:t>具有独立承担民事责任能力的法人、其他社会组织或自然人，并出具合法有效的营业执照或事业单位法人证书等国家规定的相关证明，自然人参与的提供其身份证明。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互联网新闻信息服务许可证</w:t>
            </w:r>
          </w:p>
        </w:tc>
        <w:tc>
          <w:tcPr>
            <w:tcW w:type="dxa" w:w="3322"/>
          </w:tcPr>
          <w:p>
            <w:pPr>
              <w:pStyle w:val="null3"/>
            </w:pPr>
            <w:r>
              <w:rPr>
                <w:rFonts w:ascii="仿宋_GB2312" w:hAnsi="仿宋_GB2312" w:cs="仿宋_GB2312" w:eastAsia="仿宋_GB2312"/>
              </w:rPr>
              <w:t>具有互联网新闻信息服务许可证。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响应文件封面 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本项目（合同包）不接受联合体磋商。</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评审委员会启动异常低价投标（响应）审查程序后，要求投标人在评标委员会规定的期限内提供书面文件予以解释说明，并提交相关证明材料；如果其不能够在评标委员会规定时间内提供相关材料证明其报价的合理性，其最后报价为无效报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商务要求偏离表 分项报价表 技术要求偏离表 中小企业声明函 资格证明材料 近年完成类似项目情况表 报价表 响应文件封面 残疾人福利性单位声明函 服务方案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磋商有效期是否满足磋商文件规定，授权期限是否满足磋商文件中规定的有效期；</w:t>
            </w:r>
          </w:p>
        </w:tc>
        <w:tc>
          <w:tcPr>
            <w:tcW w:type="dxa" w:w="1661"/>
          </w:tcPr>
          <w:p>
            <w:pPr>
              <w:pStyle w:val="null3"/>
            </w:pPr>
            <w:r>
              <w:rPr>
                <w:rFonts w:ascii="仿宋_GB2312" w:hAnsi="仿宋_GB2312" w:cs="仿宋_GB2312" w:eastAsia="仿宋_GB2312"/>
              </w:rPr>
              <w:t>商务要求偏离表 分项报价表 技术要求偏离表 中小企业声明函 资格证明材料 近年完成类似项目情况表 报价表 响应文件封面 残疾人福利性单位声明函 服务方案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对于采购文件要求响应的内容磋商响应文件是否做到全部响应；</w:t>
            </w:r>
          </w:p>
        </w:tc>
        <w:tc>
          <w:tcPr>
            <w:tcW w:type="dxa" w:w="1661"/>
          </w:tcPr>
          <w:p>
            <w:pPr>
              <w:pStyle w:val="null3"/>
            </w:pPr>
            <w:r>
              <w:rPr>
                <w:rFonts w:ascii="仿宋_GB2312" w:hAnsi="仿宋_GB2312" w:cs="仿宋_GB2312" w:eastAsia="仿宋_GB2312"/>
              </w:rPr>
              <w:t>商务要求偏离表 分项报价表 技术要求偏离表 中小企业声明函 资格证明材料 近年完成类似项目情况表 报价表 响应文件封面 残疾人福利性单位声明函 服务方案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服务期限是否符合要求；</w:t>
            </w:r>
          </w:p>
        </w:tc>
        <w:tc>
          <w:tcPr>
            <w:tcW w:type="dxa" w:w="1661"/>
          </w:tcPr>
          <w:p>
            <w:pPr>
              <w:pStyle w:val="null3"/>
            </w:pPr>
            <w:r>
              <w:rPr>
                <w:rFonts w:ascii="仿宋_GB2312" w:hAnsi="仿宋_GB2312" w:cs="仿宋_GB2312" w:eastAsia="仿宋_GB2312"/>
              </w:rPr>
              <w:t>商务要求偏离表 技术要求偏离表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磋商文件规定的其他要求</w:t>
            </w:r>
          </w:p>
        </w:tc>
        <w:tc>
          <w:tcPr>
            <w:tcW w:type="dxa" w:w="3322"/>
          </w:tcPr>
          <w:p>
            <w:pPr>
              <w:pStyle w:val="null3"/>
            </w:pPr>
            <w:r>
              <w:rPr>
                <w:rFonts w:ascii="仿宋_GB2312" w:hAnsi="仿宋_GB2312" w:cs="仿宋_GB2312" w:eastAsia="仿宋_GB2312"/>
              </w:rPr>
              <w:t>是否满足磋商文件规定的其他要求。</w:t>
            </w:r>
          </w:p>
        </w:tc>
        <w:tc>
          <w:tcPr>
            <w:tcW w:type="dxa" w:w="1661"/>
          </w:tcPr>
          <w:p>
            <w:pPr>
              <w:pStyle w:val="null3"/>
            </w:pPr>
            <w:r>
              <w:rPr>
                <w:rFonts w:ascii="仿宋_GB2312" w:hAnsi="仿宋_GB2312" w:cs="仿宋_GB2312" w:eastAsia="仿宋_GB2312"/>
              </w:rPr>
              <w:t>商务要求偏离表 分项报价表 技术要求偏离表 中小企业声明函 资格证明材料 近年完成类似项目情况表 报价表 响应文件封面 残疾人福利性单位声明函 服务方案 标的清单 陕西省政府采购供应商拒绝政府采购领域商业贿赂承诺书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整体运维服务实施方案</w:t>
            </w:r>
          </w:p>
        </w:tc>
        <w:tc>
          <w:tcPr>
            <w:tcW w:type="dxa" w:w="2492"/>
          </w:tcPr>
          <w:p>
            <w:pPr>
              <w:pStyle w:val="null3"/>
            </w:pPr>
            <w:r>
              <w:rPr>
                <w:rFonts w:ascii="仿宋_GB2312" w:hAnsi="仿宋_GB2312" w:cs="仿宋_GB2312" w:eastAsia="仿宋_GB2312"/>
              </w:rPr>
              <w:t>1.严格遵循行业规范、技术标准，编制体系完整，数据逻辑严谨、科学合规，完全适配项目要求，计(9-10]分。2.编制章节齐全、内容合规，符合规范要求，部分技术细节、优化不足，计(8-9]分。3.核心章节缺失、内容简略，编制缺乏规范性，计(7-8]分。4.未提供整体运维服务实施方案或提供内容与本条无关，计0分。 区间符号：“[”、“]”包含本数；“（”、“）”不包含本数，下同。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内容创意策划能力</w:t>
            </w:r>
          </w:p>
        </w:tc>
        <w:tc>
          <w:tcPr>
            <w:tcW w:type="dxa" w:w="2492"/>
          </w:tcPr>
          <w:p>
            <w:pPr>
              <w:pStyle w:val="null3"/>
            </w:pPr>
            <w:r>
              <w:rPr>
                <w:rFonts w:ascii="仿宋_GB2312" w:hAnsi="仿宋_GB2312" w:cs="仿宋_GB2312" w:eastAsia="仿宋_GB2312"/>
              </w:rPr>
              <w:t>1.策划案例丰富，创意形式多样，可落地性强，能有效提升平台传播影响力，计(9-10]分。2.有常规主题策划思路，创意形式较常规，基本满足日常宣传需求，计(8-9]分。3.策划思路单一，无针对性设计，难以支撑特色内容产出，计(7-8]分。4.未提供创意策划或提供内容与本条无关，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建立全流程质量管控体系，流程管控思路清晰，保证措施详细完整、科学合理、可行性强，可有效保障服务质量，计(9-10]分。2.质量保障体系完整，具备全流程管控思路，细节细化不足，计(8-9]分。3.仅简单罗列保障措施，无具体管控流程，可行性差，计(7-8]分。4.未提供质量保证措施或提供内容与本条无关，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1.针对本项目剖析风险重点、技术难点，配套针对性强、可落地的技术应对措施，贴合项目要求，计(9-10]分。2.能够识别项目主要重难点，分析逻辑合理，具备基础应对措施，深度不足、措施偏通用，计(8-9]分。3.重难点识别不全、分析浅显，无有效应对措施，计(7-8]分。4.无重难点分析或提供内容与本条无关，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满足最低配备（3人）要求，得基础分5分，每增加1人加2分，最高加10分，本项最高得15分。 要求所配人员必须为本单位在职人员，提供人员近1年内连续3个月的社保缴纳证明，否则不计数。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拟配备人员资质</w:t>
            </w:r>
          </w:p>
        </w:tc>
        <w:tc>
          <w:tcPr>
            <w:tcW w:type="dxa" w:w="2492"/>
          </w:tcPr>
          <w:p>
            <w:pPr>
              <w:pStyle w:val="null3"/>
            </w:pPr>
            <w:r>
              <w:rPr>
                <w:rFonts w:ascii="仿宋_GB2312" w:hAnsi="仿宋_GB2312" w:cs="仿宋_GB2312" w:eastAsia="仿宋_GB2312"/>
              </w:rPr>
              <w:t>所配备人员中，持有新闻记者职业资格合格证（广播电视编辑记者资格合格证）或记者证人数，占比总人数≥70%得15分；占比总人数[40%-70%）得13分；占比总人数[10%-40%）得10分；占比总人数＜10%的，本项直接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内容安全零差错承诺：严格落实国家信息系统安全等级保护要求，所有发布内容均经过事前敏感词云平台检测，全年实现涉政、涉敏、涉不良信息内容零发布，重大节点内容发布前执行双人三审校验机制，确保导向合规、表述准确； 2.账号矩阵运维承诺：对平台下辖的微信、微博等全矩阵账号实行“一号一档”精细化管理，全年零违规扣分、零账号异常封禁； 3.数据安全保障承诺：严格执行数据全生命周期保密管理，所有用户数据、业务素材不对外泄露，服务期内定期完成全量数据异地备份，项目结束后完整移交全部内容资产，不私自留存任何涉密业务资料； 4.故障应急兜底承诺：内容发布系统出现异常时，4小时内定位问题并出具解决方案，6小时内安排技术人员到场处置，24小时内无法修复的立即启用备用发布通道，保障应急类重要内容不中断发布； 5.版权合规兜底承诺：所有产出内容的文字、图片、音视频素材均取得合法商用授权，全年不发生任何第三方知识产权侵权纠纷，若出现版权争议由服务方承担全部法律责任与经济损失。 以上5项服务承诺内容，每一项内容得2分。总计可得10分； 没有提供或承诺内容不符者，该项不计分。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每提供一份2023年01月01日起至本项目响应文件递交截止时间止的类似项目业绩得2分，最多得10分。以响应文件中所附业绩合同或中标通知书扫描件为准。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供应商，其磋商总报价为有效报价，以二次（最终）报价为最终评审价格。对符合政策性扣减的有效磋商报价进行政策性扣减（如有），并依据扣减后的价格（评审价格）进行价格评审； 2.有效最低报价为磋商基准价得10分； 3.其他供应商的价格分统一按照下列公式计算：磋商报价得分=（磋商基准价/最后磋商报价）×10； 4.磋商报价不完整的，不进入评标基准价的计算，本项得0分。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详见附件：近年完成类似项目情况表</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