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97111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84" w:lineRule="atLeast"/>
        <w:ind w:left="0" w:firstLine="0"/>
        <w:jc w:val="center"/>
        <w:rPr>
          <w:rFonts w:ascii="微软雅黑" w:hAnsi="微软雅黑" w:eastAsia="微软雅黑" w:cs="微软雅黑"/>
          <w:b/>
          <w:bCs/>
          <w:i w:val="0"/>
          <w:iCs w:val="0"/>
          <w:caps w:val="0"/>
          <w:color w:val="0A82E5"/>
          <w:spacing w:val="0"/>
          <w:sz w:val="36"/>
          <w:szCs w:val="36"/>
        </w:rPr>
      </w:pPr>
      <w:bookmarkStart w:id="0" w:name="_GoBack"/>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府谷镇2026年第二批村级公益事业路灯安装项目竞争性谈判公告</w:t>
      </w:r>
    </w:p>
    <w:bookmarkEnd w:id="0"/>
    <w:p w14:paraId="39005521">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120" w:afterAutospacing="0" w:line="24"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4ECD49D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120" w:afterAutospacing="0" w:line="384" w:lineRule="atLeast"/>
        <w:ind w:left="0" w:right="0" w:firstLine="384"/>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府谷镇2026年第二批村级公益事业路灯安装项目</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全国公共资源交易中心平台（陕西省）使用CA锁投标确认后自行下载</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2026年11月11日 14时30分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7893DE6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一、项目基本情况</w:t>
      </w:r>
    </w:p>
    <w:p w14:paraId="1ABB770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项目编号：ZCSP-府谷县-2026-01644</w:t>
      </w:r>
    </w:p>
    <w:p w14:paraId="4680F95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项目名称：府谷镇2026年第二批村级公益事业路灯安装项目</w:t>
      </w:r>
    </w:p>
    <w:p w14:paraId="6089044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采购方式：竞争性谈判</w:t>
      </w:r>
    </w:p>
    <w:p w14:paraId="0F037AF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预算金额：919,887.89元</w:t>
      </w:r>
    </w:p>
    <w:p w14:paraId="1732742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29B0D50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合同包1(府谷镇2026年第二批村级公益事业路灯安装项目):</w:t>
      </w:r>
    </w:p>
    <w:p w14:paraId="21C8B3F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50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合同包预算金额：919,887.89元</w:t>
      </w:r>
    </w:p>
    <w:p w14:paraId="3142EAC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50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合同包最高限价：919,887.89元</w:t>
      </w:r>
    </w:p>
    <w:tbl>
      <w:tblPr>
        <w:tblW w:w="1153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894"/>
        <w:gridCol w:w="2848"/>
        <w:gridCol w:w="2998"/>
        <w:gridCol w:w="1158"/>
        <w:gridCol w:w="2046"/>
        <w:gridCol w:w="1592"/>
      </w:tblGrid>
      <w:tr w14:paraId="6B9281C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1200" w:type="dxa"/>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4A094A4C">
            <w:pPr>
              <w:keepNext w:val="0"/>
              <w:keepLines w:val="0"/>
              <w:widowControl/>
              <w:suppressLineNumbers w:val="0"/>
              <w:wordWrap w:val="0"/>
              <w:spacing w:before="0" w:beforeAutospacing="0" w:after="0" w:afterAutospacing="0" w:line="288"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4500" w:type="dxa"/>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0F5DD081">
            <w:pPr>
              <w:keepNext w:val="0"/>
              <w:keepLines w:val="0"/>
              <w:widowControl/>
              <w:suppressLineNumbers w:val="0"/>
              <w:wordWrap w:val="0"/>
              <w:spacing w:before="0" w:beforeAutospacing="0" w:after="0" w:afterAutospacing="0" w:line="288"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4500" w:type="dxa"/>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2A6E35D2">
            <w:pPr>
              <w:keepNext w:val="0"/>
              <w:keepLines w:val="0"/>
              <w:widowControl/>
              <w:suppressLineNumbers w:val="0"/>
              <w:wordWrap w:val="0"/>
              <w:spacing w:before="0" w:beforeAutospacing="0" w:after="0" w:afterAutospacing="0" w:line="288"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1500" w:type="dxa"/>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59B32D70">
            <w:pPr>
              <w:keepNext w:val="0"/>
              <w:keepLines w:val="0"/>
              <w:widowControl/>
              <w:suppressLineNumbers w:val="0"/>
              <w:wordWrap w:val="0"/>
              <w:spacing w:before="0" w:beforeAutospacing="0" w:after="0" w:afterAutospacing="0" w:line="288"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3000" w:type="dxa"/>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5F68E5DD">
            <w:pPr>
              <w:keepNext w:val="0"/>
              <w:keepLines w:val="0"/>
              <w:widowControl/>
              <w:suppressLineNumbers w:val="0"/>
              <w:wordWrap w:val="0"/>
              <w:spacing w:before="0" w:beforeAutospacing="0" w:after="0" w:afterAutospacing="0" w:line="288"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800" w:type="dxa"/>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20A0BFBF">
            <w:pPr>
              <w:keepNext w:val="0"/>
              <w:keepLines w:val="0"/>
              <w:widowControl/>
              <w:suppressLineNumbers w:val="0"/>
              <w:wordWrap w:val="0"/>
              <w:spacing w:before="0" w:beforeAutospacing="0" w:after="0" w:afterAutospacing="0" w:line="288"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4AD72DB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84" w:hRule="atLeast"/>
        </w:trPr>
        <w:tc>
          <w:tcPr>
            <w:tcW w:w="0" w:type="auto"/>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45CA54B3">
            <w:pPr>
              <w:keepNext w:val="0"/>
              <w:keepLines w:val="0"/>
              <w:widowControl/>
              <w:suppressLineNumbers w:val="0"/>
              <w:wordWrap w:val="0"/>
              <w:spacing w:before="0" w:beforeAutospacing="0" w:after="0" w:afterAutospacing="0" w:line="288"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0" w:type="auto"/>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1F2B3D40">
            <w:pPr>
              <w:keepNext w:val="0"/>
              <w:keepLines w:val="0"/>
              <w:widowControl/>
              <w:suppressLineNumbers w:val="0"/>
              <w:wordWrap w:val="0"/>
              <w:spacing w:before="0" w:beforeAutospacing="0" w:after="0" w:afterAutospacing="0" w:line="288" w:lineRule="atLeast"/>
              <w:ind w:left="0" w:right="0"/>
              <w:jc w:val="center"/>
              <w:rPr>
                <w:sz w:val="21"/>
                <w:szCs w:val="21"/>
              </w:rPr>
            </w:pPr>
            <w:r>
              <w:rPr>
                <w:rFonts w:ascii="宋体" w:hAnsi="宋体" w:eastAsia="宋体" w:cs="宋体"/>
                <w:kern w:val="0"/>
                <w:sz w:val="21"/>
                <w:szCs w:val="21"/>
                <w:bdr w:val="none" w:color="auto" w:sz="0" w:space="0"/>
                <w:lang w:val="en-US" w:eastAsia="zh-CN" w:bidi="ar"/>
              </w:rPr>
              <w:t>建筑物照明设备安装</w:t>
            </w:r>
          </w:p>
        </w:tc>
        <w:tc>
          <w:tcPr>
            <w:tcW w:w="0" w:type="auto"/>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1B42B653">
            <w:pPr>
              <w:keepNext w:val="0"/>
              <w:keepLines w:val="0"/>
              <w:widowControl/>
              <w:suppressLineNumbers w:val="0"/>
              <w:wordWrap w:val="0"/>
              <w:spacing w:before="0" w:beforeAutospacing="0" w:after="0" w:afterAutospacing="0" w:line="288" w:lineRule="atLeast"/>
              <w:ind w:left="0" w:right="0"/>
              <w:jc w:val="center"/>
              <w:rPr>
                <w:sz w:val="21"/>
                <w:szCs w:val="21"/>
              </w:rPr>
            </w:pPr>
            <w:r>
              <w:rPr>
                <w:rFonts w:ascii="宋体" w:hAnsi="宋体" w:eastAsia="宋体" w:cs="宋体"/>
                <w:kern w:val="0"/>
                <w:sz w:val="21"/>
                <w:szCs w:val="21"/>
                <w:bdr w:val="none" w:color="auto" w:sz="0" w:space="0"/>
                <w:lang w:val="en-US" w:eastAsia="zh-CN" w:bidi="ar"/>
              </w:rPr>
              <w:t>府谷镇2026年第二批村级公益事业路灯安装项目</w:t>
            </w:r>
          </w:p>
        </w:tc>
        <w:tc>
          <w:tcPr>
            <w:tcW w:w="0" w:type="auto"/>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5F91222B">
            <w:pPr>
              <w:keepNext w:val="0"/>
              <w:keepLines w:val="0"/>
              <w:widowControl/>
              <w:suppressLineNumbers w:val="0"/>
              <w:wordWrap w:val="0"/>
              <w:spacing w:before="0" w:beforeAutospacing="0" w:after="0" w:afterAutospacing="0" w:line="288"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0" w:type="auto"/>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0B61EF8E">
            <w:pPr>
              <w:keepNext w:val="0"/>
              <w:keepLines w:val="0"/>
              <w:widowControl/>
              <w:suppressLineNumbers w:val="0"/>
              <w:wordWrap w:val="0"/>
              <w:spacing w:before="0" w:beforeAutospacing="0" w:after="0" w:afterAutospacing="0" w:line="288"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664EA43B">
            <w:pPr>
              <w:keepNext w:val="0"/>
              <w:keepLines w:val="0"/>
              <w:widowControl/>
              <w:suppressLineNumbers w:val="0"/>
              <w:wordWrap/>
              <w:spacing w:before="0" w:beforeAutospacing="0" w:after="0" w:afterAutospacing="0" w:line="288" w:lineRule="atLeast"/>
              <w:ind w:left="0" w:right="0"/>
              <w:jc w:val="right"/>
              <w:rPr>
                <w:sz w:val="21"/>
                <w:szCs w:val="21"/>
              </w:rPr>
            </w:pPr>
            <w:r>
              <w:rPr>
                <w:rFonts w:ascii="宋体" w:hAnsi="宋体" w:eastAsia="宋体" w:cs="宋体"/>
                <w:kern w:val="0"/>
                <w:sz w:val="21"/>
                <w:szCs w:val="21"/>
                <w:bdr w:val="none" w:color="auto" w:sz="0" w:space="0"/>
                <w:lang w:val="en-US" w:eastAsia="zh-CN" w:bidi="ar"/>
              </w:rPr>
              <w:t>919,887.89</w:t>
            </w:r>
          </w:p>
        </w:tc>
      </w:tr>
    </w:tbl>
    <w:p w14:paraId="6A172F9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50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2CF2494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50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合同履行期限：20日历天。</w:t>
      </w:r>
    </w:p>
    <w:p w14:paraId="58500FA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二、申请人的资格要求：</w:t>
      </w:r>
    </w:p>
    <w:p w14:paraId="190780B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41C8A91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02DC595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合同包1(府谷镇2026年第二批村级公益事业路灯安装项目)落实政府采购政策需满足的资格要求如下:</w:t>
      </w:r>
    </w:p>
    <w:p w14:paraId="32695D2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（1）、《政府采购促进中小企业发展管理办法》（财库〔2020〕46号）；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（2）、《三部门联合发布关于促进残疾人就业政府采购政策的通知》（财库[2017] 141号）；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（3）、《财政部司法部关于政府采购支持监狱企业发展有关问题的通知》（财库〔2014〕68号）；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（4）、《国务院办公厅关于建立政府强制采购节能产品制度的通知》（国办发[2007]51号）；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（6）、《陕西省中小企业政府采购信用融资办法》（陕财办采〔2018〕23号）；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（7）、《关于进一步加大政府采购支持中小企业力度的通知》（财库〔2022〕19号）；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（8）、《国务院办公厅关于在政府采购中实施本国产品标准及相关政策的通知》（国办发〔2025〕34号）；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（9）、落实其它相关政策。</w:t>
      </w:r>
    </w:p>
    <w:p w14:paraId="2C671A6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165AF66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合同包1(府谷镇2026年第二批村级公益事业路灯安装项目)特定资格要求如下:</w:t>
      </w:r>
    </w:p>
    <w:p w14:paraId="072638C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384"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供应商需具有独立承担民事责任能力的法人、其他组织或自然人。企业法人应提供合法有效的统一社会信用代码的营业执照（附营业执照2025年企业年度报告书）；事业法人应提供事业单位法人证书；其他组织应提供合法登记证明文件；自然人应提供身份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（2）、供应商须具备市政公用工程施工总承包三级及其以上资质的独立企业法人，并具备有效的安全生产许可证；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（3）、供应商拟派项目负责人需具备市政公用工程专业二级及以上建造师注册证书、安全生产考核合格证书（建安B证）且未担任其他在建工程的项目负责人；</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财务状况报告：财务状况良好，提供2025年财务审计报告，审计报告包括报告正文、资产负债表、现金流量表、利润表或损益表、附注和会计师事务所营业执照且审计报告应当经过注册会计师行业统一监管平台备案赋码并提供查询截图（公司成立不足一年的需提供银行出具的资信证明及基本账号开户许可证或开户银行出具的基本存款账户信息表）；</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（5）、税收缴纳证明：提供2025年11月至今已缴纳的至少一个月的纳税证明材料或完税证明，依法免税的单位应提供相关证明材料；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（6）、社会保障资金缴纳证明：提供2025年11月至今已缴纳的至少一个月的社会保障资金缴存单据或社保机构开具的社会保险参保缴费情况证明。依法不需要缴纳社会保障资金的供应商应提供相关文件证明；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7）、信誉要求：供应商在中国政府采购网（www.ccgp.gov.cn）中未被列入政府采购严重违法失信行为记录名单；供应商、法定代表人、项目负责人在“信用中国”网站（https://www.creditchina.gov.cn/）中未被列入失信被执行人行为记录名单，供应商提供企业信用报告（信用报告正文部分“六、信用承诺信息”较多，此项可不提供，其余内容须完整），供应商、法定代表人、项目负责人提供网页查询截图加盖企业原色印章（“信用中国”网站中失信被执行人查询截图以“中国执行信息公开网”网站（http://zxgk.court.gov.cn/shixin/）中全国范围内查询为准）。提供本项目发出公告之日至响应文件递交截止时间前查询的相关信誉要求完整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（8）、供应商需提供榆林市政府采购工程类项目供应商信用承诺书、投标人信用承诺书、投标人委托代理人员信用承诺书以及在“信用中国（陕西榆林）”网站上传附件后的网页截图；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（9）、书面声明：参加本次政府采购活动前三年内在经营活动中没有重大违法记录的声明函；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（10）、履约能力：供应商需提供具有履行合同所必需的设备和专业技术能力的承诺函；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（11）、本项目采用投标信用承诺书代替投标保证金的形式，供应商需提供投标信用承诺书及在“信用中国（陕西榆林）”网站上传附件后的网页截图；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（12）、本项目不接受联合体谈判，单位负责人为同一人或者存在直接控股、管理关系的不同供应商，不得同时参加本项目采购活动，提供《供应商企业关系关联承诺书》；</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13）、本项目专门面向中小企业采购。不满足中小企业政策规定的，将被拒绝参与本项目政府采购活动。满足要求的中小企业须提供管理办法规定的《中小企业声明函》。满足要求的监狱企业、福利性企业参加政府采购活动时，视同小微企业。本项目采购标的对应的中小企业划分标准所属行业为建筑业；</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14）、拟投入项目管理人员情况应配备合理，包括但不限于：质量员（或质检员）、材料员、施工员、资料员、安全员。质量员（或质检员）、材料员、施工员、资料员应提供有效的培训证书或岗位证书、身份证复印件；安全员应持有有效的安全生产考核合格证书（建安C证）、身份证复印件。</w:t>
      </w:r>
    </w:p>
    <w:p w14:paraId="0A66209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三、获取采购文件</w:t>
      </w:r>
    </w:p>
    <w:p w14:paraId="0842E4A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2026年11月04日 至 2026年11月06日 ，每天上午 08:30:00 至 12:00:00 ，下午 14:00:00 至 17:00:00 （北京时间）</w:t>
      </w:r>
    </w:p>
    <w:p w14:paraId="1CB40AE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全国公共资源交易中心平台（陕西省）使用CA锁投标确认后自行下载</w:t>
      </w:r>
    </w:p>
    <w:p w14:paraId="53813A6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在线获取</w:t>
      </w:r>
    </w:p>
    <w:p w14:paraId="0266C42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3E52DA4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四、响应文件提交</w:t>
      </w:r>
    </w:p>
    <w:p w14:paraId="759204F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2026年11月11日 14时30分00秒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4216CDE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府谷县新区盛尚嘉宴酒店 5 楼会议室</w:t>
      </w:r>
    </w:p>
    <w:p w14:paraId="30F97DA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五、开启</w:t>
      </w:r>
    </w:p>
    <w:p w14:paraId="691625E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2026年11月11日 14时30分00秒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0EFBB25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府谷县新区盛尚嘉宴酒店 5 楼会议室</w:t>
      </w:r>
    </w:p>
    <w:p w14:paraId="66C5824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六、公告期限</w:t>
      </w:r>
    </w:p>
    <w:p w14:paraId="471D51B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445906A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七、其他补充事宜</w:t>
      </w:r>
    </w:p>
    <w:p w14:paraId="2E15627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ascii="Calibri" w:hAnsi="Calibri" w:eastAsia="宋体" w:cs="Calibri"/>
          <w:i w:val="0"/>
          <w:iCs w:val="0"/>
          <w:caps w:val="0"/>
          <w:color w:val="0A82E5"/>
          <w:spacing w:val="0"/>
          <w:sz w:val="21"/>
          <w:szCs w:val="21"/>
          <w:bdr w:val="none" w:color="auto" w:sz="0" w:space="0"/>
          <w:shd w:val="clear" w:fill="FFFFFF"/>
        </w:rPr>
        <w:t>1</w:t>
      </w:r>
      <w:r>
        <w:rPr>
          <w:rFonts w:hint="eastAsia" w:ascii="宋体" w:hAnsi="宋体" w:eastAsia="宋体" w:cs="宋体"/>
          <w:i w:val="0"/>
          <w:iCs w:val="0"/>
          <w:caps w:val="0"/>
          <w:color w:val="0A82E5"/>
          <w:spacing w:val="0"/>
          <w:sz w:val="21"/>
          <w:szCs w:val="21"/>
          <w:bdr w:val="none" w:color="auto" w:sz="0" w:space="0"/>
          <w:shd w:val="clear" w:fill="FFFFFF"/>
        </w:rPr>
        <w:t>、供应商可登录全国公共资源交易中心平台（陕西省）（</w:t>
      </w:r>
      <w:r>
        <w:rPr>
          <w:rFonts w:hint="default" w:ascii="Calibri" w:hAnsi="Calibri" w:eastAsia="宋体" w:cs="Calibri"/>
          <w:i w:val="0"/>
          <w:iCs w:val="0"/>
          <w:caps w:val="0"/>
          <w:color w:val="0A82E5"/>
          <w:spacing w:val="0"/>
          <w:sz w:val="21"/>
          <w:szCs w:val="21"/>
          <w:bdr w:val="none" w:color="auto" w:sz="0" w:space="0"/>
          <w:shd w:val="clear" w:fill="FFFFFF"/>
        </w:rPr>
        <w:t>http://www.sxggzyjy.cn/</w:t>
      </w:r>
      <w:r>
        <w:rPr>
          <w:rFonts w:hint="eastAsia" w:ascii="宋体" w:hAnsi="宋体" w:eastAsia="宋体" w:cs="宋体"/>
          <w:i w:val="0"/>
          <w:iCs w:val="0"/>
          <w:caps w:val="0"/>
          <w:color w:val="0A82E5"/>
          <w:spacing w:val="0"/>
          <w:sz w:val="21"/>
          <w:szCs w:val="21"/>
          <w:bdr w:val="none" w:color="auto" w:sz="0" w:space="0"/>
          <w:shd w:val="clear" w:fill="FFFFFF"/>
        </w:rPr>
        <w:t>）</w:t>
      </w:r>
      <w:r>
        <w:rPr>
          <w:rFonts w:hint="default" w:ascii="Calibri" w:hAnsi="Calibri" w:eastAsia="宋体" w:cs="Calibri"/>
          <w:i w:val="0"/>
          <w:iCs w:val="0"/>
          <w:caps w:val="0"/>
          <w:color w:val="0A82E5"/>
          <w:spacing w:val="0"/>
          <w:sz w:val="21"/>
          <w:szCs w:val="21"/>
          <w:bdr w:val="none" w:color="auto" w:sz="0" w:space="0"/>
          <w:shd w:val="clear" w:fill="FFFFFF"/>
        </w:rPr>
        <w:t>,</w:t>
      </w:r>
      <w:r>
        <w:rPr>
          <w:rFonts w:hint="eastAsia" w:ascii="宋体" w:hAnsi="宋体" w:eastAsia="宋体" w:cs="宋体"/>
          <w:i w:val="0"/>
          <w:iCs w:val="0"/>
          <w:caps w:val="0"/>
          <w:color w:val="0A82E5"/>
          <w:spacing w:val="0"/>
          <w:sz w:val="21"/>
          <w:szCs w:val="21"/>
          <w:bdr w:val="none" w:color="auto" w:sz="0" w:space="0"/>
          <w:shd w:val="clear" w:fill="FFFFFF"/>
        </w:rPr>
        <w:t>选择“电子交易平台</w:t>
      </w:r>
      <w:r>
        <w:rPr>
          <w:rFonts w:hint="default" w:ascii="Calibri" w:hAnsi="Calibri" w:eastAsia="宋体" w:cs="Calibri"/>
          <w:i w:val="0"/>
          <w:iCs w:val="0"/>
          <w:caps w:val="0"/>
          <w:color w:val="0A82E5"/>
          <w:spacing w:val="0"/>
          <w:sz w:val="21"/>
          <w:szCs w:val="21"/>
          <w:bdr w:val="none" w:color="auto" w:sz="0" w:space="0"/>
          <w:shd w:val="clear" w:fill="FFFFFF"/>
        </w:rPr>
        <w:t>-</w:t>
      </w:r>
      <w:r>
        <w:rPr>
          <w:rFonts w:hint="eastAsia" w:ascii="宋体" w:hAnsi="宋体" w:eastAsia="宋体" w:cs="宋体"/>
          <w:i w:val="0"/>
          <w:iCs w:val="0"/>
          <w:caps w:val="0"/>
          <w:color w:val="0A82E5"/>
          <w:spacing w:val="0"/>
          <w:sz w:val="21"/>
          <w:szCs w:val="21"/>
          <w:bdr w:val="none" w:color="auto" w:sz="0" w:space="0"/>
          <w:shd w:val="clear" w:fill="FFFFFF"/>
        </w:rPr>
        <w:t>政府采购交易系统</w:t>
      </w:r>
      <w:r>
        <w:rPr>
          <w:rFonts w:hint="default" w:ascii="Calibri" w:hAnsi="Calibri" w:eastAsia="宋体" w:cs="Calibri"/>
          <w:i w:val="0"/>
          <w:iCs w:val="0"/>
          <w:caps w:val="0"/>
          <w:color w:val="0A82E5"/>
          <w:spacing w:val="0"/>
          <w:sz w:val="21"/>
          <w:szCs w:val="21"/>
          <w:bdr w:val="none" w:color="auto" w:sz="0" w:space="0"/>
          <w:shd w:val="clear" w:fill="FFFFFF"/>
        </w:rPr>
        <w:t>-</w:t>
      </w:r>
      <w:r>
        <w:rPr>
          <w:rFonts w:hint="eastAsia" w:ascii="宋体" w:hAnsi="宋体" w:eastAsia="宋体" w:cs="宋体"/>
          <w:i w:val="0"/>
          <w:iCs w:val="0"/>
          <w:caps w:val="0"/>
          <w:color w:val="0A82E5"/>
          <w:spacing w:val="0"/>
          <w:sz w:val="21"/>
          <w:szCs w:val="21"/>
          <w:bdr w:val="none" w:color="auto" w:sz="0" w:space="0"/>
          <w:shd w:val="clear" w:fill="FFFFFF"/>
        </w:rPr>
        <w:t>企业端进行登录，登录后选择“交易乙方”身份进入供应商界面进行投标确认并免费下载竞争性谈判文件。</w:t>
      </w:r>
    </w:p>
    <w:p w14:paraId="0DCD808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default" w:ascii="Calibri" w:hAnsi="Calibri" w:eastAsia="宋体" w:cs="Calibri"/>
          <w:i w:val="0"/>
          <w:iCs w:val="0"/>
          <w:caps w:val="0"/>
          <w:color w:val="0A82E5"/>
          <w:spacing w:val="0"/>
          <w:sz w:val="21"/>
          <w:szCs w:val="21"/>
          <w:bdr w:val="none" w:color="auto" w:sz="0" w:space="0"/>
          <w:shd w:val="clear" w:fill="FFFFFF"/>
        </w:rPr>
        <w:t>2</w:t>
      </w:r>
      <w:r>
        <w:rPr>
          <w:rFonts w:hint="eastAsia" w:ascii="宋体" w:hAnsi="宋体" w:eastAsia="宋体" w:cs="宋体"/>
          <w:i w:val="0"/>
          <w:iCs w:val="0"/>
          <w:caps w:val="0"/>
          <w:color w:val="0A82E5"/>
          <w:spacing w:val="0"/>
          <w:sz w:val="21"/>
          <w:szCs w:val="21"/>
          <w:bdr w:val="none" w:color="auto" w:sz="0" w:space="0"/>
          <w:shd w:val="clear" w:fill="FFFFFF"/>
        </w:rPr>
        <w:t>、办理</w:t>
      </w:r>
      <w:r>
        <w:rPr>
          <w:rFonts w:hint="default" w:ascii="Calibri" w:hAnsi="Calibri" w:eastAsia="宋体" w:cs="Calibri"/>
          <w:i w:val="0"/>
          <w:iCs w:val="0"/>
          <w:caps w:val="0"/>
          <w:color w:val="0A82E5"/>
          <w:spacing w:val="0"/>
          <w:sz w:val="21"/>
          <w:szCs w:val="21"/>
          <w:bdr w:val="none" w:color="auto" w:sz="0" w:space="0"/>
          <w:shd w:val="clear" w:fill="FFFFFF"/>
        </w:rPr>
        <w:t>CA</w:t>
      </w:r>
      <w:r>
        <w:rPr>
          <w:rFonts w:hint="eastAsia" w:ascii="宋体" w:hAnsi="宋体" w:eastAsia="宋体" w:cs="宋体"/>
          <w:i w:val="0"/>
          <w:iCs w:val="0"/>
          <w:caps w:val="0"/>
          <w:color w:val="0A82E5"/>
          <w:spacing w:val="0"/>
          <w:sz w:val="21"/>
          <w:szCs w:val="21"/>
          <w:bdr w:val="none" w:color="auto" w:sz="0" w:space="0"/>
          <w:shd w:val="clear" w:fill="FFFFFF"/>
        </w:rPr>
        <w:t>锁方式（仅供参考）：榆林市市民大厦，联系电话：</w:t>
      </w:r>
      <w:r>
        <w:rPr>
          <w:rFonts w:hint="default" w:ascii="Calibri" w:hAnsi="Calibri" w:eastAsia="宋体" w:cs="Calibri"/>
          <w:i w:val="0"/>
          <w:iCs w:val="0"/>
          <w:caps w:val="0"/>
          <w:color w:val="0A82E5"/>
          <w:spacing w:val="0"/>
          <w:sz w:val="21"/>
          <w:szCs w:val="21"/>
          <w:bdr w:val="none" w:color="auto" w:sz="0" w:space="0"/>
          <w:shd w:val="clear" w:fill="FFFFFF"/>
        </w:rPr>
        <w:t>0912-3452148</w:t>
      </w:r>
      <w:r>
        <w:rPr>
          <w:rFonts w:hint="eastAsia" w:ascii="宋体" w:hAnsi="宋体" w:eastAsia="宋体" w:cs="宋体"/>
          <w:i w:val="0"/>
          <w:iCs w:val="0"/>
          <w:caps w:val="0"/>
          <w:color w:val="0A82E5"/>
          <w:spacing w:val="0"/>
          <w:sz w:val="21"/>
          <w:szCs w:val="21"/>
          <w:bdr w:val="none" w:color="auto" w:sz="0" w:space="0"/>
          <w:shd w:val="clear" w:fill="FFFFFF"/>
        </w:rPr>
        <w:t>。</w:t>
      </w:r>
    </w:p>
    <w:p w14:paraId="7D697CA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default" w:ascii="Calibri" w:hAnsi="Calibri" w:eastAsia="宋体" w:cs="Calibri"/>
          <w:i w:val="0"/>
          <w:iCs w:val="0"/>
          <w:caps w:val="0"/>
          <w:color w:val="0A82E5"/>
          <w:spacing w:val="0"/>
          <w:sz w:val="21"/>
          <w:szCs w:val="21"/>
          <w:bdr w:val="none" w:color="auto" w:sz="0" w:space="0"/>
          <w:shd w:val="clear" w:fill="FFFFFF"/>
        </w:rPr>
        <w:t>3</w:t>
      </w:r>
      <w:r>
        <w:rPr>
          <w:rFonts w:hint="eastAsia" w:ascii="宋体" w:hAnsi="宋体" w:eastAsia="宋体" w:cs="宋体"/>
          <w:i w:val="0"/>
          <w:iCs w:val="0"/>
          <w:caps w:val="0"/>
          <w:color w:val="0A82E5"/>
          <w:spacing w:val="0"/>
          <w:sz w:val="21"/>
          <w:szCs w:val="21"/>
          <w:bdr w:val="none" w:color="auto" w:sz="0" w:space="0"/>
          <w:shd w:val="clear" w:fill="FFFFFF"/>
        </w:rPr>
        <w:t>、请供应商按照陕西省财政厅关于政府采购供应商注册登记有关事项的通知中的要求，通过陕西省政府采购网（</w:t>
      </w:r>
      <w:r>
        <w:rPr>
          <w:rFonts w:hint="default" w:ascii="Calibri" w:hAnsi="Calibri" w:eastAsia="宋体" w:cs="Calibri"/>
          <w:i w:val="0"/>
          <w:iCs w:val="0"/>
          <w:caps w:val="0"/>
          <w:color w:val="0A82E5"/>
          <w:spacing w:val="0"/>
          <w:sz w:val="21"/>
          <w:szCs w:val="21"/>
          <w:bdr w:val="none" w:color="auto" w:sz="0" w:space="0"/>
          <w:shd w:val="clear" w:fill="FFFFFF"/>
        </w:rPr>
        <w:t>http://www.ccgp-shaanxi.gov.cn/</w:t>
      </w:r>
      <w:r>
        <w:rPr>
          <w:rFonts w:hint="eastAsia" w:ascii="宋体" w:hAnsi="宋体" w:eastAsia="宋体" w:cs="宋体"/>
          <w:i w:val="0"/>
          <w:iCs w:val="0"/>
          <w:caps w:val="0"/>
          <w:color w:val="0A82E5"/>
          <w:spacing w:val="0"/>
          <w:sz w:val="21"/>
          <w:szCs w:val="21"/>
          <w:bdr w:val="none" w:color="auto" w:sz="0" w:space="0"/>
          <w:shd w:val="clear" w:fill="FFFFFF"/>
        </w:rPr>
        <w:t>）注册登记加入陕西省政府采购供应商库。</w:t>
      </w:r>
    </w:p>
    <w:p w14:paraId="15B8544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60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八、对本次招标提出询问，请按以下方式联系。</w:t>
      </w:r>
    </w:p>
    <w:p w14:paraId="4C29E79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6C1C4BC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府谷县府谷镇人民政府本级</w:t>
      </w:r>
    </w:p>
    <w:p w14:paraId="633CF27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府谷县府谷镇</w:t>
      </w:r>
    </w:p>
    <w:p w14:paraId="65C9D7B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0912-8752141</w:t>
      </w:r>
    </w:p>
    <w:p w14:paraId="202A2E1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3AAD1B8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陕西华弘宸金企业管理咨询有限公司</w:t>
      </w:r>
    </w:p>
    <w:p w14:paraId="18E2613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陕西省西安市市辖区陕西省西安市经济技术开发区凤城七路正尚国际B座6-05-5室</w:t>
      </w:r>
    </w:p>
    <w:p w14:paraId="6B237C8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029-81312621</w:t>
      </w:r>
    </w:p>
    <w:p w14:paraId="3BD0612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5B7C28F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陕西华弘宸金企业管理咨询有限公司</w:t>
      </w:r>
    </w:p>
    <w:p w14:paraId="7278F29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029-81312621</w:t>
      </w:r>
    </w:p>
    <w:p w14:paraId="66A4C93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left="0" w:right="0" w:firstLine="384"/>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陕西华弘宸金企业管理咨询有限公司</w:t>
      </w:r>
    </w:p>
    <w:p w14:paraId="3E6584A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BB0E01"/>
    <w:rsid w:val="18BB0E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2784</Words>
  <Characters>3165</Characters>
  <Lines>0</Lines>
  <Paragraphs>0</Paragraphs>
  <TotalTime>0</TotalTime>
  <ScaleCrop>false</ScaleCrop>
  <LinksUpToDate>false</LinksUpToDate>
  <CharactersWithSpaces>3196</CharactersWithSpaces>
  <Application>WPS Office_12.1.0.29158_F1E327BC-269C-435d-A152-05C5408002CA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2026-11-03T09:07:00Z</dcterms:created>
  <dc:creator>平安喜乐</dc:creator>
  <cp:lastModifiedBy>平安喜乐</cp:lastModifiedBy>
  <dcterms:modified xsi:type="dcterms:W3CDTF">2026-11-03T09:07:59Z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1588173CD3064FB3AFCE52ACF382946C_11</vt:lpwstr>
  </property>
  <property fmtid="{D5CDD505-2E9C-101B-9397-08002B2CF9AE}" pid="4" name="KSOTemplateDocerSaveRecord">
    <vt:lpwstr>eyJoZGlkIjoiMzEwNTM5NzYwMDRjMzkwZTVkZjY2ODkwMGIxNGU0OTUiLCJ1c2VySWQiOiI2MTUyMzY4NzQifQ==</vt:lpwstr>
  </property>
</Properties>
</file>