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31A1">
      <w:pPr>
        <w:pStyle w:val="2"/>
        <w:bidi w:val="0"/>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bCs w:val="0"/>
          <w:color w:val="auto"/>
          <w:kern w:val="44"/>
          <w:sz w:val="32"/>
          <w:szCs w:val="32"/>
          <w:highlight w:val="none"/>
          <w:shd w:val="clear" w:color="auto" w:fill="auto"/>
          <w:lang w:val="en-US" w:eastAsia="zh-CN" w:bidi="ar-SA"/>
        </w:rPr>
        <w:t>合同</w:t>
      </w:r>
      <w:r>
        <w:rPr>
          <w:rFonts w:hint="eastAsia" w:ascii="宋体" w:hAnsi="宋体" w:cs="宋体"/>
          <w:b/>
          <w:bCs w:val="0"/>
          <w:color w:val="auto"/>
          <w:kern w:val="44"/>
          <w:sz w:val="32"/>
          <w:szCs w:val="32"/>
          <w:highlight w:val="none"/>
          <w:shd w:val="clear" w:color="auto" w:fill="auto"/>
          <w:lang w:val="en-US" w:eastAsia="zh-CN" w:bidi="ar-SA"/>
        </w:rPr>
        <w:t>参考</w:t>
      </w:r>
      <w:r>
        <w:rPr>
          <w:rFonts w:hint="eastAsia" w:ascii="宋体" w:hAnsi="宋体" w:eastAsia="宋体" w:cs="宋体"/>
          <w:b/>
          <w:bCs w:val="0"/>
          <w:color w:val="auto"/>
          <w:kern w:val="44"/>
          <w:sz w:val="32"/>
          <w:szCs w:val="32"/>
          <w:highlight w:val="none"/>
          <w:shd w:val="clear" w:color="auto" w:fill="auto"/>
          <w:lang w:val="en-US" w:eastAsia="zh-CN" w:bidi="ar-SA"/>
        </w:rPr>
        <w:t>范本</w:t>
      </w:r>
    </w:p>
    <w:p w14:paraId="3EB279BA">
      <w:pPr>
        <w:tabs>
          <w:tab w:val="left" w:pos="735"/>
        </w:tabs>
        <w:autoSpaceDE w:val="0"/>
        <w:autoSpaceDN w:val="0"/>
        <w:adjustRightInd w:val="0"/>
        <w:snapToGrid w:val="0"/>
        <w:spacing w:line="420" w:lineRule="exact"/>
        <w:ind w:firstLine="472" w:firstLineChars="196"/>
        <w:rPr>
          <w:rFonts w:hint="eastAsia" w:ascii="宋体" w:hAnsi="宋体" w:eastAsia="宋体" w:cs="宋体"/>
          <w:b/>
          <w:color w:val="auto"/>
          <w:sz w:val="24"/>
          <w:highlight w:val="none"/>
          <w:shd w:val="clear" w:color="auto" w:fill="auto"/>
          <w:lang w:val="zh-CN"/>
        </w:rPr>
      </w:pPr>
      <w:r>
        <w:rPr>
          <w:rFonts w:hint="eastAsia" w:ascii="宋体" w:hAnsi="宋体" w:eastAsia="宋体" w:cs="宋体"/>
          <w:b/>
          <w:color w:val="auto"/>
          <w:sz w:val="24"/>
          <w:highlight w:val="none"/>
          <w:shd w:val="clear" w:color="auto" w:fill="auto"/>
          <w:lang w:val="zh-CN"/>
        </w:rPr>
        <w:t>（此合同草案条款，</w:t>
      </w:r>
      <w:r>
        <w:rPr>
          <w:rFonts w:hint="eastAsia" w:ascii="宋体" w:hAnsi="宋体" w:eastAsia="宋体" w:cs="宋体"/>
          <w:b/>
          <w:color w:val="auto"/>
          <w:sz w:val="24"/>
          <w:highlight w:val="none"/>
          <w:shd w:val="clear" w:color="auto" w:fill="auto"/>
          <w:lang w:val="en-US" w:eastAsia="zh-CN"/>
        </w:rPr>
        <w:t>采购人和中标单位</w:t>
      </w:r>
      <w:r>
        <w:rPr>
          <w:rFonts w:hint="eastAsia" w:ascii="宋体" w:hAnsi="宋体" w:eastAsia="宋体" w:cs="宋体"/>
          <w:b/>
          <w:color w:val="auto"/>
          <w:sz w:val="24"/>
          <w:highlight w:val="none"/>
          <w:shd w:val="clear" w:color="auto" w:fill="auto"/>
          <w:lang w:val="zh-CN"/>
        </w:rPr>
        <w:t>所签订的合同</w:t>
      </w:r>
      <w:r>
        <w:rPr>
          <w:rFonts w:hint="eastAsia" w:ascii="宋体" w:hAnsi="宋体" w:eastAsia="宋体" w:cs="宋体"/>
          <w:b/>
          <w:color w:val="auto"/>
          <w:sz w:val="24"/>
          <w:highlight w:val="none"/>
          <w:shd w:val="clear" w:color="auto" w:fill="auto"/>
          <w:lang w:val="en-US" w:eastAsia="zh-CN"/>
        </w:rPr>
        <w:t>不得对</w:t>
      </w:r>
      <w:r>
        <w:rPr>
          <w:rFonts w:hint="eastAsia" w:ascii="宋体" w:hAnsi="宋体" w:eastAsia="宋体" w:cs="宋体"/>
          <w:b/>
          <w:color w:val="auto"/>
          <w:sz w:val="24"/>
          <w:highlight w:val="none"/>
          <w:shd w:val="clear" w:color="auto" w:fill="auto"/>
          <w:lang w:val="zh-CN"/>
        </w:rPr>
        <w:t>招标文件确定的事项和中标供应商的投标文件做实质性修改，最终签订的合同以采购人确定的合同内容为准。）</w:t>
      </w:r>
    </w:p>
    <w:p w14:paraId="489F7D16">
      <w:pPr>
        <w:autoSpaceDE w:val="0"/>
        <w:autoSpaceDN w:val="0"/>
        <w:adjustRightInd w:val="0"/>
        <w:spacing w:line="360" w:lineRule="auto"/>
        <w:ind w:firstLine="480" w:firstLineChars="200"/>
        <w:rPr>
          <w:rFonts w:hint="eastAsia" w:ascii="宋体" w:hAnsi="宋体" w:eastAsia="宋体" w:cs="宋体"/>
          <w:bCs/>
          <w:color w:val="auto"/>
          <w:sz w:val="24"/>
          <w:highlight w:val="none"/>
          <w:shd w:val="clear" w:color="auto" w:fill="auto"/>
        </w:rPr>
      </w:pPr>
    </w:p>
    <w:p w14:paraId="6DD86CF1">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u w:val="single"/>
          <w:shd w:val="clear" w:color="auto" w:fill="auto"/>
        </w:rPr>
        <w:t xml:space="preserve"> 灞桥区政府机关大院和法律服务中心大院物业服务外包(项目编号：ZCTH2026-04-038</w:t>
      </w:r>
      <w:r>
        <w:rPr>
          <w:rFonts w:hint="eastAsia" w:ascii="宋体" w:hAnsi="宋体" w:cs="宋体"/>
          <w:bCs/>
          <w:color w:val="auto"/>
          <w:sz w:val="24"/>
          <w:highlight w:val="none"/>
          <w:u w:val="single"/>
          <w:shd w:val="clear" w:color="auto" w:fill="auto"/>
          <w:lang w:eastAsia="zh-CN"/>
        </w:rPr>
        <w:t>）</w:t>
      </w:r>
      <w:r>
        <w:rPr>
          <w:rFonts w:hint="eastAsia" w:ascii="宋体" w:hAnsi="宋体" w:cs="宋体"/>
          <w:bCs/>
          <w:color w:val="auto"/>
          <w:sz w:val="24"/>
          <w:highlight w:val="none"/>
          <w:shd w:val="clear" w:color="auto" w:fill="auto"/>
        </w:rPr>
        <w:t>由陕西</w:t>
      </w:r>
      <w:r>
        <w:rPr>
          <w:rFonts w:hint="eastAsia" w:ascii="宋体" w:hAnsi="宋体" w:cs="宋体"/>
          <w:bCs/>
          <w:color w:val="auto"/>
          <w:sz w:val="24"/>
          <w:highlight w:val="none"/>
          <w:shd w:val="clear" w:color="auto" w:fill="auto"/>
          <w:lang w:val="en-US" w:eastAsia="zh-CN"/>
        </w:rPr>
        <w:t>中诚天和项目管理</w:t>
      </w:r>
      <w:r>
        <w:rPr>
          <w:rFonts w:hint="eastAsia" w:ascii="宋体" w:hAnsi="宋体" w:cs="宋体"/>
          <w:bCs/>
          <w:color w:val="auto"/>
          <w:sz w:val="24"/>
          <w:highlight w:val="none"/>
          <w:shd w:val="clear" w:color="auto" w:fill="auto"/>
        </w:rPr>
        <w:t>有限公司组织</w:t>
      </w:r>
      <w:r>
        <w:rPr>
          <w:rFonts w:hint="eastAsia" w:ascii="宋体" w:hAnsi="宋体" w:cs="宋体"/>
          <w:bCs/>
          <w:color w:val="auto"/>
          <w:sz w:val="24"/>
          <w:highlight w:val="none"/>
          <w:shd w:val="clear" w:color="auto" w:fill="auto"/>
          <w:lang w:val="en-US" w:eastAsia="zh-CN"/>
        </w:rPr>
        <w:t>招标</w:t>
      </w:r>
      <w:r>
        <w:rPr>
          <w:rFonts w:hint="eastAsia" w:ascii="宋体" w:hAnsi="宋体" w:cs="宋体"/>
          <w:bCs/>
          <w:color w:val="auto"/>
          <w:sz w:val="24"/>
          <w:highlight w:val="none"/>
          <w:shd w:val="clear" w:color="auto" w:fill="auto"/>
        </w:rPr>
        <w:t>采购，</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(以下简称“甲方”</w:t>
      </w:r>
      <w:r>
        <w:rPr>
          <w:rFonts w:hint="eastAsia" w:ascii="宋体" w:hAnsi="宋体" w:cs="宋体"/>
          <w:bCs/>
          <w:color w:val="auto"/>
          <w:sz w:val="24"/>
          <w:highlight w:val="none"/>
          <w:shd w:val="clear" w:color="auto" w:fill="auto"/>
          <w:lang w:eastAsia="zh-CN"/>
        </w:rPr>
        <w:t>）</w:t>
      </w:r>
      <w:r>
        <w:rPr>
          <w:rFonts w:hint="eastAsia" w:ascii="宋体" w:hAnsi="宋体" w:cs="宋体"/>
          <w:bCs/>
          <w:color w:val="auto"/>
          <w:sz w:val="24"/>
          <w:highlight w:val="none"/>
          <w:shd w:val="clear" w:color="auto" w:fill="auto"/>
        </w:rPr>
        <w:t>确定</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（以下简称“乙方”）为</w:t>
      </w:r>
      <w:r>
        <w:rPr>
          <w:rFonts w:hint="eastAsia" w:ascii="宋体" w:hAnsi="宋体" w:cs="宋体"/>
          <w:bCs/>
          <w:color w:val="auto"/>
          <w:sz w:val="24"/>
          <w:highlight w:val="none"/>
          <w:shd w:val="clear" w:color="auto" w:fill="auto"/>
          <w:lang w:val="en-US" w:eastAsia="zh-CN"/>
        </w:rPr>
        <w:t>中标</w:t>
      </w:r>
      <w:r>
        <w:rPr>
          <w:rFonts w:hint="eastAsia" w:ascii="宋体" w:hAnsi="宋体" w:cs="宋体"/>
          <w:bCs/>
          <w:color w:val="auto"/>
          <w:sz w:val="24"/>
          <w:highlight w:val="none"/>
          <w:shd w:val="clear" w:color="auto" w:fill="auto"/>
        </w:rPr>
        <w:t>供应商。</w:t>
      </w:r>
    </w:p>
    <w:p w14:paraId="44057581">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依据《中华人民共和国民法典》和《中华人民共和国政府采购法》，经双方协商按下述条款和条件签署本合同。</w:t>
      </w:r>
    </w:p>
    <w:p w14:paraId="78435EDC">
      <w:pPr>
        <w:tabs>
          <w:tab w:val="left" w:pos="840"/>
        </w:tabs>
        <w:kinsoku w:val="0"/>
        <w:spacing w:line="360" w:lineRule="auto"/>
        <w:outlineLvl w:val="1"/>
        <w:rPr>
          <w:rFonts w:hint="eastAsia" w:ascii="宋体" w:hAnsi="宋体" w:cs="宋体"/>
          <w:color w:val="auto"/>
          <w:sz w:val="24"/>
          <w:highlight w:val="none"/>
          <w:shd w:val="clear" w:color="auto" w:fill="auto"/>
        </w:rPr>
      </w:pPr>
      <w:r>
        <w:rPr>
          <w:rFonts w:hint="eastAsia" w:ascii="宋体" w:hAnsi="宋体" w:cs="宋体"/>
          <w:b/>
          <w:color w:val="auto"/>
          <w:sz w:val="24"/>
          <w:highlight w:val="none"/>
          <w:shd w:val="clear" w:color="auto" w:fill="auto"/>
        </w:rPr>
        <w:t>第一条：合同双方当事人</w:t>
      </w:r>
    </w:p>
    <w:p w14:paraId="6C50D27E">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甲方（采购人）： 西安市灞桥区机关事务服务中心</w:t>
      </w:r>
      <w:r>
        <w:rPr>
          <w:rFonts w:hint="eastAsia" w:ascii="宋体" w:hAnsi="宋体" w:cs="宋体"/>
          <w:color w:val="auto"/>
          <w:sz w:val="24"/>
          <w:highlight w:val="none"/>
          <w:shd w:val="clear" w:color="auto" w:fill="auto"/>
          <w:lang w:val="en-US" w:eastAsia="zh-CN"/>
        </w:rPr>
        <w:t xml:space="preserve">    </w:t>
      </w:r>
    </w:p>
    <w:p w14:paraId="26063CE2">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法定代表人/负责人：</w:t>
      </w:r>
    </w:p>
    <w:p w14:paraId="6C5E5D2D">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 xml:space="preserve"> </w:t>
      </w:r>
    </w:p>
    <w:p w14:paraId="4FF0F119">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乙方（</w:t>
      </w:r>
      <w:r>
        <w:rPr>
          <w:rFonts w:hint="eastAsia" w:ascii="宋体" w:hAnsi="宋体" w:cs="宋体"/>
          <w:bCs/>
          <w:color w:val="auto"/>
          <w:sz w:val="24"/>
          <w:highlight w:val="none"/>
          <w:shd w:val="clear" w:color="auto" w:fill="auto"/>
        </w:rPr>
        <w:t>中标人</w:t>
      </w:r>
      <w:r>
        <w:rPr>
          <w:rFonts w:hint="eastAsia" w:ascii="宋体" w:hAnsi="宋体" w:cs="宋体"/>
          <w:color w:val="auto"/>
          <w:sz w:val="24"/>
          <w:highlight w:val="none"/>
          <w:shd w:val="clear" w:color="auto" w:fill="auto"/>
        </w:rPr>
        <w:t>）：</w:t>
      </w:r>
    </w:p>
    <w:p w14:paraId="1A8D4EB3">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法定代表人/负责人：</w:t>
      </w:r>
    </w:p>
    <w:p w14:paraId="5BE04882">
      <w:pPr>
        <w:autoSpaceDE w:val="0"/>
        <w:autoSpaceDN w:val="0"/>
        <w:adjustRightInd w:val="0"/>
        <w:spacing w:line="360" w:lineRule="auto"/>
        <w:rPr>
          <w:rFonts w:hint="eastAsia" w:ascii="宋体" w:hAnsi="宋体" w:cs="宋体"/>
          <w:b/>
          <w:bCs/>
          <w:color w:val="auto"/>
          <w:sz w:val="24"/>
          <w:highlight w:val="none"/>
          <w:shd w:val="clear" w:color="auto" w:fill="auto"/>
        </w:rPr>
      </w:pPr>
      <w:r>
        <w:rPr>
          <w:rFonts w:hint="eastAsia" w:ascii="宋体" w:hAnsi="宋体" w:cs="宋体"/>
          <w:b/>
          <w:color w:val="auto"/>
          <w:sz w:val="24"/>
          <w:highlight w:val="none"/>
          <w:shd w:val="clear" w:color="auto" w:fill="auto"/>
        </w:rPr>
        <w:t>第二条：</w:t>
      </w:r>
      <w:r>
        <w:rPr>
          <w:rFonts w:hint="eastAsia" w:ascii="宋体" w:hAnsi="宋体" w:cs="宋体"/>
          <w:b/>
          <w:bCs/>
          <w:color w:val="auto"/>
          <w:sz w:val="24"/>
          <w:highlight w:val="none"/>
          <w:shd w:val="clear" w:color="auto" w:fill="auto"/>
        </w:rPr>
        <w:t>合同内容（格式自拟：包含合同标的物的数量、单价、金额）</w:t>
      </w:r>
    </w:p>
    <w:p w14:paraId="29864E84">
      <w:pPr>
        <w:autoSpaceDE w:val="0"/>
        <w:autoSpaceDN w:val="0"/>
        <w:adjustRightInd w:val="0"/>
        <w:snapToGrid w:val="0"/>
        <w:spacing w:line="360" w:lineRule="auto"/>
        <w:ind w:firstLine="482" w:firstLineChars="200"/>
        <w:textAlignment w:val="bottom"/>
        <w:rPr>
          <w:rFonts w:hint="eastAsia" w:ascii="宋体" w:hAnsi="宋体" w:cs="宋体"/>
          <w:b/>
          <w:color w:val="auto"/>
          <w:sz w:val="24"/>
          <w:highlight w:val="none"/>
          <w:u w:val="single"/>
          <w:shd w:val="clear" w:color="auto" w:fill="auto"/>
        </w:rPr>
      </w:pPr>
      <w:r>
        <w:rPr>
          <w:rFonts w:hint="eastAsia" w:ascii="宋体" w:hAnsi="宋体" w:cs="宋体"/>
          <w:b/>
          <w:color w:val="auto"/>
          <w:sz w:val="24"/>
          <w:highlight w:val="none"/>
          <w:u w:val="single"/>
          <w:shd w:val="clear" w:color="auto" w:fill="auto"/>
        </w:rPr>
        <w:t xml:space="preserve">                                                                        </w:t>
      </w:r>
    </w:p>
    <w:p w14:paraId="44C2F4CA">
      <w:pPr>
        <w:autoSpaceDE w:val="0"/>
        <w:autoSpaceDN w:val="0"/>
        <w:adjustRightInd w:val="0"/>
        <w:spacing w:line="360" w:lineRule="auto"/>
        <w:ind w:firstLine="482" w:firstLineChars="200"/>
        <w:rPr>
          <w:rFonts w:hint="eastAsia" w:ascii="宋体" w:hAnsi="宋体" w:cs="宋体"/>
          <w:color w:val="auto"/>
          <w:highlight w:val="none"/>
          <w:shd w:val="clear" w:color="auto" w:fill="auto"/>
        </w:rPr>
      </w:pPr>
      <w:r>
        <w:rPr>
          <w:rFonts w:hint="eastAsia" w:ascii="宋体" w:hAnsi="宋体" w:cs="宋体"/>
          <w:b/>
          <w:color w:val="auto"/>
          <w:sz w:val="24"/>
          <w:highlight w:val="none"/>
          <w:u w:val="single"/>
          <w:shd w:val="clear" w:color="auto" w:fill="auto"/>
        </w:rPr>
        <w:t xml:space="preserve">                                                                        </w:t>
      </w:r>
    </w:p>
    <w:p w14:paraId="337A1CFC">
      <w:pPr>
        <w:autoSpaceDE w:val="0"/>
        <w:autoSpaceDN w:val="0"/>
        <w:adjustRightInd w:val="0"/>
        <w:spacing w:line="348" w:lineRule="auto"/>
        <w:rPr>
          <w:rFonts w:hint="eastAsia" w:ascii="宋体" w:hAnsi="宋体" w:cs="宋体"/>
          <w:bCs/>
          <w:color w:val="auto"/>
          <w:sz w:val="24"/>
          <w:highlight w:val="none"/>
          <w:shd w:val="clear" w:color="auto" w:fill="auto"/>
        </w:rPr>
      </w:pPr>
      <w:r>
        <w:rPr>
          <w:rFonts w:hint="eastAsia" w:ascii="宋体" w:hAnsi="宋体" w:cs="宋体"/>
          <w:b/>
          <w:color w:val="auto"/>
          <w:sz w:val="24"/>
          <w:highlight w:val="none"/>
          <w:shd w:val="clear" w:color="auto" w:fill="auto"/>
        </w:rPr>
        <w:t>第三条：履行期限及地点</w:t>
      </w:r>
    </w:p>
    <w:p w14:paraId="12F00CAB">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（一）服务期：</w:t>
      </w:r>
      <w:r>
        <w:rPr>
          <w:rFonts w:hint="eastAsia" w:ascii="宋体" w:hAnsi="宋体" w:cs="宋体"/>
          <w:bCs/>
          <w:color w:val="auto"/>
          <w:sz w:val="24"/>
          <w:highlight w:val="none"/>
          <w:u w:val="single"/>
          <w:shd w:val="clear" w:color="auto" w:fill="auto"/>
          <w:lang w:val="en-US" w:eastAsia="zh-CN"/>
        </w:rPr>
        <w:t>三年。合同一年一签，合同起止时间在合同签订时具体约定（第一年度计划2026年6月1日至2027年年5月31日），对成交供应商实行定期考核，考核不合格的，取消成交供应商下一年度签约资格</w:t>
      </w:r>
      <w:r>
        <w:rPr>
          <w:rFonts w:hint="eastAsia" w:ascii="宋体" w:hAnsi="宋体" w:cs="宋体"/>
          <w:bCs/>
          <w:color w:val="auto"/>
          <w:sz w:val="24"/>
          <w:highlight w:val="none"/>
          <w:shd w:val="clear" w:color="auto" w:fill="auto"/>
        </w:rPr>
        <w:t>。</w:t>
      </w:r>
    </w:p>
    <w:p w14:paraId="2822386A">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lang w:val="en-US" w:eastAsia="zh-CN"/>
        </w:rPr>
        <w:t>附件1：：</w:t>
      </w:r>
      <w:bookmarkStart w:id="0" w:name="_GoBack"/>
      <w:bookmarkEnd w:id="0"/>
      <w:r>
        <w:rPr>
          <w:rFonts w:hint="eastAsia" w:ascii="宋体" w:hAnsi="宋体" w:cs="宋体"/>
          <w:bCs/>
          <w:color w:val="auto"/>
          <w:sz w:val="24"/>
          <w:highlight w:val="none"/>
          <w:shd w:val="clear" w:color="auto" w:fill="auto"/>
          <w:lang w:val="en-US" w:eastAsia="zh-CN"/>
        </w:rPr>
        <w:t>具体考核分项指标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95"/>
        <w:gridCol w:w="1194"/>
        <w:gridCol w:w="1200"/>
        <w:gridCol w:w="4477"/>
      </w:tblGrid>
      <w:tr w14:paraId="5A45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1C8CB78E">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序号</w:t>
            </w:r>
          </w:p>
        </w:tc>
        <w:tc>
          <w:tcPr>
            <w:tcW w:w="1195" w:type="dxa"/>
            <w:vAlign w:val="center"/>
          </w:tcPr>
          <w:p w14:paraId="5656072A">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指标名称</w:t>
            </w:r>
          </w:p>
        </w:tc>
        <w:tc>
          <w:tcPr>
            <w:tcW w:w="1194" w:type="dxa"/>
            <w:vAlign w:val="center"/>
          </w:tcPr>
          <w:p w14:paraId="5266B365">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一级标准</w:t>
            </w:r>
          </w:p>
        </w:tc>
        <w:tc>
          <w:tcPr>
            <w:tcW w:w="1200" w:type="dxa"/>
            <w:vAlign w:val="center"/>
          </w:tcPr>
          <w:p w14:paraId="5E5903C2">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管理指标</w:t>
            </w:r>
          </w:p>
        </w:tc>
        <w:tc>
          <w:tcPr>
            <w:tcW w:w="4477" w:type="dxa"/>
            <w:vAlign w:val="center"/>
          </w:tcPr>
          <w:p w14:paraId="00709033">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管理目标实施措施</w:t>
            </w:r>
          </w:p>
        </w:tc>
      </w:tr>
      <w:tr w14:paraId="1608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3E0071A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1195" w:type="dxa"/>
            <w:vAlign w:val="center"/>
          </w:tcPr>
          <w:p w14:paraId="25081A9B">
            <w:pPr>
              <w:keepNext w:val="0"/>
              <w:keepLines w:val="0"/>
              <w:widowControl/>
              <w:suppressLineNumbers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公共设施</w:t>
            </w:r>
          </w:p>
          <w:p w14:paraId="7206E685">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巡查率</w:t>
            </w:r>
          </w:p>
        </w:tc>
        <w:tc>
          <w:tcPr>
            <w:tcW w:w="1194" w:type="dxa"/>
            <w:vAlign w:val="center"/>
          </w:tcPr>
          <w:p w14:paraId="088F22A9">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98%</w:t>
            </w:r>
          </w:p>
        </w:tc>
        <w:tc>
          <w:tcPr>
            <w:tcW w:w="1200" w:type="dxa"/>
            <w:vAlign w:val="center"/>
          </w:tcPr>
          <w:p w14:paraId="41469EDC">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100%</w:t>
            </w:r>
          </w:p>
        </w:tc>
        <w:tc>
          <w:tcPr>
            <w:tcW w:w="4477" w:type="dxa"/>
            <w:vAlign w:val="center"/>
          </w:tcPr>
          <w:p w14:paraId="6C1979E6">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实施巡检制度，确保公共设施完好。</w:t>
            </w:r>
          </w:p>
        </w:tc>
      </w:tr>
      <w:tr w14:paraId="722DC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7658842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1195" w:type="dxa"/>
            <w:vAlign w:val="center"/>
          </w:tcPr>
          <w:p w14:paraId="529B0613">
            <w:pPr>
              <w:keepNext w:val="0"/>
              <w:keepLines w:val="0"/>
              <w:widowControl/>
              <w:suppressLineNumbers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清洁、保洁</w:t>
            </w:r>
          </w:p>
          <w:p w14:paraId="15E2911A">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率</w:t>
            </w:r>
          </w:p>
        </w:tc>
        <w:tc>
          <w:tcPr>
            <w:tcW w:w="1194" w:type="dxa"/>
            <w:vAlign w:val="center"/>
          </w:tcPr>
          <w:p w14:paraId="4F3B42A4">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99%</w:t>
            </w:r>
          </w:p>
        </w:tc>
        <w:tc>
          <w:tcPr>
            <w:tcW w:w="1200" w:type="dxa"/>
            <w:vAlign w:val="center"/>
          </w:tcPr>
          <w:p w14:paraId="60B766C5">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99%</w:t>
            </w:r>
          </w:p>
        </w:tc>
        <w:tc>
          <w:tcPr>
            <w:tcW w:w="4477" w:type="dxa"/>
            <w:vAlign w:val="center"/>
          </w:tcPr>
          <w:p w14:paraId="6D1A9BF5">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确保每天进行保洁工作，实行巡查制度，记录完整，并由有关人员监督执行，以确保整洁干净，垃圾每天清运，空气清新，设施完好。</w:t>
            </w:r>
          </w:p>
        </w:tc>
      </w:tr>
      <w:tr w14:paraId="311C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5983FC9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1195" w:type="dxa"/>
            <w:vAlign w:val="center"/>
          </w:tcPr>
          <w:p w14:paraId="18C86A1B">
            <w:pPr>
              <w:keepNext w:val="0"/>
              <w:keepLines w:val="0"/>
              <w:widowControl/>
              <w:suppressLineNumbers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消 防 设 施</w:t>
            </w:r>
          </w:p>
          <w:p w14:paraId="08081612">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完好率</w:t>
            </w:r>
          </w:p>
        </w:tc>
        <w:tc>
          <w:tcPr>
            <w:tcW w:w="1194" w:type="dxa"/>
            <w:vAlign w:val="center"/>
          </w:tcPr>
          <w:p w14:paraId="21EF7873">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100%</w:t>
            </w:r>
          </w:p>
        </w:tc>
        <w:tc>
          <w:tcPr>
            <w:tcW w:w="1200" w:type="dxa"/>
            <w:vAlign w:val="center"/>
          </w:tcPr>
          <w:p w14:paraId="4FD7E26F">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100%</w:t>
            </w:r>
          </w:p>
        </w:tc>
        <w:tc>
          <w:tcPr>
            <w:tcW w:w="4477" w:type="dxa"/>
            <w:vAlign w:val="center"/>
          </w:tcPr>
          <w:p w14:paraId="0E71F9D5">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落实责任人，实行定期巡视制度，建档记录，服务处监督执行，并定期维护和检修以确保消防设施完好无损、正常使用。</w:t>
            </w:r>
          </w:p>
        </w:tc>
      </w:tr>
      <w:tr w14:paraId="2641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56" w:type="dxa"/>
            <w:vAlign w:val="center"/>
          </w:tcPr>
          <w:p w14:paraId="36B09A80">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195" w:type="dxa"/>
            <w:vAlign w:val="center"/>
          </w:tcPr>
          <w:p w14:paraId="15E10912">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火灾事故发生率（管理原因）</w:t>
            </w:r>
          </w:p>
        </w:tc>
        <w:tc>
          <w:tcPr>
            <w:tcW w:w="1194" w:type="dxa"/>
            <w:vAlign w:val="center"/>
          </w:tcPr>
          <w:p w14:paraId="23C036E1">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1‰以下</w:t>
            </w:r>
          </w:p>
        </w:tc>
        <w:tc>
          <w:tcPr>
            <w:tcW w:w="1200" w:type="dxa"/>
            <w:vAlign w:val="center"/>
          </w:tcPr>
          <w:p w14:paraId="23D6369E">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w:t>
            </w:r>
          </w:p>
        </w:tc>
        <w:tc>
          <w:tcPr>
            <w:tcW w:w="4477" w:type="dxa"/>
            <w:vAlign w:val="center"/>
          </w:tcPr>
          <w:p w14:paraId="5DE3D6A6">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定期对员工进行培训和演习，秩序维护人员负责日常巡视，发现隐患，及时处理并通知以确保消防安全。</w:t>
            </w:r>
          </w:p>
        </w:tc>
      </w:tr>
      <w:tr w14:paraId="5DE1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456" w:type="dxa"/>
            <w:vAlign w:val="center"/>
          </w:tcPr>
          <w:p w14:paraId="660B3BE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1195" w:type="dxa"/>
            <w:vAlign w:val="center"/>
          </w:tcPr>
          <w:p w14:paraId="6DEBA41C">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纠错率</w:t>
            </w:r>
          </w:p>
        </w:tc>
        <w:tc>
          <w:tcPr>
            <w:tcW w:w="1194" w:type="dxa"/>
            <w:vAlign w:val="center"/>
          </w:tcPr>
          <w:p w14:paraId="5F6D73FA">
            <w:pPr>
              <w:jc w:val="center"/>
              <w:rPr>
                <w:rFonts w:hint="eastAsia" w:asciiTheme="minorEastAsia" w:hAnsiTheme="minorEastAsia" w:eastAsiaTheme="minorEastAsia" w:cstheme="minorEastAsia"/>
                <w:sz w:val="24"/>
                <w:szCs w:val="24"/>
                <w:vertAlign w:val="baseline"/>
                <w:lang w:val="en-US" w:eastAsia="zh-CN"/>
              </w:rPr>
            </w:pPr>
          </w:p>
        </w:tc>
        <w:tc>
          <w:tcPr>
            <w:tcW w:w="1200" w:type="dxa"/>
            <w:vAlign w:val="center"/>
          </w:tcPr>
          <w:p w14:paraId="58A3DA4F">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100%</w:t>
            </w:r>
          </w:p>
        </w:tc>
        <w:tc>
          <w:tcPr>
            <w:tcW w:w="4477" w:type="dxa"/>
            <w:vAlign w:val="center"/>
          </w:tcPr>
          <w:p w14:paraId="075B41C4">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定期与甲方沟通，及时纠正工作中的错误。</w:t>
            </w:r>
          </w:p>
        </w:tc>
      </w:tr>
      <w:tr w14:paraId="1FC6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3E50C9E1">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1195" w:type="dxa"/>
            <w:vAlign w:val="center"/>
          </w:tcPr>
          <w:p w14:paraId="4710EB5B">
            <w:pPr>
              <w:keepNext w:val="0"/>
              <w:keepLines w:val="0"/>
              <w:widowControl/>
              <w:suppressLineNumbers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委托方意见反馈满意率</w:t>
            </w:r>
          </w:p>
          <w:p w14:paraId="149FFEF2">
            <w:pPr>
              <w:jc w:val="center"/>
              <w:rPr>
                <w:rFonts w:hint="eastAsia" w:asciiTheme="minorEastAsia" w:hAnsiTheme="minorEastAsia" w:eastAsiaTheme="minorEastAsia" w:cstheme="minorEastAsia"/>
                <w:sz w:val="24"/>
                <w:szCs w:val="24"/>
                <w:vertAlign w:val="baseline"/>
                <w:lang w:val="en-US" w:eastAsia="zh-CN"/>
              </w:rPr>
            </w:pPr>
          </w:p>
        </w:tc>
        <w:tc>
          <w:tcPr>
            <w:tcW w:w="1194" w:type="dxa"/>
            <w:vAlign w:val="center"/>
          </w:tcPr>
          <w:p w14:paraId="09C3D63B">
            <w:pPr>
              <w:jc w:val="center"/>
              <w:rPr>
                <w:rFonts w:hint="eastAsia" w:asciiTheme="minorEastAsia" w:hAnsiTheme="minorEastAsia" w:eastAsiaTheme="minorEastAsia" w:cstheme="minorEastAsia"/>
                <w:sz w:val="24"/>
                <w:szCs w:val="24"/>
                <w:vertAlign w:val="baseline"/>
                <w:lang w:val="en-US" w:eastAsia="zh-CN"/>
              </w:rPr>
            </w:pPr>
          </w:p>
        </w:tc>
        <w:tc>
          <w:tcPr>
            <w:tcW w:w="1200" w:type="dxa"/>
            <w:vAlign w:val="center"/>
          </w:tcPr>
          <w:p w14:paraId="0647E3E6">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90%</w:t>
            </w:r>
          </w:p>
        </w:tc>
        <w:tc>
          <w:tcPr>
            <w:tcW w:w="4477" w:type="dxa"/>
            <w:vAlign w:val="center"/>
          </w:tcPr>
          <w:p w14:paraId="4854C79F">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做到上传下达，及时圆满完成委托方布置的任务。</w:t>
            </w:r>
          </w:p>
        </w:tc>
      </w:tr>
      <w:tr w14:paraId="7EA2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4056DA6C">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1195" w:type="dxa"/>
            <w:vAlign w:val="center"/>
          </w:tcPr>
          <w:p w14:paraId="0FD3D0B0">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人员专业培训合格率</w:t>
            </w:r>
          </w:p>
        </w:tc>
        <w:tc>
          <w:tcPr>
            <w:tcW w:w="1194" w:type="dxa"/>
            <w:vAlign w:val="center"/>
          </w:tcPr>
          <w:p w14:paraId="3D5344E3">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90%</w:t>
            </w:r>
          </w:p>
        </w:tc>
        <w:tc>
          <w:tcPr>
            <w:tcW w:w="1200" w:type="dxa"/>
            <w:vAlign w:val="center"/>
          </w:tcPr>
          <w:p w14:paraId="44635A3D">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100%</w:t>
            </w:r>
          </w:p>
        </w:tc>
        <w:tc>
          <w:tcPr>
            <w:tcW w:w="4477" w:type="dxa"/>
            <w:vAlign w:val="center"/>
          </w:tcPr>
          <w:p w14:paraId="0E045F24">
            <w:pPr>
              <w:keepNext w:val="0"/>
              <w:keepLines w:val="0"/>
              <w:widowControl/>
              <w:suppressLineNumbers w:val="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color w:val="000000"/>
                <w:kern w:val="0"/>
                <w:sz w:val="24"/>
                <w:szCs w:val="24"/>
                <w:lang w:val="en-US" w:eastAsia="zh-CN" w:bidi="ar"/>
              </w:rPr>
              <w:t>员工分别进行入职培训、在职培训、定期培训等常规培训，并予以考核，不合格不予上岗；对于特种作业、行业性要求的员工，实行外送有关部门培训、考核，并就有关技术、技能进行定期培训，并予以考核，确保培训合格达 100%，以保障工作质量。</w:t>
            </w:r>
          </w:p>
        </w:tc>
      </w:tr>
    </w:tbl>
    <w:p w14:paraId="65E559A1">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p>
    <w:p w14:paraId="3CC69375">
      <w:pPr>
        <w:autoSpaceDE w:val="0"/>
        <w:autoSpaceDN w:val="0"/>
        <w:adjustRightInd w:val="0"/>
        <w:spacing w:line="348" w:lineRule="auto"/>
        <w:ind w:firstLine="480" w:firstLineChars="200"/>
        <w:rPr>
          <w:rFonts w:hint="eastAsia" w:ascii="宋体" w:hAnsi="宋体" w:cs="宋体"/>
          <w:b/>
          <w:color w:val="auto"/>
          <w:sz w:val="24"/>
          <w:highlight w:val="none"/>
          <w:shd w:val="clear" w:color="auto" w:fill="auto"/>
        </w:rPr>
      </w:pPr>
      <w:r>
        <w:rPr>
          <w:rFonts w:hint="eastAsia" w:ascii="宋体" w:hAnsi="宋体" w:cs="宋体"/>
          <w:bCs/>
          <w:color w:val="auto"/>
          <w:sz w:val="24"/>
          <w:highlight w:val="none"/>
          <w:shd w:val="clear" w:color="auto" w:fill="auto"/>
        </w:rPr>
        <w:t>（二）服务地点：</w:t>
      </w:r>
      <w:r>
        <w:rPr>
          <w:rFonts w:hint="eastAsia" w:ascii="宋体" w:hAnsi="宋体" w:cs="宋体"/>
          <w:bCs/>
          <w:color w:val="auto"/>
          <w:sz w:val="24"/>
          <w:highlight w:val="none"/>
          <w:u w:val="single"/>
          <w:shd w:val="clear" w:color="auto" w:fill="auto"/>
        </w:rPr>
        <w:t>采购人指定地点</w:t>
      </w:r>
      <w:r>
        <w:rPr>
          <w:rFonts w:hint="eastAsia" w:ascii="宋体" w:hAnsi="宋体" w:cs="宋体"/>
          <w:bCs/>
          <w:color w:val="auto"/>
          <w:sz w:val="24"/>
          <w:highlight w:val="none"/>
          <w:shd w:val="clear" w:color="auto" w:fill="auto"/>
        </w:rPr>
        <w:t>。</w:t>
      </w:r>
    </w:p>
    <w:p w14:paraId="3C6897C3">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第四条：服务质量保证</w:t>
      </w:r>
    </w:p>
    <w:p w14:paraId="73CADC96">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（一）乙方需派一名项目负责人，直接与甲方沟通，项目负责人接收甲方提出的问题与要求，并及时反馈给工作组，解决在项目实施过程中遇到的问题。</w:t>
      </w:r>
    </w:p>
    <w:p w14:paraId="784FCC66">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（二）项目在实施过程中会出现不可预料的需求变更，乙方需积极配合甲方的需求变更，并按照变更后的需求继续进行方案实施。</w:t>
      </w:r>
    </w:p>
    <w:p w14:paraId="1EDB5AF0">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（三）乙方需提交所有实施方案流程及说明文档。</w:t>
      </w:r>
    </w:p>
    <w:p w14:paraId="36F25829">
      <w:pPr>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第五条：合同价款</w:t>
      </w:r>
    </w:p>
    <w:p w14:paraId="306CABCE">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（一）合同总价款为人民币（大写）</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 xml:space="preserve"> ）。</w:t>
      </w:r>
    </w:p>
    <w:p w14:paraId="06E6B08D">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（二）合同总价：包括服务期内提供所有服务费用、税金等完成本次服务所需一切费用</w:t>
      </w:r>
      <w:r>
        <w:rPr>
          <w:rFonts w:hint="eastAsia" w:ascii="宋体" w:hAnsi="宋体" w:cs="宋体"/>
          <w:color w:val="auto"/>
          <w:sz w:val="24"/>
          <w:highlight w:val="none"/>
          <w:shd w:val="clear" w:color="auto" w:fill="auto"/>
        </w:rPr>
        <w:t>。</w:t>
      </w:r>
    </w:p>
    <w:p w14:paraId="3A41C8F0">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（三）合同总价为固定总价，不受市场价格变化因素的影响。</w:t>
      </w:r>
    </w:p>
    <w:p w14:paraId="5F76A4C4">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第六条：付款进度安排</w:t>
      </w:r>
    </w:p>
    <w:p w14:paraId="579C7C62">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（一）支付方式：银行转账。</w:t>
      </w:r>
    </w:p>
    <w:p w14:paraId="08CE9B31">
      <w:pPr>
        <w:autoSpaceDE w:val="0"/>
        <w:autoSpaceDN w:val="0"/>
        <w:adjustRightInd w:val="0"/>
        <w:spacing w:line="348" w:lineRule="auto"/>
        <w:ind w:firstLine="480" w:firstLineChars="200"/>
        <w:outlineLvl w:val="2"/>
        <w:rPr>
          <w:rFonts w:hint="eastAsia" w:ascii="宋体" w:hAnsi="宋体" w:eastAsia="宋体" w:cs="宋体"/>
          <w:bCs/>
          <w:color w:val="auto"/>
          <w:sz w:val="24"/>
          <w:highlight w:val="none"/>
          <w:shd w:val="clear" w:color="auto" w:fill="auto"/>
        </w:rPr>
      </w:pPr>
      <w:r>
        <w:rPr>
          <w:rFonts w:hint="eastAsia" w:ascii="宋体" w:hAnsi="宋体" w:cs="宋体"/>
          <w:bCs/>
          <w:color w:val="auto"/>
          <w:sz w:val="24"/>
          <w:highlight w:val="none"/>
          <w:shd w:val="clear" w:color="auto" w:fill="auto"/>
        </w:rPr>
        <w:t>（二）结算条件：</w:t>
      </w:r>
      <w:r>
        <w:rPr>
          <w:rFonts w:hint="eastAsia" w:ascii="宋体" w:hAnsi="宋体" w:cs="宋体"/>
          <w:bCs/>
          <w:color w:val="auto"/>
          <w:sz w:val="24"/>
          <w:highlight w:val="none"/>
          <w:shd w:val="clear" w:color="auto" w:fill="auto"/>
          <w:lang w:val="en-US" w:eastAsia="zh-CN"/>
        </w:rPr>
        <w:t>分期付款</w:t>
      </w:r>
      <w:r>
        <w:rPr>
          <w:rFonts w:hint="eastAsia" w:ascii="宋体" w:hAnsi="宋体" w:eastAsia="宋体" w:cs="宋体"/>
          <w:bCs/>
          <w:color w:val="auto"/>
          <w:sz w:val="24"/>
          <w:highlight w:val="none"/>
          <w:shd w:val="clear" w:color="auto" w:fill="auto"/>
        </w:rPr>
        <w:t>。</w:t>
      </w:r>
    </w:p>
    <w:p w14:paraId="4A6CCD12">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color w:val="auto"/>
          <w:sz w:val="24"/>
          <w:highlight w:val="none"/>
          <w:shd w:val="clear" w:color="auto" w:fill="auto"/>
        </w:rPr>
        <w:t>乙方承诺其开具发票的形式与内容均合法、有效、完整、准确，不开具或</w:t>
      </w:r>
      <w:r>
        <w:rPr>
          <w:rFonts w:hint="eastAsia" w:ascii="宋体" w:hAnsi="宋体" w:cs="宋体"/>
          <w:color w:val="auto"/>
          <w:sz w:val="24"/>
          <w:highlight w:val="none"/>
          <w:shd w:val="clear" w:color="auto" w:fill="auto"/>
          <w:lang w:eastAsia="zh-Hans"/>
        </w:rPr>
        <w:t>所</w:t>
      </w:r>
      <w:r>
        <w:rPr>
          <w:rFonts w:hint="eastAsia" w:ascii="宋体" w:hAnsi="宋体" w:cs="宋体"/>
          <w:color w:val="auto"/>
          <w:sz w:val="24"/>
          <w:highlight w:val="none"/>
          <w:shd w:val="clear" w:color="auto" w:fill="auto"/>
        </w:rPr>
        <w:t>开具</w:t>
      </w:r>
      <w:r>
        <w:rPr>
          <w:rFonts w:hint="eastAsia" w:ascii="宋体" w:hAnsi="宋体" w:cs="宋体"/>
          <w:color w:val="auto"/>
          <w:sz w:val="24"/>
          <w:highlight w:val="none"/>
          <w:shd w:val="clear" w:color="auto" w:fill="auto"/>
          <w:lang w:eastAsia="zh-Hans"/>
        </w:rPr>
        <w:t>发票</w:t>
      </w:r>
      <w:r>
        <w:rPr>
          <w:rFonts w:hint="eastAsia" w:ascii="宋体" w:hAnsi="宋体" w:cs="宋体"/>
          <w:color w:val="auto"/>
          <w:sz w:val="24"/>
          <w:highlight w:val="none"/>
          <w:shd w:val="clear" w:color="auto" w:fill="auto"/>
        </w:rPr>
        <w:t>不合格的，甲方有权迟延支付应付款项且不承担任何违约责任，且乙方的各项合同义务仍应按合同约定履行。</w:t>
      </w:r>
    </w:p>
    <w:p w14:paraId="46D61059">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eastAsia="宋体" w:cs="宋体"/>
          <w:bCs/>
          <w:color w:val="auto"/>
          <w:kern w:val="2"/>
          <w:sz w:val="24"/>
          <w:szCs w:val="24"/>
          <w:shd w:val="clear" w:fill="auto"/>
          <w:lang w:val="en-US" w:eastAsia="zh-CN" w:bidi="ar-SA"/>
        </w:rPr>
        <w:t>（三）</w:t>
      </w:r>
      <w:r>
        <w:rPr>
          <w:rFonts w:hint="eastAsia" w:ascii="宋体" w:hAnsi="宋体" w:cs="宋体"/>
          <w:bCs/>
          <w:color w:val="auto"/>
          <w:sz w:val="24"/>
          <w:highlight w:val="none"/>
          <w:shd w:val="clear" w:color="auto" w:fill="auto"/>
        </w:rPr>
        <w:t>付款进度：</w:t>
      </w:r>
    </w:p>
    <w:p w14:paraId="0E4BF16A">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1EB9A446">
      <w:pPr>
        <w:numPr>
          <w:ilvl w:val="0"/>
          <w:numId w:val="0"/>
        </w:numPr>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0DC47475">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 8.30%。</w:t>
      </w:r>
    </w:p>
    <w:p w14:paraId="16AC53BB">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62AB56F6">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2F0CB868">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3BB654FC">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38311B60">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7E5B1225">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796E6BB1">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3B386810">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8.30%。</w:t>
      </w:r>
    </w:p>
    <w:p w14:paraId="2133245C">
      <w:pPr>
        <w:numPr>
          <w:ilvl w:val="0"/>
          <w:numId w:val="0"/>
        </w:numPr>
        <w:spacing w:line="360" w:lineRule="auto"/>
        <w:ind w:firstLine="420" w:firstLineChars="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付款条件说明：以物业服务质量标准对供应商考核打分、评分结果作为当月付款结算的依据。采购人每月验收一次，经综合验收合格办理结算该月付款手续，供应商提交当月验收结算付款申请书，经审定后提交正式税务发票，由甲方提交财政审核并履行相关手续后通过支票或转账的方式向乙方指定账户支付当期物业管理费用，达到付款条件起10日内，支付合同总金额的8.70%。</w:t>
      </w:r>
    </w:p>
    <w:p w14:paraId="4A68F4DF">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（四）乙方结算相关信息如下：</w:t>
      </w:r>
    </w:p>
    <w:p w14:paraId="4551E3EF">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 xml:space="preserve">乙方银行账户信息如下： </w:t>
      </w:r>
    </w:p>
    <w:p w14:paraId="55D85BE1">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账户户名：</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 xml:space="preserve">                        </w:t>
      </w:r>
    </w:p>
    <w:p w14:paraId="716500F7">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开户行：</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 xml:space="preserve">                                        </w:t>
      </w:r>
    </w:p>
    <w:p w14:paraId="7878F045">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银行账号：</w:t>
      </w:r>
      <w:r>
        <w:rPr>
          <w:rFonts w:hint="eastAsia" w:ascii="宋体" w:hAnsi="宋体" w:cs="宋体"/>
          <w:color w:val="auto"/>
          <w:sz w:val="24"/>
          <w:highlight w:val="none"/>
          <w:u w:val="single"/>
          <w:shd w:val="clear" w:color="auto" w:fill="auto"/>
        </w:rPr>
        <w:t xml:space="preserve">                   </w:t>
      </w:r>
      <w:r>
        <w:rPr>
          <w:rFonts w:hint="eastAsia" w:ascii="宋体" w:hAnsi="宋体" w:cs="宋体"/>
          <w:color w:val="auto"/>
          <w:sz w:val="24"/>
          <w:highlight w:val="none"/>
          <w:shd w:val="clear" w:color="auto" w:fill="auto"/>
        </w:rPr>
        <w:t xml:space="preserve">                                      </w:t>
      </w:r>
    </w:p>
    <w:p w14:paraId="7C1266D2">
      <w:pPr>
        <w:spacing w:line="360" w:lineRule="auto"/>
        <w:ind w:firstLine="42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如需改变上述账户，应提前十日以书面通知另一方。如一方未按本合同规定通知而使另一方遭受损失的，应予以赔偿。</w:t>
      </w:r>
    </w:p>
    <w:p w14:paraId="0B7FE36D">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w:t>
      </w:r>
      <w:r>
        <w:rPr>
          <w:rFonts w:hint="eastAsia" w:ascii="宋体" w:hAnsi="宋体" w:cs="宋体"/>
          <w:b/>
          <w:bCs/>
          <w:color w:val="auto"/>
          <w:sz w:val="24"/>
          <w:highlight w:val="none"/>
          <w:shd w:val="clear" w:color="auto" w:fill="auto"/>
          <w:lang w:val="en-US" w:eastAsia="zh-CN"/>
        </w:rPr>
        <w:t>七</w:t>
      </w:r>
      <w:r>
        <w:rPr>
          <w:rFonts w:hint="eastAsia" w:ascii="宋体" w:hAnsi="宋体" w:cs="宋体"/>
          <w:b/>
          <w:bCs/>
          <w:color w:val="auto"/>
          <w:sz w:val="24"/>
          <w:highlight w:val="none"/>
          <w:shd w:val="clear" w:color="auto" w:fill="auto"/>
        </w:rPr>
        <w:t>条：验收要求</w:t>
      </w:r>
    </w:p>
    <w:p w14:paraId="7212F0B3">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（一）乙方配合采购人验收。若存在验收费用，由乙方自行承担。</w:t>
      </w:r>
    </w:p>
    <w:p w14:paraId="1AEAB988">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（二）由采购人根据采购合同约定，进行检查验收。</w:t>
      </w:r>
    </w:p>
    <w:p w14:paraId="49E36938">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（三）合同所有内容完成后，由乙方进行自检，合格后，准备验收文件，并书面通知甲方。甲方可选择自行验收或要求采购代理机构配合验收或选择第三方专业机构及专家参与验收。</w:t>
      </w:r>
    </w:p>
    <w:p w14:paraId="6DAE98E9">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（四）乙方向甲方提交实施过程中的所有资料。以便甲方日后管理。</w:t>
      </w:r>
    </w:p>
    <w:p w14:paraId="4D248580">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（五）验收依据：</w:t>
      </w:r>
    </w:p>
    <w:p w14:paraId="0E9B556B">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1、本合同及附加文本；</w:t>
      </w:r>
    </w:p>
    <w:p w14:paraId="5AD59420">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2、招标文件、中标人的投标文件及澄清函、承诺函。</w:t>
      </w:r>
    </w:p>
    <w:p w14:paraId="718EB5F9">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w:t>
      </w:r>
      <w:r>
        <w:rPr>
          <w:rFonts w:hint="eastAsia" w:ascii="宋体" w:hAnsi="宋体" w:cs="宋体"/>
          <w:b/>
          <w:bCs/>
          <w:color w:val="auto"/>
          <w:sz w:val="24"/>
          <w:highlight w:val="none"/>
          <w:shd w:val="clear" w:color="auto" w:fill="auto"/>
          <w:lang w:val="en-US" w:eastAsia="zh-CN"/>
        </w:rPr>
        <w:t>八</w:t>
      </w:r>
      <w:r>
        <w:rPr>
          <w:rFonts w:hint="eastAsia" w:ascii="宋体" w:hAnsi="宋体" w:cs="宋体"/>
          <w:b/>
          <w:bCs/>
          <w:color w:val="auto"/>
          <w:sz w:val="24"/>
          <w:highlight w:val="none"/>
          <w:shd w:val="clear" w:color="auto" w:fill="auto"/>
        </w:rPr>
        <w:t>条：双方的权利和义务</w:t>
      </w:r>
    </w:p>
    <w:p w14:paraId="0671BB09">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（一）甲方的权利与义务</w:t>
      </w:r>
    </w:p>
    <w:p w14:paraId="713AF2A7">
      <w:pPr>
        <w:autoSpaceDE w:val="0"/>
        <w:autoSpaceDN w:val="0"/>
        <w:adjustRightInd w:val="0"/>
        <w:spacing w:line="348" w:lineRule="auto"/>
        <w:ind w:firstLine="480" w:firstLineChars="200"/>
        <w:rPr>
          <w:rFonts w:hint="default" w:ascii="宋体" w:hAnsi="宋体" w:cs="宋体"/>
          <w:bCs/>
          <w:color w:val="auto"/>
          <w:sz w:val="24"/>
          <w:highlight w:val="none"/>
          <w:shd w:val="clear" w:color="auto" w:fill="auto"/>
          <w:lang w:val="en-US" w:eastAsia="zh-CN"/>
        </w:rPr>
      </w:pPr>
      <w:r>
        <w:rPr>
          <w:rFonts w:hint="eastAsia" w:ascii="宋体" w:hAnsi="宋体" w:cs="宋体"/>
          <w:bCs/>
          <w:color w:val="auto"/>
          <w:sz w:val="24"/>
          <w:highlight w:val="none"/>
          <w:shd w:val="clear" w:color="auto" w:fill="auto"/>
        </w:rPr>
        <w:t>甲方应按招标文件</w:t>
      </w:r>
      <w:r>
        <w:rPr>
          <w:rFonts w:hint="eastAsia" w:ascii="宋体" w:hAnsi="宋体" w:cs="宋体"/>
          <w:bCs/>
          <w:color w:val="auto"/>
          <w:sz w:val="24"/>
          <w:highlight w:val="none"/>
          <w:shd w:val="clear" w:color="auto" w:fill="auto"/>
          <w:lang w:eastAsia="zh-CN"/>
        </w:rPr>
        <w:t>、</w:t>
      </w:r>
      <w:r>
        <w:rPr>
          <w:rFonts w:hint="eastAsia" w:ascii="宋体" w:hAnsi="宋体" w:cs="宋体"/>
          <w:bCs/>
          <w:color w:val="auto"/>
          <w:sz w:val="24"/>
          <w:highlight w:val="none"/>
          <w:shd w:val="clear" w:color="auto" w:fill="auto"/>
          <w:lang w:val="en-US" w:eastAsia="zh-CN"/>
        </w:rPr>
        <w:t>投标文件及合同要求</w:t>
      </w:r>
      <w:r>
        <w:rPr>
          <w:rFonts w:hint="eastAsia" w:ascii="宋体" w:hAnsi="宋体" w:cs="宋体"/>
          <w:bCs/>
          <w:color w:val="auto"/>
          <w:sz w:val="24"/>
          <w:highlight w:val="none"/>
          <w:shd w:val="clear" w:color="auto" w:fill="auto"/>
        </w:rPr>
        <w:t>进行</w:t>
      </w:r>
      <w:r>
        <w:rPr>
          <w:rFonts w:hint="eastAsia" w:ascii="宋体" w:hAnsi="宋体" w:cs="宋体"/>
          <w:bCs/>
          <w:color w:val="auto"/>
          <w:sz w:val="24"/>
          <w:highlight w:val="none"/>
          <w:shd w:val="clear" w:color="auto" w:fill="auto"/>
          <w:lang w:val="en-US" w:eastAsia="zh-CN"/>
        </w:rPr>
        <w:t>管理及监督</w:t>
      </w:r>
      <w:r>
        <w:rPr>
          <w:rFonts w:hint="eastAsia" w:ascii="宋体" w:hAnsi="宋体" w:cs="宋体"/>
          <w:bCs/>
          <w:color w:val="auto"/>
          <w:sz w:val="24"/>
          <w:highlight w:val="none"/>
          <w:shd w:val="clear" w:color="auto" w:fill="auto"/>
        </w:rPr>
        <w:t>，如发现不符合规定或</w:t>
      </w:r>
      <w:r>
        <w:rPr>
          <w:rFonts w:hint="eastAsia" w:ascii="宋体" w:hAnsi="宋体" w:cs="宋体"/>
          <w:bCs/>
          <w:color w:val="auto"/>
          <w:sz w:val="24"/>
          <w:highlight w:val="none"/>
          <w:shd w:val="clear" w:color="auto" w:fill="auto"/>
          <w:lang w:val="en-US" w:eastAsia="zh-CN"/>
        </w:rPr>
        <w:t>其他违规违法情况</w:t>
      </w:r>
      <w:r>
        <w:rPr>
          <w:rFonts w:hint="eastAsia" w:ascii="宋体" w:hAnsi="宋体" w:cs="宋体"/>
          <w:bCs/>
          <w:color w:val="auto"/>
          <w:sz w:val="24"/>
          <w:highlight w:val="none"/>
          <w:shd w:val="clear" w:color="auto" w:fill="auto"/>
        </w:rPr>
        <w:t>，</w:t>
      </w:r>
      <w:r>
        <w:rPr>
          <w:rFonts w:hint="eastAsia" w:ascii="宋体" w:hAnsi="宋体" w:cs="宋体"/>
          <w:bCs/>
          <w:color w:val="auto"/>
          <w:sz w:val="24"/>
          <w:highlight w:val="none"/>
          <w:shd w:val="clear" w:color="auto" w:fill="auto"/>
          <w:lang w:val="en-US" w:eastAsia="zh-CN"/>
        </w:rPr>
        <w:t>有权利暂停或终止合同，并追究相关责任。</w:t>
      </w:r>
    </w:p>
    <w:p w14:paraId="11148F38">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（二）乙方的权利与义务</w:t>
      </w:r>
    </w:p>
    <w:p w14:paraId="7E9545EA">
      <w:pPr>
        <w:autoSpaceDE w:val="0"/>
        <w:autoSpaceDN w:val="0"/>
        <w:adjustRightInd w:val="0"/>
        <w:snapToGri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1.乙方的工作人员必须严格遵守甲方的规章制度，以良好的形象和积极的工作态度，按甲方要求开展工作；</w:t>
      </w:r>
    </w:p>
    <w:p w14:paraId="7F416A4D">
      <w:pPr>
        <w:autoSpaceDE w:val="0"/>
        <w:autoSpaceDN w:val="0"/>
        <w:adjustRightInd w:val="0"/>
        <w:snapToGrid w:val="0"/>
        <w:spacing w:line="360" w:lineRule="auto"/>
        <w:ind w:firstLine="480" w:firstLineChars="200"/>
        <w:outlineLvl w:val="3"/>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2.乙方应服从甲方统筹管理并按流程开展工作；</w:t>
      </w:r>
    </w:p>
    <w:p w14:paraId="4710423D">
      <w:pPr>
        <w:autoSpaceDE w:val="0"/>
        <w:autoSpaceDN w:val="0"/>
        <w:adjustRightInd w:val="0"/>
        <w:snapToGri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3.乙方在服务期间发布的任何涉及有关甲方的相关信息，需经甲方确认无误后方可公布。</w:t>
      </w:r>
    </w:p>
    <w:p w14:paraId="00FACAF5">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w:t>
      </w:r>
      <w:r>
        <w:rPr>
          <w:rFonts w:hint="eastAsia" w:ascii="宋体" w:hAnsi="宋体" w:cs="宋体"/>
          <w:b/>
          <w:bCs/>
          <w:color w:val="auto"/>
          <w:sz w:val="24"/>
          <w:highlight w:val="none"/>
          <w:shd w:val="clear" w:color="auto" w:fill="auto"/>
          <w:lang w:val="en-US" w:eastAsia="zh-CN"/>
        </w:rPr>
        <w:t>九</w:t>
      </w:r>
      <w:r>
        <w:rPr>
          <w:rFonts w:hint="eastAsia" w:ascii="宋体" w:hAnsi="宋体" w:cs="宋体"/>
          <w:b/>
          <w:bCs/>
          <w:color w:val="auto"/>
          <w:sz w:val="24"/>
          <w:highlight w:val="none"/>
          <w:shd w:val="clear" w:color="auto" w:fill="auto"/>
        </w:rPr>
        <w:t>条：违约责任</w:t>
      </w:r>
    </w:p>
    <w:p w14:paraId="2559E5BA">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（一）按《中华人民共和国民法典》中的相关条款执行。</w:t>
      </w:r>
    </w:p>
    <w:p w14:paraId="6D931DBD">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（二）任何一方因不可抗力原因不能履行协议时，应尽快通知对方，双方均设法补偿。如仍无法履约协议，可协商延缓或撤销协议，双方责任免除。</w:t>
      </w:r>
    </w:p>
    <w:p w14:paraId="7F1722E5">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color w:val="auto"/>
          <w:sz w:val="24"/>
          <w:highlight w:val="none"/>
          <w:shd w:val="clear" w:color="auto" w:fill="auto"/>
        </w:rPr>
        <w:t>（三）甲方逾期</w:t>
      </w:r>
      <w:r>
        <w:rPr>
          <w:rFonts w:hint="eastAsia" w:ascii="宋体" w:hAnsi="宋体" w:cs="宋体"/>
          <w:bCs/>
          <w:color w:val="auto"/>
          <w:sz w:val="24"/>
          <w:highlight w:val="none"/>
          <w:shd w:val="clear" w:color="auto" w:fill="auto"/>
        </w:rPr>
        <w:t>付款，则每日按本合同总价的</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%向乙方偿付违约金。</w:t>
      </w:r>
    </w:p>
    <w:p w14:paraId="6E9123FD">
      <w:pPr>
        <w:tabs>
          <w:tab w:val="left" w:pos="840"/>
        </w:tabs>
        <w:kinsoku w:val="0"/>
        <w:spacing w:line="360" w:lineRule="auto"/>
        <w:outlineLvl w:val="1"/>
        <w:rPr>
          <w:rFonts w:hint="eastAsia" w:ascii="宋体" w:hAnsi="宋体" w:cs="宋体"/>
          <w:b/>
          <w:color w:val="auto"/>
          <w:sz w:val="24"/>
          <w:highlight w:val="none"/>
          <w:shd w:val="clear" w:color="auto" w:fill="auto"/>
        </w:rPr>
      </w:pPr>
      <w:r>
        <w:rPr>
          <w:rFonts w:hint="eastAsia" w:ascii="宋体" w:hAnsi="宋体" w:cs="宋体"/>
          <w:b/>
          <w:color w:val="auto"/>
          <w:sz w:val="24"/>
          <w:highlight w:val="none"/>
          <w:shd w:val="clear" w:color="auto" w:fill="auto"/>
        </w:rPr>
        <w:t>第十条：不可抗力</w:t>
      </w:r>
    </w:p>
    <w:p w14:paraId="05F9FA1C">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（一）本合同所指不可抗力，是指不能预见、不能避免并不能克服的客观情况。</w:t>
      </w:r>
    </w:p>
    <w:p w14:paraId="613D74B9">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0A3CE9B0">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1、受阻方不能全部或部分履行其义务，是由于不可抗力事件直接造成的，且在不可抗力发生前受阻方不存在迟延履行相关义务的情形；</w:t>
      </w:r>
    </w:p>
    <w:p w14:paraId="7AFE8EEC">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2、受阻方已尽最大努力履行其义务并减少由于不可抗力事件给另一方造成的损失；</w:t>
      </w:r>
    </w:p>
    <w:p w14:paraId="1A4FC7AB">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3、不可抗力事件发生时，受阻方立即通知了对方，并在不可抗力事件发生后的十五(15</w:t>
      </w:r>
      <w:r>
        <w:rPr>
          <w:rFonts w:hint="eastAsia" w:ascii="宋体" w:hAnsi="宋体" w:cs="宋体"/>
          <w:color w:val="auto"/>
          <w:sz w:val="24"/>
          <w:highlight w:val="none"/>
          <w:shd w:val="clear" w:color="auto" w:fill="auto"/>
          <w:lang w:eastAsia="zh-CN"/>
        </w:rPr>
        <w:t>）</w:t>
      </w:r>
      <w:r>
        <w:rPr>
          <w:rFonts w:hint="eastAsia" w:ascii="宋体" w:hAnsi="宋体" w:cs="宋体"/>
          <w:color w:val="auto"/>
          <w:sz w:val="24"/>
          <w:highlight w:val="none"/>
          <w:shd w:val="clear" w:color="auto" w:fill="auto"/>
        </w:rPr>
        <w:t>天内提供有关该事件的公证文书和书面说明，书面说明中应包括对延迟履行或部分履行本合同的原因说明。</w:t>
      </w:r>
    </w:p>
    <w:p w14:paraId="0F2EA510">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（三）不可抗力事件终止或被排除后，受阻方应继续履行本合同，并应尽快通知另一方。受阻方可延长履行义务的时间，延长期应相当于不可抗力事件实际造成延误的时间。</w:t>
      </w:r>
    </w:p>
    <w:p w14:paraId="6E4ADD40">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1249BB7A">
      <w:pPr>
        <w:tabs>
          <w:tab w:val="left" w:pos="840"/>
        </w:tabs>
        <w:kinsoku w:val="0"/>
        <w:spacing w:line="360" w:lineRule="auto"/>
        <w:outlineLvl w:val="1"/>
        <w:rPr>
          <w:rFonts w:hint="eastAsia" w:ascii="宋体" w:hAnsi="宋体" w:cs="宋体"/>
          <w:b/>
          <w:color w:val="auto"/>
          <w:sz w:val="24"/>
          <w:highlight w:val="none"/>
          <w:shd w:val="clear" w:color="auto" w:fill="auto"/>
        </w:rPr>
      </w:pPr>
      <w:r>
        <w:rPr>
          <w:rFonts w:hint="eastAsia" w:ascii="宋体" w:hAnsi="宋体" w:cs="宋体"/>
          <w:b/>
          <w:color w:val="auto"/>
          <w:sz w:val="24"/>
          <w:highlight w:val="none"/>
          <w:shd w:val="clear" w:color="auto" w:fill="auto"/>
        </w:rPr>
        <w:t>第十</w:t>
      </w:r>
      <w:r>
        <w:rPr>
          <w:rFonts w:hint="eastAsia" w:ascii="宋体" w:hAnsi="宋体" w:cs="宋体"/>
          <w:b/>
          <w:color w:val="auto"/>
          <w:sz w:val="24"/>
          <w:highlight w:val="none"/>
          <w:shd w:val="clear" w:color="auto" w:fill="auto"/>
          <w:lang w:val="en-US" w:eastAsia="zh-CN"/>
        </w:rPr>
        <w:t>一</w:t>
      </w:r>
      <w:r>
        <w:rPr>
          <w:rFonts w:hint="eastAsia" w:ascii="宋体" w:hAnsi="宋体" w:cs="宋体"/>
          <w:b/>
          <w:color w:val="auto"/>
          <w:sz w:val="24"/>
          <w:highlight w:val="none"/>
          <w:shd w:val="clear" w:color="auto" w:fill="auto"/>
        </w:rPr>
        <w:t>条：法律适用和争议解决</w:t>
      </w:r>
    </w:p>
    <w:p w14:paraId="6193FB76">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（一）本合同的成立、有效性、解释、履行、签署、修订和终止以及争议的解决均应适用中华人民共和国法律。</w:t>
      </w:r>
    </w:p>
    <w:p w14:paraId="7BA451ED">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（二）如果任何争议或权利要求起因于本合同或与本合同有关或与本合同的解释、违约、终止或效力有关，都应由双方通过友好协商解决。协商应在一方向另一方送达关于协商的书面要求后立即开始。</w:t>
      </w:r>
    </w:p>
    <w:p w14:paraId="3AE4CDDF">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（三）如果在一方提出协商要求后的十（10）天内，双方通过协商不能解决争议，则双方同意按以下方式解决：</w:t>
      </w:r>
    </w:p>
    <w:p w14:paraId="403A6DBC">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将该争议提交至甲方所在地</w:t>
      </w:r>
      <w:r>
        <w:rPr>
          <w:rFonts w:hint="eastAsia" w:ascii="宋体" w:hAnsi="宋体" w:cs="宋体"/>
          <w:color w:val="auto"/>
          <w:sz w:val="24"/>
          <w:highlight w:val="none"/>
          <w:shd w:val="clear" w:color="auto" w:fill="auto"/>
          <w:lang w:eastAsia="zh-Hans"/>
        </w:rPr>
        <w:t>有管辖权的</w:t>
      </w:r>
      <w:r>
        <w:rPr>
          <w:rFonts w:hint="eastAsia" w:ascii="宋体" w:hAnsi="宋体" w:cs="宋体"/>
          <w:color w:val="auto"/>
          <w:sz w:val="24"/>
          <w:highlight w:val="none"/>
          <w:shd w:val="clear" w:color="auto" w:fill="auto"/>
        </w:rPr>
        <w:t>人民法院诉讼解决，败诉方应支付双方因诉讼所发生的一切法律费用，包括但不限于律师费。</w:t>
      </w:r>
    </w:p>
    <w:p w14:paraId="4B9F10E5">
      <w:pPr>
        <w:tabs>
          <w:tab w:val="left" w:pos="840"/>
        </w:tabs>
        <w:kinsoku w:val="0"/>
        <w:spacing w:line="360" w:lineRule="auto"/>
        <w:ind w:firstLine="480" w:firstLineChars="200"/>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（四）诉讼进行过程中，除双方有争议的部分外，本合同其他部分仍然有效，双方应继续履行。</w:t>
      </w:r>
    </w:p>
    <w:p w14:paraId="2C334B3F">
      <w:pPr>
        <w:tabs>
          <w:tab w:val="left" w:pos="840"/>
        </w:tabs>
        <w:kinsoku w:val="0"/>
        <w:spacing w:line="360" w:lineRule="auto"/>
        <w:ind w:firstLine="480" w:firstLineChars="200"/>
        <w:outlineLvl w:val="2"/>
        <w:rPr>
          <w:rFonts w:hint="eastAsia" w:ascii="宋体" w:hAnsi="宋体" w:cs="宋体"/>
          <w:color w:val="auto"/>
          <w:sz w:val="24"/>
          <w:highlight w:val="none"/>
          <w:shd w:val="clear" w:color="auto" w:fill="auto"/>
        </w:rPr>
      </w:pPr>
      <w:r>
        <w:rPr>
          <w:rFonts w:hint="eastAsia" w:ascii="宋体" w:hAnsi="宋体" w:cs="宋体"/>
          <w:color w:val="auto"/>
          <w:sz w:val="24"/>
          <w:highlight w:val="none"/>
          <w:shd w:val="clear" w:color="auto" w:fill="auto"/>
        </w:rPr>
        <w:t>（五）本合同全部或部分无效的，本条依然有效。</w:t>
      </w:r>
    </w:p>
    <w:p w14:paraId="31D99BB7">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第十</w:t>
      </w:r>
      <w:r>
        <w:rPr>
          <w:rFonts w:hint="eastAsia" w:ascii="宋体" w:hAnsi="宋体" w:cs="宋体"/>
          <w:b/>
          <w:bCs/>
          <w:color w:val="auto"/>
          <w:sz w:val="24"/>
          <w:highlight w:val="none"/>
          <w:shd w:val="clear" w:color="auto" w:fill="auto"/>
          <w:lang w:val="en-US" w:eastAsia="zh-CN"/>
        </w:rPr>
        <w:t>二</w:t>
      </w:r>
      <w:r>
        <w:rPr>
          <w:rFonts w:hint="eastAsia" w:ascii="宋体" w:hAnsi="宋体" w:cs="宋体"/>
          <w:b/>
          <w:bCs/>
          <w:color w:val="auto"/>
          <w:sz w:val="24"/>
          <w:highlight w:val="none"/>
          <w:shd w:val="clear" w:color="auto" w:fill="auto"/>
        </w:rPr>
        <w:t>条：合同争议解决的方式</w:t>
      </w:r>
    </w:p>
    <w:p w14:paraId="28C2923C">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本合同在履行过程中发生的争议，由甲、乙双方当事人协商解决，协商不成的按下列第</w:t>
      </w:r>
      <w:r>
        <w:rPr>
          <w:rFonts w:hint="eastAsia" w:ascii="宋体" w:hAnsi="宋体" w:cs="宋体"/>
          <w:bCs/>
          <w:i/>
          <w:i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 xml:space="preserve"> 种方式解决：</w:t>
      </w:r>
    </w:p>
    <w:p w14:paraId="28FDA6A4">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（一）提交当地仲裁委员会仲裁；</w:t>
      </w:r>
    </w:p>
    <w:p w14:paraId="399A7E24">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（二）依法向甲方所在地人民法院起诉。</w:t>
      </w:r>
    </w:p>
    <w:p w14:paraId="7E999389">
      <w:pPr>
        <w:autoSpaceDE w:val="0"/>
        <w:autoSpaceDN w:val="0"/>
        <w:adjustRightInd w:val="0"/>
        <w:spacing w:line="348" w:lineRule="auto"/>
        <w:outlineLvl w:val="1"/>
        <w:rPr>
          <w:rFonts w:hint="eastAsia" w:ascii="宋体" w:hAnsi="宋体" w:cs="宋体"/>
          <w:b/>
          <w:bCs/>
          <w:color w:val="auto"/>
          <w:sz w:val="24"/>
          <w:highlight w:val="none"/>
          <w:shd w:val="clear" w:color="auto" w:fill="auto"/>
        </w:rPr>
      </w:pPr>
      <w:r>
        <w:rPr>
          <w:rFonts w:hint="eastAsia" w:ascii="宋体" w:hAnsi="宋体" w:cs="宋体"/>
          <w:b/>
          <w:bCs/>
          <w:color w:val="auto"/>
          <w:sz w:val="24"/>
          <w:highlight w:val="none"/>
          <w:shd w:val="clear" w:color="auto" w:fill="auto"/>
        </w:rPr>
        <w:t>第十</w:t>
      </w:r>
      <w:r>
        <w:rPr>
          <w:rFonts w:hint="eastAsia" w:ascii="宋体" w:hAnsi="宋体" w:cs="宋体"/>
          <w:b/>
          <w:bCs/>
          <w:color w:val="auto"/>
          <w:sz w:val="24"/>
          <w:highlight w:val="none"/>
          <w:shd w:val="clear" w:color="auto" w:fill="auto"/>
          <w:lang w:val="en-US" w:eastAsia="zh-CN"/>
        </w:rPr>
        <w:t>三</w:t>
      </w:r>
      <w:r>
        <w:rPr>
          <w:rFonts w:hint="eastAsia" w:ascii="宋体" w:hAnsi="宋体" w:cs="宋体"/>
          <w:b/>
          <w:bCs/>
          <w:color w:val="auto"/>
          <w:sz w:val="24"/>
          <w:highlight w:val="none"/>
          <w:shd w:val="clear" w:color="auto" w:fill="auto"/>
        </w:rPr>
        <w:t>条：合同生效</w:t>
      </w:r>
    </w:p>
    <w:p w14:paraId="5F53D9A2">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（一）本合同须经甲、乙双方的法定代表人（授权代理人）在合同书上签字并加盖本单位公章后正式生效。</w:t>
      </w:r>
    </w:p>
    <w:p w14:paraId="11692BBC">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（二）合同生效后，甲、乙双方须严格执行本合同条款的规定，全面履行合同，违者按《中华人民共和国民法典》的有关规定承担相应责任。</w:t>
      </w:r>
    </w:p>
    <w:p w14:paraId="117A7227">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（三）本合同一式</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份，甲乙双方各执</w:t>
      </w:r>
      <w:r>
        <w:rPr>
          <w:rFonts w:hint="eastAsia" w:ascii="宋体" w:hAnsi="宋体" w:cs="宋体"/>
          <w:bCs/>
          <w:color w:val="auto"/>
          <w:sz w:val="24"/>
          <w:highlight w:val="none"/>
          <w:u w:val="single"/>
          <w:shd w:val="clear" w:color="auto" w:fill="auto"/>
        </w:rPr>
        <w:t xml:space="preserve">    </w:t>
      </w:r>
      <w:r>
        <w:rPr>
          <w:rFonts w:hint="eastAsia" w:ascii="宋体" w:hAnsi="宋体" w:cs="宋体"/>
          <w:bCs/>
          <w:color w:val="auto"/>
          <w:sz w:val="24"/>
          <w:highlight w:val="none"/>
          <w:shd w:val="clear" w:color="auto" w:fill="auto"/>
        </w:rPr>
        <w:t>份。</w:t>
      </w:r>
    </w:p>
    <w:p w14:paraId="049E038F">
      <w:pPr>
        <w:autoSpaceDE w:val="0"/>
        <w:autoSpaceDN w:val="0"/>
        <w:adjustRightInd w:val="0"/>
        <w:spacing w:line="348"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（四）本合同未尽事宜由双方另行签订补充合同，补充合同</w:t>
      </w:r>
      <w:r>
        <w:rPr>
          <w:rFonts w:hint="eastAsia" w:ascii="宋体" w:hAnsi="宋体" w:cs="宋体"/>
          <w:bCs/>
          <w:color w:val="auto"/>
          <w:sz w:val="24"/>
          <w:highlight w:val="none"/>
          <w:shd w:val="clear" w:color="auto" w:fill="auto"/>
          <w:lang w:eastAsia="zh-Hans"/>
        </w:rPr>
        <w:t>为本</w:t>
      </w:r>
      <w:r>
        <w:rPr>
          <w:rFonts w:hint="eastAsia" w:ascii="宋体" w:hAnsi="宋体" w:cs="宋体"/>
          <w:bCs/>
          <w:color w:val="auto"/>
          <w:sz w:val="24"/>
          <w:highlight w:val="none"/>
          <w:shd w:val="clear" w:color="auto" w:fill="auto"/>
        </w:rPr>
        <w:t>合同</w:t>
      </w:r>
      <w:r>
        <w:rPr>
          <w:rFonts w:hint="eastAsia" w:ascii="宋体" w:hAnsi="宋体" w:cs="宋体"/>
          <w:bCs/>
          <w:color w:val="auto"/>
          <w:sz w:val="24"/>
          <w:highlight w:val="none"/>
          <w:shd w:val="clear" w:color="auto" w:fill="auto"/>
          <w:lang w:eastAsia="zh-Hans"/>
        </w:rPr>
        <w:t>有效组成部分</w:t>
      </w:r>
      <w:r>
        <w:rPr>
          <w:rFonts w:hint="eastAsia" w:ascii="宋体" w:hAnsi="宋体" w:cs="宋体"/>
          <w:bCs/>
          <w:color w:val="auto"/>
          <w:sz w:val="24"/>
          <w:highlight w:val="none"/>
          <w:shd w:val="clear" w:color="auto" w:fill="auto"/>
        </w:rPr>
        <w:t>。</w:t>
      </w:r>
    </w:p>
    <w:p w14:paraId="54C10153">
      <w:pPr>
        <w:autoSpaceDE w:val="0"/>
        <w:autoSpaceDN w:val="0"/>
        <w:adjustRightInd w:val="0"/>
        <w:spacing w:line="348" w:lineRule="auto"/>
        <w:ind w:firstLine="480" w:firstLineChars="200"/>
        <w:outlineLvl w:val="2"/>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（五）甲乙双方不得擅自变更、中止、终止政府采购合同。</w:t>
      </w:r>
    </w:p>
    <w:tbl>
      <w:tblPr>
        <w:tblStyle w:val="5"/>
        <w:tblpPr w:leftFromText="180" w:rightFromText="180" w:vertAnchor="text" w:horzAnchor="page" w:tblpX="1755" w:tblpY="326"/>
        <w:tblOverlap w:val="never"/>
        <w:tblW w:w="0" w:type="auto"/>
        <w:tblInd w:w="0" w:type="dxa"/>
        <w:tblLayout w:type="fixed"/>
        <w:tblCellMar>
          <w:top w:w="0" w:type="dxa"/>
          <w:left w:w="108" w:type="dxa"/>
          <w:bottom w:w="0" w:type="dxa"/>
          <w:right w:w="108" w:type="dxa"/>
        </w:tblCellMar>
      </w:tblPr>
      <w:tblGrid>
        <w:gridCol w:w="4279"/>
        <w:gridCol w:w="4280"/>
      </w:tblGrid>
      <w:tr w14:paraId="3B0E4FE2">
        <w:tblPrEx>
          <w:tblCellMar>
            <w:top w:w="0" w:type="dxa"/>
            <w:left w:w="108" w:type="dxa"/>
            <w:bottom w:w="0" w:type="dxa"/>
            <w:right w:w="108" w:type="dxa"/>
          </w:tblCellMar>
        </w:tblPrEx>
        <w:trPr>
          <w:trHeight w:val="595" w:hRule="exact"/>
        </w:trPr>
        <w:tc>
          <w:tcPr>
            <w:tcW w:w="4279" w:type="dxa"/>
            <w:noWrap w:val="0"/>
            <w:vAlign w:val="center"/>
          </w:tcPr>
          <w:p w14:paraId="5F95CAFC">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甲  方（全称）：</w:t>
            </w:r>
          </w:p>
        </w:tc>
        <w:tc>
          <w:tcPr>
            <w:tcW w:w="4280" w:type="dxa"/>
            <w:noWrap w:val="0"/>
            <w:vAlign w:val="center"/>
          </w:tcPr>
          <w:p w14:paraId="191CC620">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乙  方（全称）：</w:t>
            </w:r>
          </w:p>
        </w:tc>
      </w:tr>
      <w:tr w14:paraId="14CD14AA">
        <w:tblPrEx>
          <w:tblCellMar>
            <w:top w:w="0" w:type="dxa"/>
            <w:left w:w="108" w:type="dxa"/>
            <w:bottom w:w="0" w:type="dxa"/>
            <w:right w:w="108" w:type="dxa"/>
          </w:tblCellMar>
        </w:tblPrEx>
        <w:trPr>
          <w:trHeight w:val="595" w:hRule="exact"/>
        </w:trPr>
        <w:tc>
          <w:tcPr>
            <w:tcW w:w="4279" w:type="dxa"/>
            <w:noWrap w:val="0"/>
            <w:vAlign w:val="center"/>
          </w:tcPr>
          <w:p w14:paraId="2E0BDC5A">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（盖章）</w:t>
            </w:r>
          </w:p>
        </w:tc>
        <w:tc>
          <w:tcPr>
            <w:tcW w:w="4280" w:type="dxa"/>
            <w:noWrap w:val="0"/>
            <w:vAlign w:val="center"/>
          </w:tcPr>
          <w:p w14:paraId="44CFB5CF">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（盖章）</w:t>
            </w:r>
          </w:p>
        </w:tc>
      </w:tr>
      <w:tr w14:paraId="2A18154A">
        <w:tblPrEx>
          <w:tblCellMar>
            <w:top w:w="0" w:type="dxa"/>
            <w:left w:w="108" w:type="dxa"/>
            <w:bottom w:w="0" w:type="dxa"/>
            <w:right w:w="108" w:type="dxa"/>
          </w:tblCellMar>
        </w:tblPrEx>
        <w:trPr>
          <w:trHeight w:val="595" w:hRule="exact"/>
        </w:trPr>
        <w:tc>
          <w:tcPr>
            <w:tcW w:w="4279" w:type="dxa"/>
            <w:noWrap w:val="0"/>
            <w:vAlign w:val="center"/>
          </w:tcPr>
          <w:p w14:paraId="25E3B870">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 xml:space="preserve">地址： </w:t>
            </w:r>
          </w:p>
        </w:tc>
        <w:tc>
          <w:tcPr>
            <w:tcW w:w="4280" w:type="dxa"/>
            <w:noWrap w:val="0"/>
            <w:vAlign w:val="center"/>
          </w:tcPr>
          <w:p w14:paraId="46A6C089">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地址：</w:t>
            </w:r>
          </w:p>
        </w:tc>
      </w:tr>
      <w:tr w14:paraId="3E2E6DA7">
        <w:tblPrEx>
          <w:tblCellMar>
            <w:top w:w="0" w:type="dxa"/>
            <w:left w:w="108" w:type="dxa"/>
            <w:bottom w:w="0" w:type="dxa"/>
            <w:right w:w="108" w:type="dxa"/>
          </w:tblCellMar>
        </w:tblPrEx>
        <w:trPr>
          <w:trHeight w:val="595" w:hRule="exact"/>
        </w:trPr>
        <w:tc>
          <w:tcPr>
            <w:tcW w:w="4279" w:type="dxa"/>
            <w:noWrap w:val="0"/>
            <w:vAlign w:val="center"/>
          </w:tcPr>
          <w:p w14:paraId="773C8013">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邮编：</w:t>
            </w:r>
          </w:p>
        </w:tc>
        <w:tc>
          <w:tcPr>
            <w:tcW w:w="4280" w:type="dxa"/>
            <w:noWrap w:val="0"/>
            <w:vAlign w:val="center"/>
          </w:tcPr>
          <w:p w14:paraId="6D4E0AC4">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邮编：</w:t>
            </w:r>
          </w:p>
        </w:tc>
      </w:tr>
      <w:tr w14:paraId="30DEAE81">
        <w:tblPrEx>
          <w:tblCellMar>
            <w:top w:w="0" w:type="dxa"/>
            <w:left w:w="108" w:type="dxa"/>
            <w:bottom w:w="0" w:type="dxa"/>
            <w:right w:w="108" w:type="dxa"/>
          </w:tblCellMar>
        </w:tblPrEx>
        <w:trPr>
          <w:trHeight w:val="595" w:hRule="exact"/>
        </w:trPr>
        <w:tc>
          <w:tcPr>
            <w:tcW w:w="4279" w:type="dxa"/>
            <w:noWrap w:val="0"/>
            <w:vAlign w:val="center"/>
          </w:tcPr>
          <w:p w14:paraId="00B90300">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 xml:space="preserve">法定代表人： </w:t>
            </w:r>
          </w:p>
        </w:tc>
        <w:tc>
          <w:tcPr>
            <w:tcW w:w="4280" w:type="dxa"/>
            <w:noWrap w:val="0"/>
            <w:vAlign w:val="center"/>
          </w:tcPr>
          <w:p w14:paraId="066BADDF">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法定代表人：</w:t>
            </w:r>
          </w:p>
        </w:tc>
      </w:tr>
      <w:tr w14:paraId="219A6D74">
        <w:tblPrEx>
          <w:tblCellMar>
            <w:top w:w="0" w:type="dxa"/>
            <w:left w:w="108" w:type="dxa"/>
            <w:bottom w:w="0" w:type="dxa"/>
            <w:right w:w="108" w:type="dxa"/>
          </w:tblCellMar>
        </w:tblPrEx>
        <w:trPr>
          <w:trHeight w:val="595" w:hRule="exact"/>
        </w:trPr>
        <w:tc>
          <w:tcPr>
            <w:tcW w:w="4279" w:type="dxa"/>
            <w:noWrap w:val="0"/>
            <w:vAlign w:val="center"/>
          </w:tcPr>
          <w:p w14:paraId="67C4F65F">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被授权代表：</w:t>
            </w:r>
          </w:p>
        </w:tc>
        <w:tc>
          <w:tcPr>
            <w:tcW w:w="4280" w:type="dxa"/>
            <w:noWrap w:val="0"/>
            <w:vAlign w:val="center"/>
          </w:tcPr>
          <w:p w14:paraId="73B57CDF">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被授权代表：</w:t>
            </w:r>
          </w:p>
        </w:tc>
      </w:tr>
      <w:tr w14:paraId="40640A3B">
        <w:tblPrEx>
          <w:tblCellMar>
            <w:top w:w="0" w:type="dxa"/>
            <w:left w:w="108" w:type="dxa"/>
            <w:bottom w:w="0" w:type="dxa"/>
            <w:right w:w="108" w:type="dxa"/>
          </w:tblCellMar>
        </w:tblPrEx>
        <w:trPr>
          <w:trHeight w:val="595" w:hRule="exact"/>
        </w:trPr>
        <w:tc>
          <w:tcPr>
            <w:tcW w:w="4279" w:type="dxa"/>
            <w:noWrap w:val="0"/>
            <w:vAlign w:val="center"/>
          </w:tcPr>
          <w:p w14:paraId="74E0A3F1">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电话：</w:t>
            </w:r>
          </w:p>
        </w:tc>
        <w:tc>
          <w:tcPr>
            <w:tcW w:w="4280" w:type="dxa"/>
            <w:noWrap w:val="0"/>
            <w:vAlign w:val="center"/>
          </w:tcPr>
          <w:p w14:paraId="17E61CF1">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电话：</w:t>
            </w:r>
          </w:p>
        </w:tc>
      </w:tr>
      <w:tr w14:paraId="04A30D88">
        <w:tblPrEx>
          <w:tblCellMar>
            <w:top w:w="0" w:type="dxa"/>
            <w:left w:w="108" w:type="dxa"/>
            <w:bottom w:w="0" w:type="dxa"/>
            <w:right w:w="108" w:type="dxa"/>
          </w:tblCellMar>
        </w:tblPrEx>
        <w:trPr>
          <w:trHeight w:val="595" w:hRule="exact"/>
        </w:trPr>
        <w:tc>
          <w:tcPr>
            <w:tcW w:w="4279" w:type="dxa"/>
            <w:noWrap w:val="0"/>
            <w:vAlign w:val="center"/>
          </w:tcPr>
          <w:p w14:paraId="112EA744">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传真：</w:t>
            </w:r>
          </w:p>
        </w:tc>
        <w:tc>
          <w:tcPr>
            <w:tcW w:w="4280" w:type="dxa"/>
            <w:noWrap w:val="0"/>
            <w:vAlign w:val="center"/>
          </w:tcPr>
          <w:p w14:paraId="389996D9">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传真：</w:t>
            </w:r>
          </w:p>
        </w:tc>
      </w:tr>
      <w:tr w14:paraId="2D4C2275">
        <w:tblPrEx>
          <w:tblCellMar>
            <w:top w:w="0" w:type="dxa"/>
            <w:left w:w="108" w:type="dxa"/>
            <w:bottom w:w="0" w:type="dxa"/>
            <w:right w:w="108" w:type="dxa"/>
          </w:tblCellMar>
        </w:tblPrEx>
        <w:trPr>
          <w:trHeight w:val="595" w:hRule="exact"/>
        </w:trPr>
        <w:tc>
          <w:tcPr>
            <w:tcW w:w="4279" w:type="dxa"/>
            <w:noWrap w:val="0"/>
            <w:vAlign w:val="center"/>
          </w:tcPr>
          <w:p w14:paraId="5BDEA3F9">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开户银行：</w:t>
            </w:r>
          </w:p>
        </w:tc>
        <w:tc>
          <w:tcPr>
            <w:tcW w:w="4280" w:type="dxa"/>
            <w:noWrap w:val="0"/>
            <w:vAlign w:val="center"/>
          </w:tcPr>
          <w:p w14:paraId="40678256">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开户银行：</w:t>
            </w:r>
          </w:p>
        </w:tc>
      </w:tr>
      <w:tr w14:paraId="484D83AA">
        <w:tblPrEx>
          <w:tblCellMar>
            <w:top w:w="0" w:type="dxa"/>
            <w:left w:w="108" w:type="dxa"/>
            <w:bottom w:w="0" w:type="dxa"/>
            <w:right w:w="108" w:type="dxa"/>
          </w:tblCellMar>
        </w:tblPrEx>
        <w:trPr>
          <w:trHeight w:val="579" w:hRule="exact"/>
        </w:trPr>
        <w:tc>
          <w:tcPr>
            <w:tcW w:w="4279" w:type="dxa"/>
            <w:noWrap w:val="0"/>
            <w:vAlign w:val="center"/>
          </w:tcPr>
          <w:p w14:paraId="04C24F71">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开户银行账号：</w:t>
            </w:r>
          </w:p>
        </w:tc>
        <w:tc>
          <w:tcPr>
            <w:tcW w:w="4280" w:type="dxa"/>
            <w:noWrap w:val="0"/>
            <w:vAlign w:val="center"/>
          </w:tcPr>
          <w:p w14:paraId="2F4D741B">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开户银行账号：</w:t>
            </w:r>
          </w:p>
        </w:tc>
      </w:tr>
      <w:tr w14:paraId="3F3C13C8">
        <w:tblPrEx>
          <w:tblCellMar>
            <w:top w:w="0" w:type="dxa"/>
            <w:left w:w="108" w:type="dxa"/>
            <w:bottom w:w="0" w:type="dxa"/>
            <w:right w:w="108" w:type="dxa"/>
          </w:tblCellMar>
        </w:tblPrEx>
        <w:trPr>
          <w:trHeight w:val="595" w:hRule="exact"/>
        </w:trPr>
        <w:tc>
          <w:tcPr>
            <w:tcW w:w="4279" w:type="dxa"/>
            <w:noWrap w:val="0"/>
            <w:vAlign w:val="center"/>
          </w:tcPr>
          <w:p w14:paraId="05C82EB9">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日期：</w:t>
            </w:r>
          </w:p>
        </w:tc>
        <w:tc>
          <w:tcPr>
            <w:tcW w:w="4280" w:type="dxa"/>
            <w:noWrap w:val="0"/>
            <w:vAlign w:val="center"/>
          </w:tcPr>
          <w:p w14:paraId="3572BA52">
            <w:pPr>
              <w:autoSpaceDE w:val="0"/>
              <w:autoSpaceDN w:val="0"/>
              <w:adjustRightInd w:val="0"/>
              <w:spacing w:line="360" w:lineRule="auto"/>
              <w:ind w:firstLine="480" w:firstLineChars="200"/>
              <w:rPr>
                <w:rFonts w:hint="eastAsia" w:ascii="宋体" w:hAnsi="宋体" w:cs="宋体"/>
                <w:bCs/>
                <w:color w:val="auto"/>
                <w:sz w:val="24"/>
                <w:highlight w:val="none"/>
                <w:shd w:val="clear" w:color="auto" w:fill="auto"/>
              </w:rPr>
            </w:pPr>
            <w:r>
              <w:rPr>
                <w:rFonts w:hint="eastAsia" w:ascii="宋体" w:hAnsi="宋体" w:cs="宋体"/>
                <w:bCs/>
                <w:color w:val="auto"/>
                <w:sz w:val="24"/>
                <w:highlight w:val="none"/>
                <w:shd w:val="clear" w:color="auto" w:fill="auto"/>
              </w:rPr>
              <w:t>日期：</w:t>
            </w:r>
          </w:p>
        </w:tc>
      </w:tr>
    </w:tbl>
    <w:p w14:paraId="27595A96">
      <w:pPr>
        <w:rPr>
          <w:rFonts w:hint="eastAsia"/>
          <w:color w:val="auto"/>
          <w:sz w:val="24"/>
          <w:highlight w:val="none"/>
          <w:shd w:val="clear" w:color="auto" w:fill="auto"/>
        </w:rPr>
      </w:pPr>
    </w:p>
    <w:p w14:paraId="241E4BE7">
      <w:pPr>
        <w:rPr>
          <w:rFonts w:hint="eastAsia"/>
          <w:color w:val="auto"/>
          <w:sz w:val="24"/>
          <w:highlight w:val="none"/>
          <w:shd w:val="clear" w:color="auto" w:fill="auto"/>
        </w:rPr>
      </w:pPr>
    </w:p>
    <w:p w14:paraId="4348751E">
      <w:pPr>
        <w:widowControl/>
        <w:snapToGrid w:val="0"/>
        <w:spacing w:line="360" w:lineRule="auto"/>
        <w:jc w:val="center"/>
        <w:outlineLvl w:val="9"/>
        <w:rPr>
          <w:rFonts w:hint="eastAsia" w:ascii="Calibri" w:hAnsi="Calibri"/>
          <w:color w:val="auto"/>
          <w:sz w:val="24"/>
          <w:highlight w:val="none"/>
          <w:shd w:val="clear" w:color="auto" w:fill="auto"/>
        </w:rPr>
      </w:pPr>
      <w:r>
        <w:rPr>
          <w:rFonts w:hint="eastAsia"/>
          <w:color w:val="auto"/>
          <w:sz w:val="24"/>
          <w:highlight w:val="none"/>
          <w:shd w:val="clear" w:color="auto" w:fill="auto"/>
        </w:rPr>
        <w:t>注：本合同只作为参考文本，</w:t>
      </w:r>
      <w:r>
        <w:rPr>
          <w:rFonts w:hint="eastAsia" w:ascii="Calibri" w:hAnsi="Calibri"/>
          <w:color w:val="auto"/>
          <w:sz w:val="24"/>
          <w:highlight w:val="none"/>
          <w:shd w:val="clear" w:color="auto" w:fill="auto"/>
        </w:rPr>
        <w:t>合同具体内容及格式签订正式合同时甲乙双方协商确定。</w:t>
      </w:r>
    </w:p>
    <w:p w14:paraId="444A793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A5F5F"/>
    <w:rsid w:val="276F31E3"/>
    <w:rsid w:val="33F35D8D"/>
    <w:rsid w:val="366E58F4"/>
    <w:rsid w:val="586A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4685</Words>
  <Characters>4774</Characters>
  <Lines>0</Lines>
  <Paragraphs>0</Paragraphs>
  <TotalTime>0</TotalTime>
  <ScaleCrop>false</ScaleCrop>
  <LinksUpToDate>false</LinksUpToDate>
  <CharactersWithSpaces>5140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2025-03-14T02:25:00Z</dcterms:created>
  <dc:creator>Cx330</dc:creator>
  <cp:lastModifiedBy>Cx330</cp:lastModifiedBy>
  <dcterms:modified xsi:type="dcterms:W3CDTF">2026-05-11T08:02:12Z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BB54C441C90A4D6AAEFEAFC50A0DD9FA_11</vt:lpwstr>
  </property>
  <property fmtid="{D5CDD505-2E9C-101B-9397-08002B2CF9AE}" pid="4" name="KSOTemplateDocerSaveRecord">
    <vt:lpwstr>eyJoZGlkIjoiZjIyYzg3NThiZDdhNmI4OTk1ZGJlMGM1OTAxZWM1ZjkiLCJ1c2VySWQiOiIzODMzMzQ2ODAifQ==</vt:lpwstr>
  </property>
</Properties>
</file>