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7CF3B">
      <w:pPr>
        <w:pStyle w:val="2"/>
        <w:numPr>
          <w:ilvl w:val="0"/>
          <w:numId w:val="0"/>
        </w:numPr>
        <w:ind w:right="5" w:rightChars="0"/>
        <w:jc w:val="center"/>
        <w:rPr>
          <w:rFonts w:hint="eastAsia" w:ascii="仿宋" w:hAnsi="仿宋" w:eastAsia="仿宋" w:cs="仿宋"/>
          <w:b/>
          <w:kern w:val="2"/>
          <w:sz w:val="36"/>
          <w:szCs w:val="36"/>
          <w:highlight w:val="none"/>
          <w:lang w:val="en-US" w:eastAsia="zh-CN" w:bidi="ar-SA"/>
        </w:rPr>
      </w:pPr>
      <w:bookmarkStart w:id="0" w:name="_Toc26389"/>
      <w:r>
        <w:rPr>
          <w:rFonts w:hint="eastAsia" w:ascii="仿宋" w:hAnsi="仿宋" w:eastAsia="仿宋" w:cs="仿宋"/>
          <w:b/>
          <w:kern w:val="2"/>
          <w:sz w:val="36"/>
          <w:szCs w:val="36"/>
          <w:highlight w:val="none"/>
          <w:lang w:val="en-US" w:eastAsia="zh-CN" w:bidi="ar-SA"/>
        </w:rPr>
        <w:t>合同条款及格式</w:t>
      </w:r>
      <w:bookmarkEnd w:id="0"/>
    </w:p>
    <w:p w14:paraId="3E42FCF7">
      <w:pPr>
        <w:jc w:val="center"/>
        <w:rPr>
          <w:rFonts w:hint="eastAsia" w:ascii="宋体" w:hAnsi="宋体" w:cs="宋体"/>
          <w:b/>
          <w:color w:val="auto"/>
          <w:sz w:val="52"/>
          <w:szCs w:val="52"/>
          <w:highlight w:val="none"/>
        </w:rPr>
      </w:pPr>
      <w:r>
        <w:rPr>
          <w:sz w:val="24"/>
          <w:szCs w:val="24"/>
        </w:rPr>
        <w:t>（本合同为参考合同，具体以采购人与中标人签订合同条款为准）</w:t>
      </w:r>
    </w:p>
    <w:p w14:paraId="51CEFD76">
      <w:pPr>
        <w:jc w:val="center"/>
        <w:rPr>
          <w:rFonts w:hint="eastAsia" w:ascii="宋体" w:hAnsi="宋体" w:cs="宋体"/>
          <w:b/>
          <w:color w:val="auto"/>
          <w:sz w:val="52"/>
          <w:szCs w:val="52"/>
          <w:highlight w:val="none"/>
        </w:rPr>
      </w:pPr>
    </w:p>
    <w:p w14:paraId="7C25A97E">
      <w:pPr>
        <w:jc w:val="center"/>
        <w:rPr>
          <w:rFonts w:hint="eastAsia" w:ascii="宋体" w:hAnsi="宋体" w:cs="宋体"/>
          <w:b/>
          <w:color w:val="auto"/>
          <w:sz w:val="52"/>
          <w:szCs w:val="52"/>
          <w:highlight w:val="none"/>
        </w:rPr>
      </w:pPr>
    </w:p>
    <w:p w14:paraId="1EA1E936">
      <w:pPr>
        <w:jc w:val="center"/>
        <w:rPr>
          <w:rFonts w:hint="eastAsia" w:ascii="仿宋" w:hAnsi="仿宋" w:eastAsia="仿宋" w:cs="仿宋"/>
          <w:b/>
          <w:color w:val="auto"/>
          <w:sz w:val="52"/>
          <w:szCs w:val="52"/>
          <w:highlight w:val="none"/>
          <w:lang w:val="en-US" w:eastAsia="zh-CN"/>
        </w:rPr>
      </w:pPr>
      <w:r>
        <w:rPr>
          <w:rFonts w:hint="eastAsia" w:ascii="仿宋" w:hAnsi="仿宋" w:eastAsia="仿宋" w:cs="仿宋"/>
          <w:b/>
          <w:color w:val="auto"/>
          <w:sz w:val="52"/>
          <w:szCs w:val="52"/>
          <w:highlight w:val="none"/>
          <w:lang w:val="en-US" w:eastAsia="zh-CN"/>
        </w:rPr>
        <w:t>十二连城烽火台遗址安防工程</w:t>
      </w:r>
    </w:p>
    <w:p w14:paraId="54F3D93E">
      <w:pPr>
        <w:jc w:val="center"/>
        <w:rPr>
          <w:rFonts w:hint="eastAsia" w:ascii="仿宋" w:hAnsi="仿宋" w:eastAsia="仿宋" w:cs="仿宋"/>
          <w:b/>
          <w:color w:val="auto"/>
          <w:sz w:val="52"/>
          <w:szCs w:val="52"/>
          <w:highlight w:val="none"/>
        </w:rPr>
      </w:pPr>
    </w:p>
    <w:p w14:paraId="41AEE7E7">
      <w:pPr>
        <w:jc w:val="center"/>
        <w:rPr>
          <w:rFonts w:hint="eastAsia" w:ascii="仿宋" w:hAnsi="仿宋" w:eastAsia="仿宋" w:cs="仿宋"/>
          <w:b/>
          <w:color w:val="auto"/>
          <w:sz w:val="52"/>
          <w:szCs w:val="52"/>
          <w:highlight w:val="none"/>
        </w:rPr>
      </w:pPr>
    </w:p>
    <w:p w14:paraId="700227F3">
      <w:pPr>
        <w:pStyle w:val="6"/>
        <w:rPr>
          <w:rFonts w:hint="eastAsia" w:ascii="仿宋" w:hAnsi="仿宋" w:eastAsia="仿宋" w:cs="仿宋"/>
          <w:highlight w:val="none"/>
        </w:rPr>
      </w:pPr>
    </w:p>
    <w:p w14:paraId="2B62E5BB">
      <w:pPr>
        <w:jc w:val="center"/>
        <w:rPr>
          <w:rFonts w:hint="eastAsia" w:ascii="仿宋" w:hAnsi="仿宋" w:eastAsia="仿宋" w:cs="仿宋"/>
          <w:b/>
          <w:color w:val="auto"/>
          <w:sz w:val="52"/>
          <w:szCs w:val="52"/>
          <w:highlight w:val="none"/>
        </w:rPr>
      </w:pPr>
      <w:r>
        <w:rPr>
          <w:rFonts w:hint="eastAsia" w:ascii="仿宋" w:hAnsi="仿宋" w:eastAsia="仿宋" w:cs="仿宋"/>
          <w:b/>
          <w:color w:val="auto"/>
          <w:sz w:val="52"/>
          <w:szCs w:val="52"/>
          <w:highlight w:val="none"/>
        </w:rPr>
        <w:t>采购合同</w:t>
      </w:r>
    </w:p>
    <w:p w14:paraId="237A56C7">
      <w:pPr>
        <w:jc w:val="center"/>
        <w:rPr>
          <w:rFonts w:hint="eastAsia" w:ascii="仿宋" w:hAnsi="仿宋" w:eastAsia="仿宋" w:cs="仿宋"/>
          <w:color w:val="auto"/>
          <w:sz w:val="28"/>
          <w:szCs w:val="24"/>
          <w:highlight w:val="none"/>
        </w:rPr>
      </w:pPr>
    </w:p>
    <w:p w14:paraId="47ED3A54">
      <w:pPr>
        <w:jc w:val="center"/>
        <w:rPr>
          <w:rFonts w:hint="eastAsia" w:ascii="仿宋" w:hAnsi="仿宋" w:eastAsia="仿宋" w:cs="仿宋"/>
          <w:b/>
          <w:bCs/>
          <w:color w:val="auto"/>
          <w:sz w:val="2"/>
          <w:szCs w:val="24"/>
          <w:highlight w:val="none"/>
        </w:rPr>
      </w:pPr>
      <w:r>
        <w:rPr>
          <w:rFonts w:hint="eastAsia" w:ascii="仿宋" w:hAnsi="仿宋" w:eastAsia="仿宋" w:cs="仿宋"/>
          <w:b/>
          <w:bCs/>
          <w:color w:val="auto"/>
          <w:sz w:val="28"/>
          <w:szCs w:val="24"/>
          <w:highlight w:val="none"/>
        </w:rPr>
        <w:t>（示范文本）</w:t>
      </w:r>
    </w:p>
    <w:p w14:paraId="7C7BD8E1">
      <w:pPr>
        <w:jc w:val="center"/>
        <w:rPr>
          <w:rFonts w:hint="eastAsia" w:hAnsi="宋体" w:cs="宋体"/>
          <w:b/>
          <w:color w:val="000000" w:themeColor="text1"/>
          <w:sz w:val="36"/>
          <w:szCs w:val="36"/>
          <w14:textFill>
            <w14:solidFill>
              <w14:schemeClr w14:val="tx1"/>
            </w14:solidFill>
          </w14:textFill>
        </w:rPr>
      </w:pPr>
    </w:p>
    <w:p w14:paraId="026C04FA">
      <w:pPr>
        <w:pStyle w:val="6"/>
        <w:rPr>
          <w:rFonts w:hint="eastAsia"/>
          <w:color w:val="000000" w:themeColor="text1"/>
          <w14:textFill>
            <w14:solidFill>
              <w14:schemeClr w14:val="tx1"/>
            </w14:solidFill>
          </w14:textFill>
        </w:rPr>
      </w:pPr>
    </w:p>
    <w:p w14:paraId="06278621">
      <w:pPr>
        <w:rPr>
          <w:rFonts w:hint="eastAsia"/>
          <w:color w:val="000000" w:themeColor="text1"/>
          <w14:textFill>
            <w14:solidFill>
              <w14:schemeClr w14:val="tx1"/>
            </w14:solidFill>
          </w14:textFill>
        </w:rPr>
      </w:pPr>
    </w:p>
    <w:p w14:paraId="3DD91E0E">
      <w:pPr>
        <w:rPr>
          <w:rFonts w:hint="eastAsia"/>
          <w:color w:val="000000" w:themeColor="text1"/>
          <w14:textFill>
            <w14:solidFill>
              <w14:schemeClr w14:val="tx1"/>
            </w14:solidFill>
          </w14:textFill>
        </w:rPr>
      </w:pPr>
    </w:p>
    <w:p w14:paraId="7DAD4A2B">
      <w:pPr>
        <w:rPr>
          <w:rFonts w:hint="eastAsia"/>
          <w:color w:val="000000" w:themeColor="text1"/>
          <w14:textFill>
            <w14:solidFill>
              <w14:schemeClr w14:val="tx1"/>
            </w14:solidFill>
          </w14:textFill>
        </w:rPr>
      </w:pPr>
    </w:p>
    <w:p w14:paraId="194E4BB1">
      <w:pPr>
        <w:rPr>
          <w:rFonts w:hint="eastAsia"/>
          <w:color w:val="000000" w:themeColor="text1"/>
          <w14:textFill>
            <w14:solidFill>
              <w14:schemeClr w14:val="tx1"/>
            </w14:solidFill>
          </w14:textFill>
        </w:rPr>
      </w:pPr>
    </w:p>
    <w:p w14:paraId="05A3C850">
      <w:pPr>
        <w:ind w:firstLine="2530" w:firstLineChars="700"/>
        <w:jc w:val="both"/>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采购人：</w:t>
      </w:r>
      <w:r>
        <w:rPr>
          <w:rFonts w:hint="eastAsia" w:ascii="仿宋" w:hAnsi="仿宋" w:eastAsia="仿宋" w:cs="仿宋"/>
          <w:b/>
          <w:color w:val="auto"/>
          <w:sz w:val="36"/>
          <w:szCs w:val="36"/>
          <w:highlight w:val="none"/>
          <w:u w:val="single"/>
          <w:lang w:val="en-US" w:eastAsia="zh-CN"/>
        </w:rPr>
        <w:t xml:space="preserve">              </w:t>
      </w:r>
    </w:p>
    <w:p w14:paraId="3662D0B8">
      <w:pPr>
        <w:ind w:firstLine="2530" w:firstLineChars="700"/>
        <w:jc w:val="both"/>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供应商：</w:t>
      </w:r>
      <w:r>
        <w:rPr>
          <w:rFonts w:hint="eastAsia" w:ascii="仿宋" w:hAnsi="仿宋" w:eastAsia="仿宋" w:cs="仿宋"/>
          <w:b/>
          <w:color w:val="auto"/>
          <w:sz w:val="36"/>
          <w:szCs w:val="36"/>
          <w:highlight w:val="none"/>
          <w:u w:val="single"/>
          <w:lang w:val="en-US" w:eastAsia="zh-CN"/>
        </w:rPr>
        <w:t xml:space="preserve">              </w:t>
      </w:r>
    </w:p>
    <w:p w14:paraId="059E1A24">
      <w:pPr>
        <w:ind w:firstLine="2530" w:firstLineChars="700"/>
        <w:jc w:val="both"/>
        <w:rPr>
          <w:rFonts w:hint="default" w:hAnsi="宋体" w:cs="宋体"/>
          <w:b/>
          <w:color w:val="000000" w:themeColor="text1"/>
          <w:sz w:val="28"/>
          <w:szCs w:val="28"/>
          <w:lang w:val="en-US"/>
          <w14:textFill>
            <w14:solidFill>
              <w14:schemeClr w14:val="tx1"/>
            </w14:solidFill>
          </w14:textFill>
        </w:rPr>
      </w:pPr>
      <w:r>
        <w:rPr>
          <w:rFonts w:hint="eastAsia" w:ascii="仿宋" w:hAnsi="仿宋" w:eastAsia="仿宋" w:cs="仿宋"/>
          <w:b/>
          <w:color w:val="auto"/>
          <w:sz w:val="36"/>
          <w:szCs w:val="36"/>
          <w:highlight w:val="none"/>
          <w:lang w:val="en-US" w:eastAsia="zh-CN"/>
        </w:rPr>
        <w:t>日  期：</w:t>
      </w:r>
      <w:r>
        <w:rPr>
          <w:rFonts w:hint="eastAsia" w:ascii="仿宋" w:hAnsi="仿宋" w:eastAsia="仿宋" w:cs="仿宋"/>
          <w:b/>
          <w:color w:val="auto"/>
          <w:sz w:val="36"/>
          <w:szCs w:val="36"/>
          <w:highlight w:val="none"/>
          <w:u w:val="single"/>
          <w:lang w:val="en-US" w:eastAsia="zh-CN"/>
        </w:rPr>
        <w:t xml:space="preserve">              </w:t>
      </w:r>
    </w:p>
    <w:p w14:paraId="23DA1078">
      <w:pPr>
        <w:spacing w:line="360" w:lineRule="auto"/>
        <w:rPr>
          <w:rFonts w:hint="eastAsia" w:hAnsi="宋体" w:cs="宋体"/>
          <w:b/>
          <w:color w:val="000000" w:themeColor="text1"/>
          <w:sz w:val="36"/>
          <w:szCs w:val="36"/>
          <w14:textFill>
            <w14:solidFill>
              <w14:schemeClr w14:val="tx1"/>
            </w14:solidFill>
          </w14:textFill>
        </w:rPr>
      </w:pPr>
    </w:p>
    <w:p w14:paraId="254FB48D">
      <w:pPr>
        <w:spacing w:before="120" w:beforeLines="50" w:line="360" w:lineRule="auto"/>
        <w:jc w:val="center"/>
        <w:rPr>
          <w:rFonts w:hint="eastAsia" w:hAnsi="宋体" w:cs="宋体"/>
          <w:b/>
          <w:bCs/>
          <w:color w:val="000000" w:themeColor="text1"/>
          <w:sz w:val="36"/>
          <w:szCs w:val="36"/>
          <w14:textFill>
            <w14:solidFill>
              <w14:schemeClr w14:val="tx1"/>
            </w14:solidFill>
          </w14:textFill>
        </w:rPr>
      </w:pPr>
      <w:r>
        <w:rPr>
          <w:rFonts w:hint="eastAsia" w:hAnsi="宋体" w:cs="宋体"/>
          <w:bCs/>
          <w:color w:val="000000" w:themeColor="text1"/>
          <w:sz w:val="48"/>
          <w:szCs w:val="48"/>
          <w14:textFill>
            <w14:solidFill>
              <w14:schemeClr w14:val="tx1"/>
            </w14:solidFill>
          </w14:textFill>
        </w:rPr>
        <w:br w:type="page"/>
      </w:r>
    </w:p>
    <w:p w14:paraId="47954989">
      <w:pPr>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采购人（全称）：</w:t>
      </w:r>
      <w:r>
        <w:rPr>
          <w:rFonts w:hint="eastAsia" w:ascii="仿宋" w:hAnsi="仿宋" w:eastAsia="仿宋" w:cs="仿宋"/>
          <w:b/>
          <w:color w:val="auto"/>
          <w:sz w:val="24"/>
          <w:highlight w:val="none"/>
          <w:u w:val="single"/>
        </w:rPr>
        <w:t xml:space="preserve">   </w:t>
      </w:r>
      <w:r>
        <w:rPr>
          <w:rFonts w:hint="eastAsia" w:ascii="仿宋" w:hAnsi="仿宋" w:eastAsia="仿宋" w:cs="仿宋"/>
          <w:b w:val="0"/>
          <w:bCs/>
          <w:color w:val="auto"/>
          <w:sz w:val="24"/>
          <w:highlight w:val="none"/>
          <w:u w:val="single"/>
          <w:lang w:eastAsia="zh-CN"/>
        </w:rPr>
        <w:t>潼关县文化和旅游局</w:t>
      </w:r>
      <w:r>
        <w:rPr>
          <w:rFonts w:hint="eastAsia" w:ascii="仿宋" w:hAnsi="仿宋" w:eastAsia="仿宋" w:cs="仿宋"/>
          <w:b/>
          <w:color w:val="auto"/>
          <w:sz w:val="24"/>
          <w:highlight w:val="none"/>
          <w:u w:val="single"/>
        </w:rPr>
        <w:t xml:space="preserve">         </w:t>
      </w:r>
    </w:p>
    <w:p w14:paraId="3C00D3A2">
      <w:pPr>
        <w:adjustRightInd w:val="0"/>
        <w:snapToGrid w:val="0"/>
        <w:spacing w:line="58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供应商（全称）：</w:t>
      </w:r>
      <w:r>
        <w:rPr>
          <w:rFonts w:hint="eastAsia" w:ascii="仿宋" w:hAnsi="仿宋" w:eastAsia="仿宋" w:cs="仿宋"/>
          <w:b/>
          <w:color w:val="auto"/>
          <w:sz w:val="24"/>
          <w:highlight w:val="none"/>
          <w:u w:val="single"/>
        </w:rPr>
        <w:t xml:space="preserve">                              </w:t>
      </w:r>
    </w:p>
    <w:p w14:paraId="47166444">
      <w:pPr>
        <w:adjustRightInd w:val="0"/>
        <w:snapToGrid w:val="0"/>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根据《</w:t>
      </w:r>
      <w:r>
        <w:rPr>
          <w:rFonts w:hint="eastAsia" w:ascii="仿宋" w:hAnsi="仿宋" w:eastAsia="仿宋" w:cs="仿宋"/>
          <w:color w:val="auto"/>
          <w:sz w:val="24"/>
          <w:highlight w:val="none"/>
          <w:lang w:eastAsia="zh-CN"/>
        </w:rPr>
        <w:t>中华人民共和国民法典</w:t>
      </w:r>
      <w:r>
        <w:rPr>
          <w:rFonts w:hint="eastAsia" w:ascii="仿宋" w:hAnsi="仿宋" w:eastAsia="仿宋" w:cs="仿宋"/>
          <w:color w:val="auto"/>
          <w:sz w:val="24"/>
          <w:highlight w:val="none"/>
        </w:rPr>
        <w:t>》及其他有关法律、法规，遵循平等、自愿、公平和诚信的原则，双方就下述项目范围与相关服务事项协商一致，订立本合同。</w:t>
      </w:r>
    </w:p>
    <w:p w14:paraId="6C218E5A">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一、项目概况</w:t>
      </w:r>
    </w:p>
    <w:p w14:paraId="5FD73411">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1、项目名称：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十二连城烽火台遗址安防工程</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CD963DD">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DC62661">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w:t>
      </w:r>
      <w:r>
        <w:rPr>
          <w:rFonts w:hint="eastAsia" w:ascii="仿宋" w:hAnsi="仿宋" w:eastAsia="仿宋" w:cs="仿宋"/>
          <w:color w:val="auto"/>
          <w:kern w:val="0"/>
          <w:sz w:val="24"/>
          <w:highlight w:val="none"/>
        </w:rPr>
        <w:t>内容</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056807A">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二、组成本合同的文件</w:t>
      </w:r>
    </w:p>
    <w:p w14:paraId="457B0C70">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1、协议书；</w:t>
      </w:r>
    </w:p>
    <w:p w14:paraId="5069EF4D">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中标</w:t>
      </w:r>
      <w:r>
        <w:rPr>
          <w:rFonts w:hint="eastAsia" w:ascii="仿宋" w:hAnsi="仿宋" w:eastAsia="仿宋" w:cs="仿宋"/>
          <w:color w:val="auto"/>
          <w:sz w:val="24"/>
          <w:highlight w:val="none"/>
        </w:rPr>
        <w:t>通知书、</w:t>
      </w:r>
      <w:r>
        <w:rPr>
          <w:rFonts w:hint="eastAsia" w:ascii="仿宋" w:hAnsi="仿宋" w:eastAsia="仿宋" w:cs="仿宋"/>
          <w:color w:val="auto"/>
          <w:sz w:val="24"/>
          <w:highlight w:val="none"/>
          <w:lang w:eastAsia="zh-CN"/>
        </w:rPr>
        <w:t>投标文件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招标文件</w:t>
      </w:r>
      <w:r>
        <w:rPr>
          <w:rFonts w:hint="eastAsia" w:ascii="仿宋" w:hAnsi="仿宋" w:eastAsia="仿宋" w:cs="仿宋"/>
          <w:color w:val="auto"/>
          <w:sz w:val="24"/>
          <w:highlight w:val="none"/>
        </w:rPr>
        <w:t>、澄清、补充文件（或委托书）；</w:t>
      </w:r>
    </w:p>
    <w:p w14:paraId="796C26A5">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3、相关服务建议书；</w:t>
      </w:r>
    </w:p>
    <w:p w14:paraId="5A48DE25">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4、附录，即：附表内相关服务的范围和内容；</w:t>
      </w:r>
    </w:p>
    <w:p w14:paraId="25F11FD8">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本合同签订后，双方依法签订的补充协议也是本合同文件的组成部分。</w:t>
      </w:r>
    </w:p>
    <w:p w14:paraId="5242DE51">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三、合同价款</w:t>
      </w:r>
    </w:p>
    <w:p w14:paraId="14657B45">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合同总价（大写）：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w:t>
      </w:r>
    </w:p>
    <w:p w14:paraId="38774746">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合同总价即</w:t>
      </w:r>
      <w:r>
        <w:rPr>
          <w:rFonts w:hint="eastAsia" w:ascii="仿宋" w:hAnsi="仿宋" w:eastAsia="仿宋" w:cs="仿宋"/>
          <w:color w:val="auto"/>
          <w:sz w:val="24"/>
          <w:highlight w:val="none"/>
          <w:lang w:val="en-US" w:eastAsia="zh-CN"/>
        </w:rPr>
        <w:t>中标</w:t>
      </w:r>
      <w:r>
        <w:rPr>
          <w:rFonts w:hint="eastAsia" w:ascii="仿宋" w:hAnsi="仿宋" w:eastAsia="仿宋" w:cs="仿宋"/>
          <w:color w:val="auto"/>
          <w:sz w:val="24"/>
          <w:highlight w:val="none"/>
        </w:rPr>
        <w:t>价，合同总价一次包死，不受市场价变化或实际工作量变化的影响，合同价格为含税价，供应商（</w:t>
      </w:r>
      <w:r>
        <w:rPr>
          <w:rFonts w:hint="eastAsia" w:ascii="仿宋" w:hAnsi="仿宋" w:eastAsia="仿宋" w:cs="仿宋"/>
          <w:color w:val="auto"/>
          <w:sz w:val="24"/>
          <w:highlight w:val="none"/>
          <w:lang w:val="en-US" w:eastAsia="zh-CN"/>
        </w:rPr>
        <w:t>中标</w:t>
      </w:r>
      <w:r>
        <w:rPr>
          <w:rFonts w:hint="eastAsia" w:ascii="仿宋" w:hAnsi="仿宋" w:eastAsia="仿宋" w:cs="仿宋"/>
          <w:color w:val="auto"/>
          <w:sz w:val="24"/>
          <w:highlight w:val="none"/>
        </w:rPr>
        <w:t>人）提供产品所发生的一切税（包括增值税）费等都已包含于合同价款中。</w:t>
      </w:r>
    </w:p>
    <w:p w14:paraId="56E3706D">
      <w:pPr>
        <w:adjustRightInd w:val="0"/>
        <w:snapToGrid w:val="0"/>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四、</w:t>
      </w:r>
      <w:r>
        <w:rPr>
          <w:rFonts w:hint="eastAsia" w:ascii="仿宋" w:hAnsi="仿宋" w:eastAsia="仿宋" w:cs="仿宋"/>
          <w:b/>
          <w:color w:val="auto"/>
          <w:sz w:val="24"/>
          <w:highlight w:val="none"/>
          <w:lang w:val="en-US" w:eastAsia="zh-CN"/>
        </w:rPr>
        <w:t>付款</w:t>
      </w:r>
      <w:r>
        <w:rPr>
          <w:rFonts w:hint="eastAsia" w:ascii="仿宋" w:hAnsi="仿宋" w:eastAsia="仿宋" w:cs="仿宋"/>
          <w:b/>
          <w:color w:val="auto"/>
          <w:sz w:val="24"/>
          <w:highlight w:val="none"/>
        </w:rPr>
        <w:t>方式：</w:t>
      </w:r>
      <w:r>
        <w:rPr>
          <w:rFonts w:hint="eastAsia" w:ascii="仿宋" w:hAnsi="仿宋" w:eastAsia="仿宋" w:cs="仿宋"/>
          <w:b w:val="0"/>
          <w:bCs/>
          <w:color w:val="auto"/>
          <w:sz w:val="24"/>
          <w:highlight w:val="none"/>
          <w:u w:val="single"/>
          <w:lang w:val="zh-CN" w:eastAsia="zh-CN"/>
        </w:rPr>
        <w:t>合同签订完成，达到付款条件起7日内，支付合同总金额的50%。货物送达到采购人指定地点，达到付款条件起7日内，支付合同总金额的40%。验收合格结算审计完成后，达到付款条件起7日内，支付合同总金额的10%。</w:t>
      </w:r>
    </w:p>
    <w:p w14:paraId="06D3E698">
      <w:pPr>
        <w:widowControl/>
        <w:spacing w:line="360" w:lineRule="auto"/>
        <w:ind w:right="-207" w:rightChars="-94" w:firstLine="600" w:firstLineChars="250"/>
        <w:jc w:val="left"/>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lang w:val="zh-CN"/>
        </w:rPr>
        <w:t>合同总价包括：人工费、运费、材料费、管理费、利润、税金、保险的一切费用、税费风险。</w:t>
      </w:r>
    </w:p>
    <w:p w14:paraId="2A60B58B">
      <w:pPr>
        <w:widowControl/>
        <w:spacing w:line="360" w:lineRule="auto"/>
        <w:ind w:right="-207" w:rightChars="-94" w:firstLine="600" w:firstLineChars="250"/>
        <w:jc w:val="left"/>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en-US" w:eastAsia="zh-CN"/>
        </w:rPr>
        <w:t>2、</w:t>
      </w:r>
      <w:r>
        <w:rPr>
          <w:rFonts w:hint="eastAsia" w:ascii="仿宋" w:hAnsi="仿宋" w:eastAsia="仿宋" w:cs="仿宋"/>
          <w:color w:val="000000"/>
          <w:sz w:val="24"/>
          <w:szCs w:val="24"/>
          <w:highlight w:val="none"/>
          <w:lang w:val="zh-CN"/>
        </w:rPr>
        <w:t>合同有效期内，合同总价一次包死，不受国家政策性调价或原材料价格变化及外汇汇率变化的影响，并作为最终结算的唯一依据。</w:t>
      </w:r>
    </w:p>
    <w:p w14:paraId="7C768755">
      <w:pPr>
        <w:widowControl/>
        <w:spacing w:line="360" w:lineRule="auto"/>
        <w:ind w:right="-207" w:rightChars="-94" w:firstLine="600" w:firstLineChars="250"/>
        <w:jc w:val="left"/>
        <w:rPr>
          <w:rFonts w:hint="eastAsia" w:ascii="仿宋" w:hAnsi="仿宋" w:eastAsia="仿宋" w:cs="仿宋"/>
          <w:color w:val="000000"/>
          <w:sz w:val="24"/>
          <w:szCs w:val="24"/>
          <w:highlight w:val="none"/>
          <w:lang w:val="zh-CN" w:eastAsia="zh-CN"/>
        </w:rPr>
      </w:pP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lang w:val="zh-CN"/>
        </w:rPr>
        <w:t>结算方式：</w:t>
      </w:r>
      <w:r>
        <w:rPr>
          <w:rFonts w:hint="eastAsia" w:ascii="仿宋" w:hAnsi="仿宋" w:eastAsia="仿宋" w:cs="仿宋"/>
          <w:snapToGrid w:val="0"/>
          <w:color w:val="000000"/>
          <w:spacing w:val="0"/>
          <w:w w:val="100"/>
          <w:kern w:val="0"/>
          <w:position w:val="0"/>
          <w:sz w:val="24"/>
          <w:szCs w:val="24"/>
          <w:lang w:val="en-US" w:eastAsia="en-US" w:bidi="ar-SA"/>
        </w:rPr>
        <w:t>验收合格后填写政府采购项目验收单，发票（按合同总价直开采 购人），供应商持中标通知书、政府采购合同书、正式发票、政府采购项目验收单，与 采购人结算。</w:t>
      </w:r>
    </w:p>
    <w:p w14:paraId="7D2A521E">
      <w:pPr>
        <w:widowControl/>
        <w:spacing w:line="360" w:lineRule="auto"/>
        <w:ind w:right="-207" w:rightChars="-94" w:firstLine="600" w:firstLineChars="250"/>
        <w:jc w:val="left"/>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lang w:val="zh-CN"/>
        </w:rPr>
        <w:t>结算单位：有关部门验收合格后，供应商凭采购验收单、合同、中标通知书及发票原件到相关部门办理结算手续。</w:t>
      </w:r>
    </w:p>
    <w:p w14:paraId="7288F4E2">
      <w:pPr>
        <w:adjustRightInd w:val="0"/>
        <w:snapToGrid w:val="0"/>
        <w:spacing w:line="360" w:lineRule="auto"/>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rPr>
        <w:t>五、</w:t>
      </w:r>
      <w:r>
        <w:rPr>
          <w:rFonts w:hint="eastAsia" w:ascii="仿宋" w:hAnsi="仿宋" w:eastAsia="仿宋" w:cs="仿宋"/>
          <w:b/>
          <w:color w:val="auto"/>
          <w:sz w:val="24"/>
          <w:highlight w:val="none"/>
          <w:lang w:val="en-US" w:eastAsia="zh-CN"/>
        </w:rPr>
        <w:t>交付条件</w:t>
      </w:r>
    </w:p>
    <w:p w14:paraId="552F5C1F">
      <w:pPr>
        <w:adjustRightInd w:val="0"/>
        <w:snapToGrid w:val="0"/>
        <w:spacing w:line="360" w:lineRule="auto"/>
        <w:ind w:firstLine="482" w:firstLineChars="200"/>
        <w:rPr>
          <w:rFonts w:hint="default" w:ascii="仿宋" w:hAnsi="仿宋" w:eastAsia="仿宋" w:cs="仿宋"/>
          <w:b w:val="0"/>
          <w:bCs w:val="0"/>
          <w:color w:val="auto"/>
          <w:sz w:val="24"/>
          <w:szCs w:val="22"/>
          <w:highlight w:val="yellow"/>
          <w:lang w:val="en-US" w:eastAsia="zh-CN"/>
        </w:rPr>
      </w:pPr>
      <w:r>
        <w:rPr>
          <w:rFonts w:hint="eastAsia" w:ascii="仿宋" w:hAnsi="仿宋" w:eastAsia="仿宋" w:cs="仿宋"/>
          <w:b/>
          <w:bCs/>
          <w:color w:val="auto"/>
          <w:sz w:val="24"/>
          <w:szCs w:val="22"/>
          <w:highlight w:val="none"/>
          <w:lang w:val="en-US" w:eastAsia="zh-CN"/>
        </w:rPr>
        <w:t>1、</w:t>
      </w:r>
      <w:r>
        <w:rPr>
          <w:rFonts w:hint="eastAsia" w:ascii="仿宋" w:hAnsi="仿宋" w:eastAsia="仿宋" w:cs="仿宋"/>
          <w:b/>
          <w:bCs/>
          <w:color w:val="auto"/>
          <w:sz w:val="24"/>
          <w:szCs w:val="22"/>
          <w:highlight w:val="none"/>
        </w:rPr>
        <w:t>交货期：</w:t>
      </w:r>
      <w:r>
        <w:rPr>
          <w:rFonts w:hint="eastAsia" w:ascii="仿宋" w:hAnsi="仿宋" w:eastAsia="仿宋" w:cs="仿宋"/>
          <w:b w:val="0"/>
          <w:bCs w:val="0"/>
          <w:color w:val="auto"/>
          <w:sz w:val="24"/>
          <w:szCs w:val="22"/>
          <w:highlight w:val="none"/>
          <w:lang w:val="en-US" w:eastAsia="zh-CN"/>
        </w:rPr>
        <w:t>自合同签订之日起1</w:t>
      </w:r>
      <w:r>
        <w:rPr>
          <w:rFonts w:hint="eastAsia" w:ascii="仿宋" w:hAnsi="仿宋" w:eastAsia="仿宋" w:cs="仿宋"/>
          <w:b w:val="0"/>
          <w:bCs w:val="0"/>
          <w:color w:val="auto"/>
          <w:sz w:val="24"/>
          <w:szCs w:val="22"/>
          <w:highlight w:val="none"/>
        </w:rPr>
        <w:t>20日历天完成交货及设备调试完成</w:t>
      </w:r>
      <w:r>
        <w:rPr>
          <w:rFonts w:hint="eastAsia" w:ascii="仿宋" w:hAnsi="仿宋" w:eastAsia="仿宋" w:cs="仿宋"/>
          <w:b w:val="0"/>
          <w:bCs w:val="0"/>
          <w:color w:val="auto"/>
          <w:sz w:val="24"/>
          <w:szCs w:val="22"/>
          <w:highlight w:val="none"/>
          <w:lang w:eastAsia="zh-CN"/>
        </w:rPr>
        <w:t>，</w:t>
      </w:r>
      <w:r>
        <w:rPr>
          <w:rFonts w:hint="eastAsia" w:ascii="仿宋" w:hAnsi="仿宋" w:eastAsia="仿宋" w:cs="仿宋"/>
          <w:b w:val="0"/>
          <w:bCs w:val="0"/>
          <w:color w:val="auto"/>
          <w:sz w:val="24"/>
          <w:szCs w:val="22"/>
          <w:highlight w:val="none"/>
          <w:lang w:val="en-US" w:eastAsia="zh-CN"/>
        </w:rPr>
        <w:t>确保正常运行</w:t>
      </w:r>
      <w:r>
        <w:rPr>
          <w:rFonts w:hint="eastAsia" w:ascii="仿宋" w:hAnsi="仿宋" w:eastAsia="仿宋" w:cs="仿宋"/>
          <w:b w:val="0"/>
          <w:bCs w:val="0"/>
          <w:color w:val="auto"/>
          <w:sz w:val="24"/>
          <w:szCs w:val="22"/>
          <w:highlight w:val="none"/>
        </w:rPr>
        <w:t>。</w:t>
      </w:r>
    </w:p>
    <w:p w14:paraId="128AB8C0">
      <w:pPr>
        <w:adjustRightInd w:val="0"/>
        <w:snapToGrid w:val="0"/>
        <w:spacing w:line="360" w:lineRule="auto"/>
        <w:ind w:firstLine="482" w:firstLineChars="200"/>
        <w:rPr>
          <w:rFonts w:hint="eastAsia" w:ascii="仿宋" w:hAnsi="仿宋" w:eastAsia="仿宋" w:cs="仿宋"/>
          <w:color w:val="auto"/>
          <w:sz w:val="24"/>
          <w:szCs w:val="22"/>
          <w:highlight w:val="none"/>
        </w:rPr>
      </w:pPr>
      <w:r>
        <w:rPr>
          <w:rFonts w:hint="eastAsia" w:ascii="仿宋" w:hAnsi="仿宋" w:eastAsia="仿宋" w:cs="仿宋"/>
          <w:b/>
          <w:bCs/>
          <w:color w:val="auto"/>
          <w:sz w:val="24"/>
          <w:szCs w:val="22"/>
          <w:highlight w:val="none"/>
          <w:lang w:val="en-US" w:eastAsia="zh-CN"/>
        </w:rPr>
        <w:t>2、</w:t>
      </w:r>
      <w:r>
        <w:rPr>
          <w:rFonts w:hint="eastAsia" w:ascii="仿宋" w:hAnsi="仿宋" w:eastAsia="仿宋" w:cs="仿宋"/>
          <w:b/>
          <w:bCs/>
          <w:color w:val="auto"/>
          <w:sz w:val="24"/>
          <w:szCs w:val="22"/>
          <w:highlight w:val="none"/>
        </w:rPr>
        <w:t>交货地点：</w:t>
      </w:r>
      <w:r>
        <w:rPr>
          <w:rFonts w:hint="eastAsia" w:ascii="仿宋" w:hAnsi="仿宋" w:eastAsia="仿宋" w:cs="仿宋"/>
          <w:b w:val="0"/>
          <w:bCs w:val="0"/>
          <w:color w:val="auto"/>
          <w:sz w:val="24"/>
          <w:szCs w:val="22"/>
          <w:highlight w:val="none"/>
        </w:rPr>
        <w:t>渭南市潼关县。</w:t>
      </w:r>
    </w:p>
    <w:p w14:paraId="0F41ACD7">
      <w:pPr>
        <w:adjustRightInd w:val="0"/>
        <w:snapToGrid w:val="0"/>
        <w:spacing w:line="360" w:lineRule="auto"/>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rPr>
        <w:t>六、质保期</w:t>
      </w:r>
    </w:p>
    <w:p w14:paraId="57FF2142">
      <w:pPr>
        <w:adjustRightInd w:val="0"/>
        <w:snapToGrid w:val="0"/>
        <w:spacing w:line="360" w:lineRule="auto"/>
        <w:ind w:firstLine="475" w:firstLineChars="198"/>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自验收合格之日起硬件设备质保1年</w:t>
      </w:r>
      <w:r>
        <w:rPr>
          <w:rFonts w:hint="eastAsia" w:ascii="仿宋" w:hAnsi="仿宋" w:eastAsia="仿宋" w:cs="仿宋"/>
          <w:color w:val="auto"/>
          <w:sz w:val="24"/>
          <w:highlight w:val="none"/>
          <w:lang w:eastAsia="zh-CN"/>
        </w:rPr>
        <w:t>。</w:t>
      </w:r>
    </w:p>
    <w:p w14:paraId="65FE3367">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七、双方权利和义务</w:t>
      </w:r>
    </w:p>
    <w:p w14:paraId="3E88B7D3">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（一）采购人的权利和义务</w:t>
      </w:r>
    </w:p>
    <w:p w14:paraId="12C32824">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1、产品性能必须与其标的技术指标相符合，甲方有权在产品的有效保证期内依据技术指标对该产品进行技术验收，其主要的技术参数达不到标准时，甲方有权无条件退货或依据有关法律索赔。</w:t>
      </w:r>
    </w:p>
    <w:p w14:paraId="777CBD03">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所提供的产品若出现质量问题，在采购人及时通知供应商后，供应商不能及时解决问题且对采购人造成影响,采购人有权向供应商提出退货，供应商除退还全部货款外,还要支付货款总额的20%作为向采购人的赔偿。</w:t>
      </w:r>
    </w:p>
    <w:p w14:paraId="2F304BED">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3、采购人保证按合同规定及时付款。</w:t>
      </w:r>
    </w:p>
    <w:p w14:paraId="617220C0">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（二）供应商的权利和义务</w:t>
      </w:r>
    </w:p>
    <w:p w14:paraId="38E3602A">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1、供应商提供给采购人的产品必须是全新的合格产品。</w:t>
      </w:r>
    </w:p>
    <w:p w14:paraId="507036BF">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2、凡因专利问题与第三方发生的任何纠纷均与采购人无关。</w:t>
      </w:r>
    </w:p>
    <w:p w14:paraId="0B6A7EFD">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3、安全可靠。在正常使用下不应对使用者造成任何人身伤害，如因产品质量或标示不明确而对使用者造成损失的，采购人将保留依法索赔的权利。</w:t>
      </w:r>
    </w:p>
    <w:p w14:paraId="3359B68F">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4、有强制性安全标准的产品，供应商应提供该产品的制造许可证证明。</w:t>
      </w:r>
    </w:p>
    <w:p w14:paraId="633A408A">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质保期内，设备出现严重故障（不能按招标参数的要求正常运行超过30天），</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应无条件更换新设备。</w:t>
      </w:r>
    </w:p>
    <w:p w14:paraId="6AF4449A">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有技术专员及时处理设备硬软件及网络接口的相关问题，故障报修2小时内</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rPr>
        <w:t>，小故障48小时内修复，大故障维修总时长≤14天。</w:t>
      </w:r>
    </w:p>
    <w:p w14:paraId="3419AE52">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、提供培训服务</w:t>
      </w:r>
      <w:r>
        <w:rPr>
          <w:rFonts w:hint="eastAsia" w:ascii="仿宋" w:hAnsi="仿宋" w:eastAsia="仿宋" w:cs="仿宋"/>
          <w:color w:val="auto"/>
          <w:sz w:val="24"/>
          <w:highlight w:val="none"/>
          <w:lang w:val="en-US" w:eastAsia="zh-CN"/>
        </w:rPr>
        <w:t>并履行</w:t>
      </w:r>
      <w:r>
        <w:rPr>
          <w:rFonts w:hint="eastAsia" w:ascii="仿宋" w:hAnsi="仿宋" w:eastAsia="仿宋" w:cs="仿宋"/>
          <w:color w:val="auto"/>
          <w:sz w:val="24"/>
          <w:highlight w:val="none"/>
        </w:rPr>
        <w:t>相关义务。</w:t>
      </w:r>
    </w:p>
    <w:p w14:paraId="3D67DB44">
      <w:pPr>
        <w:adjustRightInd w:val="0"/>
        <w:snapToGrid w:val="0"/>
        <w:spacing w:line="360" w:lineRule="auto"/>
        <w:ind w:firstLine="475" w:firstLineChars="198"/>
        <w:rPr>
          <w:rFonts w:hint="eastAsia"/>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、质保期内免费提供设备校准并提供校准报告，提供本机配套常用零配件、耗材及维修价格清单。</w:t>
      </w:r>
    </w:p>
    <w:p w14:paraId="1987CEC1">
      <w:pPr>
        <w:adjustRightInd w:val="0"/>
        <w:snapToGrid w:val="0"/>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八、内容及要求：</w:t>
      </w:r>
    </w:p>
    <w:p w14:paraId="48D5B32D">
      <w:pPr>
        <w:tabs>
          <w:tab w:val="left" w:pos="84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即交付的设备（产品）、服务内容、数量与</w:t>
      </w:r>
      <w:r>
        <w:rPr>
          <w:rFonts w:hint="eastAsia" w:ascii="仿宋" w:hAnsi="仿宋" w:eastAsia="仿宋" w:cs="仿宋"/>
          <w:color w:val="auto"/>
          <w:sz w:val="24"/>
          <w:highlight w:val="none"/>
          <w:lang w:eastAsia="zh-CN"/>
        </w:rPr>
        <w:t>投标文件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招标文件</w:t>
      </w:r>
      <w:r>
        <w:rPr>
          <w:rFonts w:hint="eastAsia" w:ascii="仿宋" w:hAnsi="仿宋" w:eastAsia="仿宋" w:cs="仿宋"/>
          <w:color w:val="auto"/>
          <w:sz w:val="24"/>
          <w:highlight w:val="none"/>
        </w:rPr>
        <w:t>等所指明的，或者与本合同所指明的设备（产品）、服务内容相一致。（附清单）</w:t>
      </w:r>
    </w:p>
    <w:p w14:paraId="4CDF2E6F">
      <w:pPr>
        <w:spacing w:after="12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供货内容一览表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04ACBE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0AE4E984">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960" w:type="dxa"/>
            <w:noWrap w:val="0"/>
            <w:vAlign w:val="center"/>
          </w:tcPr>
          <w:p w14:paraId="2E04D08B">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名称</w:t>
            </w:r>
          </w:p>
        </w:tc>
        <w:tc>
          <w:tcPr>
            <w:tcW w:w="1485" w:type="dxa"/>
            <w:tcBorders>
              <w:right w:val="single" w:color="auto" w:sz="4" w:space="0"/>
            </w:tcBorders>
            <w:noWrap w:val="0"/>
            <w:vAlign w:val="center"/>
          </w:tcPr>
          <w:p w14:paraId="1EBDB71C">
            <w:pPr>
              <w:pStyle w:val="3"/>
              <w:pageBreakBefore w:val="0"/>
              <w:kinsoku/>
              <w:wordWrap/>
              <w:overflowPunct/>
              <w:topLinePunct w:val="0"/>
              <w:autoSpaceDE/>
              <w:autoSpaceDN/>
              <w:bidi w:val="0"/>
              <w:adjustRightInd w:val="0"/>
              <w:snapToGrid w:val="0"/>
              <w:spacing w:before="0" w:beforeLines="0" w:after="0" w:afterLines="0"/>
              <w:ind w:lef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品牌、规格及型号</w:t>
            </w:r>
          </w:p>
        </w:tc>
        <w:tc>
          <w:tcPr>
            <w:tcW w:w="1695" w:type="dxa"/>
            <w:tcBorders>
              <w:left w:val="single" w:color="auto" w:sz="4" w:space="0"/>
            </w:tcBorders>
            <w:noWrap w:val="0"/>
            <w:vAlign w:val="center"/>
          </w:tcPr>
          <w:p w14:paraId="0E5AAD44">
            <w:pPr>
              <w:pStyle w:val="3"/>
              <w:pageBreakBefore w:val="0"/>
              <w:kinsoku/>
              <w:wordWrap/>
              <w:overflowPunct/>
              <w:topLinePunct w:val="0"/>
              <w:autoSpaceDE/>
              <w:autoSpaceDN/>
              <w:bidi w:val="0"/>
              <w:adjustRightInd w:val="0"/>
              <w:snapToGrid w:val="0"/>
              <w:spacing w:before="0" w:beforeLines="0" w:after="0" w:afterLines="0"/>
              <w:ind w:lef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原产地及制造厂名</w:t>
            </w:r>
          </w:p>
        </w:tc>
        <w:tc>
          <w:tcPr>
            <w:tcW w:w="825" w:type="dxa"/>
            <w:tcBorders>
              <w:right w:val="single" w:color="auto" w:sz="4" w:space="0"/>
            </w:tcBorders>
            <w:noWrap w:val="0"/>
            <w:vAlign w:val="center"/>
          </w:tcPr>
          <w:p w14:paraId="514D31A4">
            <w:pPr>
              <w:pStyle w:val="3"/>
              <w:pageBreakBefore w:val="0"/>
              <w:kinsoku/>
              <w:wordWrap/>
              <w:overflowPunct/>
              <w:topLinePunct w:val="0"/>
              <w:autoSpaceDE/>
              <w:autoSpaceDN/>
              <w:bidi w:val="0"/>
              <w:adjustRightInd w:val="0"/>
              <w:snapToGrid w:val="0"/>
              <w:spacing w:before="0" w:beforeLines="0" w:after="0" w:afterLines="0"/>
              <w:ind w:lef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tc>
        <w:tc>
          <w:tcPr>
            <w:tcW w:w="735" w:type="dxa"/>
            <w:tcBorders>
              <w:left w:val="single" w:color="auto" w:sz="4" w:space="0"/>
              <w:right w:val="single" w:color="auto" w:sz="4" w:space="0"/>
            </w:tcBorders>
            <w:noWrap w:val="0"/>
            <w:vAlign w:val="center"/>
          </w:tcPr>
          <w:p w14:paraId="1709F0B6">
            <w:pPr>
              <w:pStyle w:val="3"/>
              <w:pageBreakBefore w:val="0"/>
              <w:kinsoku/>
              <w:wordWrap/>
              <w:overflowPunct/>
              <w:topLinePunct w:val="0"/>
              <w:autoSpaceDE/>
              <w:autoSpaceDN/>
              <w:bidi w:val="0"/>
              <w:adjustRightInd w:val="0"/>
              <w:snapToGrid w:val="0"/>
              <w:spacing w:before="0" w:beforeLines="0" w:after="0" w:afterLines="0"/>
              <w:ind w:lef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050" w:type="dxa"/>
            <w:tcBorders>
              <w:left w:val="single" w:color="auto" w:sz="4" w:space="0"/>
            </w:tcBorders>
            <w:noWrap w:val="0"/>
            <w:vAlign w:val="center"/>
          </w:tcPr>
          <w:p w14:paraId="77BE99A7">
            <w:pPr>
              <w:pStyle w:val="3"/>
              <w:pageBreakBefore w:val="0"/>
              <w:kinsoku/>
              <w:wordWrap/>
              <w:overflowPunct/>
              <w:topLinePunct w:val="0"/>
              <w:autoSpaceDE/>
              <w:autoSpaceDN/>
              <w:bidi w:val="0"/>
              <w:spacing w:before="0" w:beforeLines="0" w:after="0" w:afterLines="0"/>
              <w:ind w:lef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交付地点</w:t>
            </w:r>
          </w:p>
        </w:tc>
        <w:tc>
          <w:tcPr>
            <w:tcW w:w="1215" w:type="dxa"/>
            <w:tcBorders>
              <w:right w:val="single" w:color="auto" w:sz="4" w:space="0"/>
            </w:tcBorders>
            <w:noWrap w:val="0"/>
            <w:vAlign w:val="center"/>
          </w:tcPr>
          <w:p w14:paraId="2CA6DD3D">
            <w:pPr>
              <w:pStyle w:val="3"/>
              <w:pageBreakBefore w:val="0"/>
              <w:kinsoku/>
              <w:wordWrap/>
              <w:overflowPunct/>
              <w:topLinePunct w:val="0"/>
              <w:autoSpaceDE/>
              <w:autoSpaceDN/>
              <w:bidi w:val="0"/>
              <w:spacing w:before="0" w:beforeLines="0" w:after="0" w:afterLines="0"/>
              <w:ind w:lef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交付时间</w:t>
            </w:r>
          </w:p>
        </w:tc>
        <w:tc>
          <w:tcPr>
            <w:tcW w:w="903" w:type="dxa"/>
            <w:tcBorders>
              <w:right w:val="single" w:color="auto" w:sz="4" w:space="0"/>
            </w:tcBorders>
            <w:noWrap w:val="0"/>
            <w:vAlign w:val="center"/>
          </w:tcPr>
          <w:p w14:paraId="20C9E57B">
            <w:pPr>
              <w:pStyle w:val="3"/>
              <w:pageBreakBefore w:val="0"/>
              <w:kinsoku/>
              <w:wordWrap/>
              <w:overflowPunct/>
              <w:topLinePunct w:val="0"/>
              <w:autoSpaceDE/>
              <w:autoSpaceDN/>
              <w:bidi w:val="0"/>
              <w:spacing w:before="0" w:beforeLines="0" w:after="0" w:afterLines="0"/>
              <w:ind w:lef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4733B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017B2A8D">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960" w:type="dxa"/>
            <w:noWrap w:val="0"/>
            <w:vAlign w:val="center"/>
          </w:tcPr>
          <w:p w14:paraId="51DDB8C8">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485" w:type="dxa"/>
            <w:tcBorders>
              <w:right w:val="single" w:color="auto" w:sz="4" w:space="0"/>
            </w:tcBorders>
            <w:noWrap w:val="0"/>
            <w:vAlign w:val="center"/>
          </w:tcPr>
          <w:p w14:paraId="544E0AD0">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695" w:type="dxa"/>
            <w:tcBorders>
              <w:left w:val="single" w:color="auto" w:sz="4" w:space="0"/>
            </w:tcBorders>
            <w:noWrap w:val="0"/>
            <w:vAlign w:val="center"/>
          </w:tcPr>
          <w:p w14:paraId="5509E452">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825" w:type="dxa"/>
            <w:tcBorders>
              <w:right w:val="single" w:color="auto" w:sz="4" w:space="0"/>
            </w:tcBorders>
            <w:noWrap w:val="0"/>
            <w:vAlign w:val="center"/>
          </w:tcPr>
          <w:p w14:paraId="75816824">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center"/>
          </w:tcPr>
          <w:p w14:paraId="1B36AF36">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050" w:type="dxa"/>
            <w:tcBorders>
              <w:left w:val="single" w:color="auto" w:sz="4" w:space="0"/>
            </w:tcBorders>
            <w:noWrap w:val="0"/>
            <w:vAlign w:val="center"/>
          </w:tcPr>
          <w:p w14:paraId="2227366A">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215" w:type="dxa"/>
            <w:tcBorders>
              <w:right w:val="single" w:color="auto" w:sz="4" w:space="0"/>
            </w:tcBorders>
            <w:noWrap w:val="0"/>
            <w:vAlign w:val="center"/>
          </w:tcPr>
          <w:p w14:paraId="30FB18D7">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903" w:type="dxa"/>
            <w:tcBorders>
              <w:right w:val="single" w:color="auto" w:sz="4" w:space="0"/>
            </w:tcBorders>
            <w:noWrap w:val="0"/>
            <w:vAlign w:val="center"/>
          </w:tcPr>
          <w:p w14:paraId="14FA063E">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r>
      <w:tr w14:paraId="16A487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6D760857">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960" w:type="dxa"/>
            <w:noWrap w:val="0"/>
            <w:vAlign w:val="center"/>
          </w:tcPr>
          <w:p w14:paraId="4A8DE1DE">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485" w:type="dxa"/>
            <w:tcBorders>
              <w:right w:val="single" w:color="auto" w:sz="4" w:space="0"/>
            </w:tcBorders>
            <w:noWrap w:val="0"/>
            <w:vAlign w:val="center"/>
          </w:tcPr>
          <w:p w14:paraId="5BE59763">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695" w:type="dxa"/>
            <w:tcBorders>
              <w:left w:val="single" w:color="auto" w:sz="4" w:space="0"/>
            </w:tcBorders>
            <w:noWrap w:val="0"/>
            <w:vAlign w:val="center"/>
          </w:tcPr>
          <w:p w14:paraId="2CE78EC0">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825" w:type="dxa"/>
            <w:tcBorders>
              <w:right w:val="single" w:color="auto" w:sz="4" w:space="0"/>
            </w:tcBorders>
            <w:noWrap w:val="0"/>
            <w:vAlign w:val="center"/>
          </w:tcPr>
          <w:p w14:paraId="7145055D">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center"/>
          </w:tcPr>
          <w:p w14:paraId="26F3F4D0">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050" w:type="dxa"/>
            <w:tcBorders>
              <w:left w:val="single" w:color="auto" w:sz="4" w:space="0"/>
            </w:tcBorders>
            <w:noWrap w:val="0"/>
            <w:vAlign w:val="center"/>
          </w:tcPr>
          <w:p w14:paraId="202F23E5">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215" w:type="dxa"/>
            <w:tcBorders>
              <w:right w:val="single" w:color="auto" w:sz="4" w:space="0"/>
            </w:tcBorders>
            <w:noWrap w:val="0"/>
            <w:vAlign w:val="center"/>
          </w:tcPr>
          <w:p w14:paraId="53B71B4D">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903" w:type="dxa"/>
            <w:tcBorders>
              <w:right w:val="single" w:color="auto" w:sz="4" w:space="0"/>
            </w:tcBorders>
            <w:noWrap w:val="0"/>
            <w:vAlign w:val="center"/>
          </w:tcPr>
          <w:p w14:paraId="3926C202">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r>
      <w:tr w14:paraId="1CA03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250332F9">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960" w:type="dxa"/>
            <w:noWrap w:val="0"/>
            <w:vAlign w:val="center"/>
          </w:tcPr>
          <w:p w14:paraId="45B08CDA">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485" w:type="dxa"/>
            <w:tcBorders>
              <w:right w:val="single" w:color="auto" w:sz="4" w:space="0"/>
            </w:tcBorders>
            <w:noWrap w:val="0"/>
            <w:vAlign w:val="center"/>
          </w:tcPr>
          <w:p w14:paraId="262BA981">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695" w:type="dxa"/>
            <w:tcBorders>
              <w:left w:val="single" w:color="auto" w:sz="4" w:space="0"/>
            </w:tcBorders>
            <w:noWrap w:val="0"/>
            <w:vAlign w:val="center"/>
          </w:tcPr>
          <w:p w14:paraId="6DEB0FE7">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825" w:type="dxa"/>
            <w:tcBorders>
              <w:right w:val="single" w:color="auto" w:sz="4" w:space="0"/>
            </w:tcBorders>
            <w:noWrap w:val="0"/>
            <w:vAlign w:val="center"/>
          </w:tcPr>
          <w:p w14:paraId="57E7243D">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735" w:type="dxa"/>
            <w:tcBorders>
              <w:left w:val="single" w:color="auto" w:sz="4" w:space="0"/>
              <w:right w:val="single" w:color="auto" w:sz="4" w:space="0"/>
            </w:tcBorders>
            <w:noWrap w:val="0"/>
            <w:vAlign w:val="center"/>
          </w:tcPr>
          <w:p w14:paraId="6352EF67">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050" w:type="dxa"/>
            <w:tcBorders>
              <w:left w:val="single" w:color="auto" w:sz="4" w:space="0"/>
            </w:tcBorders>
            <w:noWrap w:val="0"/>
            <w:vAlign w:val="center"/>
          </w:tcPr>
          <w:p w14:paraId="7817ED46">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1215" w:type="dxa"/>
            <w:tcBorders>
              <w:right w:val="single" w:color="auto" w:sz="4" w:space="0"/>
            </w:tcBorders>
            <w:noWrap w:val="0"/>
            <w:vAlign w:val="center"/>
          </w:tcPr>
          <w:p w14:paraId="5E3524F8">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c>
          <w:tcPr>
            <w:tcW w:w="903" w:type="dxa"/>
            <w:tcBorders>
              <w:right w:val="single" w:color="auto" w:sz="4" w:space="0"/>
            </w:tcBorders>
            <w:noWrap w:val="0"/>
            <w:vAlign w:val="center"/>
          </w:tcPr>
          <w:p w14:paraId="7A947A89">
            <w:pPr>
              <w:pageBreakBefore w:val="0"/>
              <w:kinsoku/>
              <w:wordWrap/>
              <w:overflowPunct/>
              <w:topLinePunct w:val="0"/>
              <w:autoSpaceDE/>
              <w:autoSpaceDN/>
              <w:bidi w:val="0"/>
              <w:spacing w:line="360" w:lineRule="auto"/>
              <w:ind w:left="0"/>
              <w:jc w:val="center"/>
              <w:textAlignment w:val="auto"/>
              <w:rPr>
                <w:rFonts w:hint="eastAsia" w:ascii="仿宋" w:hAnsi="仿宋" w:eastAsia="仿宋" w:cs="仿宋"/>
                <w:color w:val="auto"/>
                <w:szCs w:val="24"/>
                <w:highlight w:val="none"/>
              </w:rPr>
            </w:pPr>
          </w:p>
        </w:tc>
      </w:tr>
    </w:tbl>
    <w:p w14:paraId="59FC775D">
      <w:pPr>
        <w:pStyle w:val="6"/>
        <w:rPr>
          <w:rFonts w:hint="eastAsia" w:ascii="仿宋" w:hAnsi="仿宋" w:eastAsia="仿宋" w:cs="仿宋"/>
          <w:color w:val="auto"/>
          <w:highlight w:val="none"/>
        </w:rPr>
      </w:pPr>
    </w:p>
    <w:p w14:paraId="1CC0C887">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九、安装、调试要求：</w:t>
      </w:r>
    </w:p>
    <w:p w14:paraId="71717F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1、由供应商负责派技术人员到现场进行免费安装、调试至验收合格。</w:t>
      </w:r>
    </w:p>
    <w:p w14:paraId="1D02DC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2、供应商应在合同签订后一周内，向采购人提供安装、调试及试运行的进度计划表。</w:t>
      </w:r>
    </w:p>
    <w:p w14:paraId="51550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3、供应商应在合同规定的安装调试期内完成该项工作。如因供应商责任而造成延期，每超过一天按合同总价款的（</w:t>
      </w:r>
      <w:r>
        <w:rPr>
          <w:rFonts w:hint="eastAsia" w:ascii="仿宋" w:hAnsi="仿宋" w:eastAsia="仿宋" w:cs="仿宋"/>
          <w:color w:val="auto"/>
          <w:sz w:val="24"/>
          <w:szCs w:val="24"/>
          <w:highlight w:val="none"/>
          <w:lang w:val="en-US" w:eastAsia="zh-CN"/>
        </w:rPr>
        <w:t>0.0</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）支付采购人误期赔偿金，直至交货或提供服务结束为止，所有因延期而产生的费用由供应商承担。</w:t>
      </w:r>
      <w:r>
        <w:rPr>
          <w:rFonts w:hint="eastAsia" w:ascii="仿宋" w:hAnsi="仿宋" w:eastAsia="仿宋" w:cs="仿宋"/>
          <w:color w:val="auto"/>
          <w:sz w:val="24"/>
          <w:szCs w:val="24"/>
          <w:highlight w:val="none"/>
          <w:lang w:val="en-US" w:eastAsia="zh-CN"/>
        </w:rPr>
        <w:t>如因甲方或其他原因，双方协商解决。</w:t>
      </w:r>
      <w:bookmarkStart w:id="2" w:name="_GoBack"/>
      <w:bookmarkEnd w:id="2"/>
    </w:p>
    <w:p w14:paraId="763E87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4、安装和调试期间所发生的费用均由供应商负责。</w:t>
      </w:r>
    </w:p>
    <w:p w14:paraId="59CDF0D3">
      <w:pPr>
        <w:tabs>
          <w:tab w:val="left" w:pos="840"/>
        </w:tabs>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十、技术支持：</w:t>
      </w:r>
    </w:p>
    <w:p w14:paraId="36FF67BC">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提供全年7×24小时的技术咨询服务。</w:t>
      </w:r>
    </w:p>
    <w:p w14:paraId="2258F822">
      <w:pPr>
        <w:numPr>
          <w:ilvl w:val="0"/>
          <w:numId w:val="1"/>
        </w:num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技术培训：</w:t>
      </w:r>
    </w:p>
    <w:p w14:paraId="462521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color w:val="auto"/>
          <w:sz w:val="24"/>
          <w:highlight w:val="none"/>
        </w:rPr>
      </w:pPr>
      <w:r>
        <w:rPr>
          <w:rFonts w:hint="eastAsia" w:ascii="仿宋" w:hAnsi="仿宋" w:eastAsia="仿宋" w:cs="仿宋"/>
          <w:color w:val="auto"/>
          <w:sz w:val="24"/>
          <w:szCs w:val="24"/>
          <w:highlight w:val="none"/>
        </w:rPr>
        <w:t>应包括设备(产品)使用操作、保养、维修等培训内容。供应商需为采购人免费培训技术人员若干名，培训服务以受培训人员熟练掌握相应技能为原则。在设备(产品)投入使用初期进行必要的跟踪指导，保障设备(产品)的稳定运行。谈判设备(产品)需在培训基地培训的，供应商应按要求履行，培训产生的交通费、食宿费、培训费等均由供应商承担。</w:t>
      </w:r>
    </w:p>
    <w:p w14:paraId="768F12A5">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十二、技术资料要求：</w:t>
      </w:r>
    </w:p>
    <w:p w14:paraId="61F69587">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供应商应向采购人提供全套中文技术资料一套，其费用包括在谈判报价中：</w:t>
      </w:r>
    </w:p>
    <w:p w14:paraId="1292348E">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1、完整的设备(产品)操作使用手册和维护、修理技术文件，图纸、保修卡等；</w:t>
      </w:r>
    </w:p>
    <w:p w14:paraId="07DEEA5C">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2、制造</w:t>
      </w:r>
      <w:r>
        <w:rPr>
          <w:rFonts w:hint="eastAsia" w:ascii="仿宋" w:hAnsi="仿宋" w:eastAsia="仿宋" w:cs="仿宋"/>
          <w:color w:val="auto"/>
          <w:sz w:val="24"/>
          <w:szCs w:val="24"/>
          <w:highlight w:val="none"/>
          <w:lang w:val="en-US" w:eastAsia="zh-CN"/>
        </w:rPr>
        <w:t>厂家</w:t>
      </w:r>
      <w:r>
        <w:rPr>
          <w:rFonts w:hint="eastAsia" w:ascii="仿宋" w:hAnsi="仿宋" w:eastAsia="仿宋" w:cs="仿宋"/>
          <w:color w:val="auto"/>
          <w:sz w:val="24"/>
          <w:szCs w:val="24"/>
          <w:highlight w:val="none"/>
        </w:rPr>
        <w:t>的检验、测试报告、设备(产品)检验合格证书，质量保证书等文件验收时须一并提供；</w:t>
      </w:r>
    </w:p>
    <w:p w14:paraId="72537E85">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3、设备(产品)验收标准；</w:t>
      </w:r>
    </w:p>
    <w:p w14:paraId="3BCE19EF">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4、技术说明书及必须的其它技术资料；</w:t>
      </w:r>
    </w:p>
    <w:p w14:paraId="7BEE7904">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5、使用说明书；</w:t>
      </w:r>
    </w:p>
    <w:p w14:paraId="78FB7898">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6、系统安装，调试、维修线路图及原理图；</w:t>
      </w:r>
    </w:p>
    <w:p w14:paraId="2F0486BC">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7、零部件目录；</w:t>
      </w:r>
    </w:p>
    <w:p w14:paraId="1D432CDD">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8、备品备件、易损件清单；</w:t>
      </w:r>
    </w:p>
    <w:p w14:paraId="2661BE9F">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9、项目</w:t>
      </w:r>
      <w:r>
        <w:rPr>
          <w:rFonts w:hint="eastAsia" w:ascii="仿宋" w:hAnsi="仿宋" w:eastAsia="仿宋" w:cs="仿宋"/>
          <w:color w:val="auto"/>
          <w:sz w:val="24"/>
          <w:szCs w:val="24"/>
          <w:highlight w:val="none"/>
          <w:lang w:val="en-US" w:eastAsia="zh-CN"/>
        </w:rPr>
        <w:t>供货完成</w:t>
      </w:r>
      <w:r>
        <w:rPr>
          <w:rFonts w:hint="eastAsia" w:ascii="仿宋" w:hAnsi="仿宋" w:eastAsia="仿宋" w:cs="仿宋"/>
          <w:color w:val="auto"/>
          <w:sz w:val="24"/>
          <w:szCs w:val="24"/>
          <w:highlight w:val="none"/>
        </w:rPr>
        <w:t>后提供验收报告；</w:t>
      </w:r>
    </w:p>
    <w:p w14:paraId="50D17B50">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10、合同中要求的其他文件资料。</w:t>
      </w:r>
    </w:p>
    <w:p w14:paraId="05A502F9">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十三、质量保证：</w:t>
      </w:r>
    </w:p>
    <w:p w14:paraId="6A585CEF">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供应商提供的产品必须保证质量可靠，渠道正常，配置合理齐全，应全面满足招标文件的要求，招标文件未明确要求的内容，供应商须按招标要求配置或以采购人的补充要求为准。所供产品工艺质量应严格按国家最新发布的规范标准执行，如发生质量问题由供应商承担全部责任。</w:t>
      </w:r>
    </w:p>
    <w:p w14:paraId="79583BC5">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供应商应保证所有产品的存在质量问题，由供应商负责维修。</w:t>
      </w:r>
    </w:p>
    <w:p w14:paraId="5E763202">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采购人使用产品过程中因产品质量、产品缺陷及安装质量等造成人身伤亡、财产损失的，由供应商负责解决并承担全部责任。</w:t>
      </w:r>
    </w:p>
    <w:p w14:paraId="08A81918">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 在最终验收后的质量保证期内，供应商应所投产品产生的故障负责（负责解决并承担全部费用）。</w:t>
      </w:r>
    </w:p>
    <w:p w14:paraId="6132E54B">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 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5D87B876">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 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1F9DED99">
      <w:pPr>
        <w:spacing w:line="36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十四、验收:</w:t>
      </w:r>
    </w:p>
    <w:p w14:paraId="4724951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供应商提出验收7日起，</w:t>
      </w:r>
      <w:r>
        <w:rPr>
          <w:rFonts w:hint="eastAsia" w:ascii="仿宋" w:hAnsi="仿宋" w:eastAsia="仿宋" w:cs="仿宋"/>
          <w:color w:val="auto"/>
          <w:sz w:val="24"/>
          <w:szCs w:val="24"/>
          <w:highlight w:val="none"/>
        </w:rPr>
        <w:t>由采购人和供应商共同对项目整体进行验收。其内容包括确认设备(产品)的产地、规格、型号和数量，对其设备(产品)技术指标、性能参数以及工程质量是否达到现行国家有关验收规范“合格”标准进行逐项检查。</w:t>
      </w:r>
    </w:p>
    <w:p w14:paraId="3B0977D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1、所验设备(产品)的指标、性能参数通过验收达不到</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要求和</w:t>
      </w:r>
      <w:r>
        <w:rPr>
          <w:rFonts w:hint="eastAsia" w:ascii="仿宋" w:hAnsi="仿宋" w:eastAsia="仿宋" w:cs="仿宋"/>
          <w:color w:val="auto"/>
          <w:sz w:val="24"/>
          <w:szCs w:val="24"/>
          <w:highlight w:val="none"/>
          <w:lang w:eastAsia="zh-CN"/>
        </w:rPr>
        <w:t>投标文件</w:t>
      </w:r>
      <w:r>
        <w:rPr>
          <w:rFonts w:hint="eastAsia" w:ascii="仿宋" w:hAnsi="仿宋" w:eastAsia="仿宋" w:cs="仿宋"/>
          <w:color w:val="auto"/>
          <w:sz w:val="24"/>
          <w:szCs w:val="24"/>
          <w:highlight w:val="none"/>
        </w:rPr>
        <w:t>承诺的，或在使用中发现采购人不能容忍的缺陷等，将视为设备(产品)验收不合格，供应商应无条件免费更换或退货。</w:t>
      </w:r>
    </w:p>
    <w:p w14:paraId="53C9D1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2、若发现供应商有弄虚作假的，在</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阶段故意或随意夸大设备(产品)技术性能，供应商应无条件退货，并赔偿采购人相应的损失。</w:t>
      </w:r>
    </w:p>
    <w:p w14:paraId="25F49F2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3、验收标准：按</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投标文件</w:t>
      </w:r>
      <w:r>
        <w:rPr>
          <w:rFonts w:hint="eastAsia" w:ascii="仿宋" w:hAnsi="仿宋" w:eastAsia="仿宋" w:cs="仿宋"/>
          <w:color w:val="auto"/>
          <w:sz w:val="24"/>
          <w:szCs w:val="24"/>
          <w:highlight w:val="none"/>
        </w:rPr>
        <w:t>及澄清函等技术指标进行验收。各项指标均应符合验收标准及要求。</w:t>
      </w:r>
    </w:p>
    <w:p w14:paraId="79BDD2A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4、验收合格后，填写验收单，双方签字生效。</w:t>
      </w:r>
    </w:p>
    <w:p w14:paraId="13A421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5、验收依据：</w:t>
      </w:r>
    </w:p>
    <w:p w14:paraId="052BCB6D">
      <w:pPr>
        <w:keepNext w:val="0"/>
        <w:keepLines w:val="0"/>
        <w:pageBreakBefore w:val="0"/>
        <w:widowControl/>
        <w:kinsoku/>
        <w:wordWrap/>
        <w:overflowPunct/>
        <w:topLinePunct w:val="0"/>
        <w:autoSpaceDE w:val="0"/>
        <w:autoSpaceDN w:val="0"/>
        <w:bidi w:val="0"/>
        <w:adjustRightInd w:val="0"/>
        <w:snapToGrid/>
        <w:spacing w:line="360" w:lineRule="auto"/>
        <w:ind w:left="0" w:right="0" w:firstLine="480" w:firstLineChars="20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（1）合同文本及合同补充文件（条款）；</w:t>
      </w:r>
    </w:p>
    <w:p w14:paraId="4F81A1CA">
      <w:pPr>
        <w:keepNext w:val="0"/>
        <w:keepLines w:val="0"/>
        <w:pageBreakBefore w:val="0"/>
        <w:widowControl/>
        <w:kinsoku/>
        <w:wordWrap/>
        <w:overflowPunct/>
        <w:topLinePunct w:val="0"/>
        <w:autoSpaceDE w:val="0"/>
        <w:autoSpaceDN w:val="0"/>
        <w:bidi w:val="0"/>
        <w:adjustRightInd w:val="0"/>
        <w:snapToGrid/>
        <w:spacing w:line="360" w:lineRule="auto"/>
        <w:ind w:left="0" w:right="0" w:firstLine="480" w:firstLineChars="20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（2）产品的合法来源渠道证明文件、响应功能证明材料；</w:t>
      </w:r>
    </w:p>
    <w:p w14:paraId="0CC25FBD">
      <w:pPr>
        <w:keepNext w:val="0"/>
        <w:keepLines w:val="0"/>
        <w:pageBreakBefore w:val="0"/>
        <w:widowControl/>
        <w:kinsoku/>
        <w:wordWrap/>
        <w:overflowPunct/>
        <w:topLinePunct w:val="0"/>
        <w:autoSpaceDE w:val="0"/>
        <w:autoSpaceDN w:val="0"/>
        <w:bidi w:val="0"/>
        <w:adjustRightInd w:val="0"/>
        <w:snapToGrid/>
        <w:spacing w:line="360" w:lineRule="auto"/>
        <w:ind w:left="0" w:right="0" w:firstLine="480" w:firstLineChars="20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（3）招标文件；</w:t>
      </w:r>
    </w:p>
    <w:p w14:paraId="514D57BC">
      <w:pPr>
        <w:keepNext w:val="0"/>
        <w:keepLines w:val="0"/>
        <w:pageBreakBefore w:val="0"/>
        <w:widowControl/>
        <w:kinsoku/>
        <w:wordWrap/>
        <w:overflowPunct/>
        <w:topLinePunct w:val="0"/>
        <w:autoSpaceDE w:val="0"/>
        <w:autoSpaceDN w:val="0"/>
        <w:bidi w:val="0"/>
        <w:adjustRightInd w:val="0"/>
        <w:snapToGrid/>
        <w:spacing w:line="360" w:lineRule="auto"/>
        <w:ind w:left="0" w:right="0" w:firstLine="480" w:firstLineChars="20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（4）中标人的投标文件；</w:t>
      </w:r>
    </w:p>
    <w:p w14:paraId="6A10BA64">
      <w:pPr>
        <w:keepNext w:val="0"/>
        <w:keepLines w:val="0"/>
        <w:pageBreakBefore w:val="0"/>
        <w:widowControl/>
        <w:kinsoku/>
        <w:wordWrap/>
        <w:overflowPunct/>
        <w:topLinePunct w:val="0"/>
        <w:autoSpaceDE w:val="0"/>
        <w:autoSpaceDN w:val="0"/>
        <w:bidi w:val="0"/>
        <w:adjustRightInd w:val="0"/>
        <w:snapToGrid/>
        <w:spacing w:line="360" w:lineRule="auto"/>
        <w:ind w:left="0" w:right="0" w:firstLine="480" w:firstLineChars="20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（5）货物清单；</w:t>
      </w:r>
    </w:p>
    <w:p w14:paraId="5B37BC9B">
      <w:pPr>
        <w:keepNext w:val="0"/>
        <w:keepLines w:val="0"/>
        <w:pageBreakBefore w:val="0"/>
        <w:widowControl/>
        <w:kinsoku/>
        <w:wordWrap/>
        <w:overflowPunct/>
        <w:topLinePunct w:val="0"/>
        <w:autoSpaceDE w:val="0"/>
        <w:autoSpaceDN w:val="0"/>
        <w:bidi w:val="0"/>
        <w:adjustRightInd w:val="0"/>
        <w:snapToGrid/>
        <w:spacing w:line="360" w:lineRule="auto"/>
        <w:ind w:left="0" w:right="0"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snapToGrid w:val="0"/>
          <w:color w:val="000000"/>
          <w:spacing w:val="0"/>
          <w:w w:val="100"/>
          <w:kern w:val="0"/>
          <w:position w:val="0"/>
          <w:sz w:val="24"/>
          <w:szCs w:val="24"/>
          <w:lang w:val="en-US" w:eastAsia="en-US" w:bidi="ar-SA"/>
        </w:rPr>
        <w:t>（6）生产厂家的企业资质、货物的执行标准。</w:t>
      </w:r>
    </w:p>
    <w:p w14:paraId="2EFD64E5">
      <w:pPr>
        <w:spacing w:line="36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十五、</w:t>
      </w:r>
      <w:r>
        <w:rPr>
          <w:rFonts w:hint="eastAsia" w:ascii="仿宋" w:hAnsi="仿宋" w:eastAsia="仿宋" w:cs="仿宋"/>
          <w:b/>
          <w:color w:val="auto"/>
          <w:sz w:val="24"/>
          <w:szCs w:val="24"/>
          <w:highlight w:val="none"/>
          <w:lang w:val="en-US" w:eastAsia="zh-CN"/>
        </w:rPr>
        <w:t>售</w:t>
      </w:r>
      <w:r>
        <w:rPr>
          <w:rFonts w:hint="eastAsia" w:ascii="仿宋" w:hAnsi="仿宋" w:eastAsia="仿宋" w:cs="仿宋"/>
          <w:b/>
          <w:color w:val="auto"/>
          <w:sz w:val="24"/>
          <w:szCs w:val="24"/>
          <w:highlight w:val="none"/>
        </w:rPr>
        <w:t>后服务要求（提供售后服务承诺书）：</w:t>
      </w:r>
    </w:p>
    <w:p w14:paraId="70DE3F26">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1、日常维护：定期对设备和配件进行检查并排除故障。</w:t>
      </w:r>
    </w:p>
    <w:p w14:paraId="7CB1A01D">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质保期内出现异常或故障，正常工作日应在6小时内、节假日应在12小时内到达现场处理并将信息反馈采购人。如不能在48小时内排除故障，应更换备件，并负责维修，故障备件应及时修复，并做好相应的记录。如因自身技术能力不足无法修复，需委托仪器生产厂商服务的，中标人须负责相关费用。</w:t>
      </w:r>
    </w:p>
    <w:p w14:paraId="1E3E70E4">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3、质保期内出现的质量问题由中标人负责解决并承担所有费用；质保期后出现问题，中标人以优惠的价格提供。</w:t>
      </w:r>
    </w:p>
    <w:p w14:paraId="1E1E960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4、售后培训：乙方通过系统化培训，确保甲方操作人员独立掌握设备操作规范、日常维护技能及应急处理流程</w:t>
      </w:r>
    </w:p>
    <w:p w14:paraId="5584D696">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十六、保密</w:t>
      </w:r>
    </w:p>
    <w:p w14:paraId="6E9F64E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双方须对工作中了解到的使用单位技术、机密等进行严格保密，不得向他人泄漏。</w:t>
      </w:r>
    </w:p>
    <w:p w14:paraId="30FAFCD4">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十七、知识产权</w:t>
      </w:r>
    </w:p>
    <w:p w14:paraId="606954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供应商应保证</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5B48E588">
      <w:pPr>
        <w:spacing w:line="360"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十八、合同争议的解决：</w:t>
      </w:r>
      <w:r>
        <w:rPr>
          <w:rFonts w:hint="eastAsia" w:ascii="仿宋" w:hAnsi="仿宋" w:eastAsia="仿宋" w:cs="仿宋"/>
          <w:color w:val="auto"/>
          <w:sz w:val="24"/>
          <w:highlight w:val="none"/>
        </w:rPr>
        <w:t>合同执行中发生争议的，当事人双方应协商解决，协商达不成一致时，可向当地行政仲裁机关申请仲裁或者向人民法院提请诉讼。</w:t>
      </w:r>
    </w:p>
    <w:p w14:paraId="3B47C340">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十九、不可抗力事件处理</w:t>
      </w:r>
    </w:p>
    <w:p w14:paraId="5BEEC4DB">
      <w:pPr>
        <w:spacing w:line="360" w:lineRule="auto"/>
        <w:ind w:firstLine="48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1、在合同有效期内，任何一方因不可抗力事件导致不能履行合同，则合同履行期可延长，其延长期与不可抗力影响期相同。</w:t>
      </w:r>
    </w:p>
    <w:p w14:paraId="3FD6D1AB">
      <w:pPr>
        <w:spacing w:line="360" w:lineRule="auto"/>
        <w:ind w:firstLine="48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2、不可抗力事件发生后，应立即通知对方，并寄送有关权威机构出具的证明。</w:t>
      </w:r>
    </w:p>
    <w:p w14:paraId="3BC7F55D">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3、不可抗力事件延续 15 天以上，双方应通过友好协商，确定是否继续履行合同。</w:t>
      </w:r>
    </w:p>
    <w:p w14:paraId="2CAC217A">
      <w:pPr>
        <w:spacing w:line="360"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二十、</w:t>
      </w:r>
      <w:r>
        <w:rPr>
          <w:rFonts w:hint="eastAsia" w:ascii="仿宋" w:hAnsi="仿宋" w:eastAsia="仿宋" w:cs="仿宋"/>
          <w:color w:val="auto"/>
          <w:sz w:val="24"/>
          <w:highlight w:val="none"/>
        </w:rPr>
        <w:t>合同一经签订，不得擅自变更、中止或者终止合同。对确需变更、调整或者中止、终止合同的，应按规定履行相应的手续。</w:t>
      </w:r>
    </w:p>
    <w:p w14:paraId="09CD1DB4">
      <w:pPr>
        <w:spacing w:line="360"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二十一、违约责任：</w:t>
      </w:r>
      <w:r>
        <w:rPr>
          <w:rFonts w:hint="eastAsia" w:ascii="仿宋" w:hAnsi="仿宋" w:eastAsia="仿宋" w:cs="仿宋"/>
          <w:color w:val="auto"/>
          <w:sz w:val="24"/>
          <w:highlight w:val="none"/>
        </w:rPr>
        <w:t>依据《</w:t>
      </w:r>
      <w:r>
        <w:rPr>
          <w:rFonts w:hint="eastAsia" w:ascii="仿宋" w:hAnsi="仿宋" w:eastAsia="仿宋" w:cs="仿宋"/>
          <w:color w:val="auto"/>
          <w:sz w:val="24"/>
          <w:highlight w:val="none"/>
          <w:lang w:eastAsia="zh-CN"/>
        </w:rPr>
        <w:t>中华人民共和国民法典</w:t>
      </w:r>
      <w:r>
        <w:rPr>
          <w:rFonts w:hint="eastAsia" w:ascii="仿宋" w:hAnsi="仿宋" w:eastAsia="仿宋" w:cs="仿宋"/>
          <w:color w:val="auto"/>
          <w:sz w:val="24"/>
          <w:highlight w:val="none"/>
        </w:rPr>
        <w:t>》、《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06600D06">
      <w:pPr>
        <w:spacing w:line="360"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二十二、其他（</w:t>
      </w:r>
      <w:r>
        <w:rPr>
          <w:rFonts w:hint="eastAsia" w:ascii="仿宋" w:hAnsi="仿宋" w:eastAsia="仿宋" w:cs="仿宋"/>
          <w:color w:val="auto"/>
          <w:sz w:val="24"/>
          <w:highlight w:val="none"/>
        </w:rPr>
        <w:t>在合同中具体明确）</w:t>
      </w:r>
    </w:p>
    <w:p w14:paraId="3E9EF263">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二十三、合同订立</w:t>
      </w:r>
    </w:p>
    <w:p w14:paraId="52B85D55">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1、订立时间：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C908343">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2、订立地点：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5AC2BC0">
      <w:pPr>
        <w:tabs>
          <w:tab w:val="left" w:pos="980"/>
        </w:tabs>
        <w:kinsoku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3、本合同一式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份，具有同等法律效力，双方各执</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份，监管部门备案壹份、采购代理机构存档壹份。各方签字盖章后生效，合同执行完毕自动失效。（合同的服务承诺则长期有效）。</w:t>
      </w:r>
    </w:p>
    <w:p w14:paraId="4DABBB66">
      <w:pPr>
        <w:tabs>
          <w:tab w:val="left" w:pos="980"/>
        </w:tabs>
        <w:kinsoku w:val="0"/>
        <w:spacing w:line="580" w:lineRule="exact"/>
        <w:ind w:firstLine="480" w:firstLineChars="200"/>
        <w:rPr>
          <w:rFonts w:hint="eastAsia" w:ascii="仿宋" w:hAnsi="仿宋" w:eastAsia="仿宋" w:cs="仿宋"/>
          <w:color w:val="auto"/>
          <w:sz w:val="24"/>
          <w:highlight w:val="none"/>
        </w:rPr>
      </w:pPr>
    </w:p>
    <w:p w14:paraId="08D0DEBA">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w:t>
      </w:r>
      <w:bookmarkStart w:id="1" w:name="OLE_LINK5"/>
      <w:r>
        <w:rPr>
          <w:rFonts w:hint="eastAsia" w:ascii="仿宋" w:hAnsi="仿宋" w:eastAsia="仿宋" w:cs="仿宋"/>
          <w:color w:val="auto"/>
          <w:sz w:val="24"/>
          <w:highlight w:val="none"/>
          <w:u w:val="single"/>
        </w:rPr>
        <w:t xml:space="preserve">   （盖章）         </w:t>
      </w:r>
      <w:r>
        <w:rPr>
          <w:rFonts w:hint="eastAsia" w:ascii="仿宋" w:hAnsi="仿宋" w:eastAsia="仿宋" w:cs="仿宋"/>
          <w:color w:val="auto"/>
          <w:sz w:val="24"/>
          <w:highlight w:val="none"/>
        </w:rPr>
        <w:t xml:space="preserve"> </w:t>
      </w:r>
      <w:bookmarkEnd w:id="1"/>
      <w:r>
        <w:rPr>
          <w:rFonts w:hint="eastAsia" w:ascii="仿宋" w:hAnsi="仿宋" w:eastAsia="仿宋" w:cs="仿宋"/>
          <w:color w:val="auto"/>
          <w:sz w:val="24"/>
          <w:highlight w:val="none"/>
        </w:rPr>
        <w:t xml:space="preserve">     供应商：</w:t>
      </w:r>
      <w:r>
        <w:rPr>
          <w:rFonts w:hint="eastAsia" w:ascii="仿宋" w:hAnsi="仿宋" w:eastAsia="仿宋" w:cs="仿宋"/>
          <w:color w:val="auto"/>
          <w:sz w:val="24"/>
          <w:highlight w:val="none"/>
          <w:u w:val="single"/>
        </w:rPr>
        <w:t xml:space="preserve">   （盖章）         </w:t>
      </w:r>
      <w:r>
        <w:rPr>
          <w:rFonts w:hint="eastAsia" w:ascii="仿宋" w:hAnsi="仿宋" w:eastAsia="仿宋" w:cs="仿宋"/>
          <w:color w:val="auto"/>
          <w:sz w:val="24"/>
          <w:highlight w:val="none"/>
        </w:rPr>
        <w:t xml:space="preserve"> </w:t>
      </w:r>
    </w:p>
    <w:p w14:paraId="33161F23">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  址：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地  址： </w:t>
      </w:r>
      <w:r>
        <w:rPr>
          <w:rFonts w:hint="eastAsia" w:ascii="仿宋" w:hAnsi="仿宋" w:eastAsia="仿宋" w:cs="仿宋"/>
          <w:color w:val="auto"/>
          <w:sz w:val="24"/>
          <w:highlight w:val="none"/>
          <w:u w:val="single"/>
        </w:rPr>
        <w:t xml:space="preserve">                   </w:t>
      </w:r>
    </w:p>
    <w:p w14:paraId="0737E690">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邮政编码：</w:t>
      </w:r>
      <w:r>
        <w:rPr>
          <w:rFonts w:hint="eastAsia" w:ascii="仿宋" w:hAnsi="仿宋" w:eastAsia="仿宋" w:cs="仿宋"/>
          <w:color w:val="auto"/>
          <w:sz w:val="24"/>
          <w:highlight w:val="none"/>
          <w:u w:val="single"/>
        </w:rPr>
        <w:t xml:space="preserve">                  </w:t>
      </w:r>
    </w:p>
    <w:p w14:paraId="0A9586D8">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                法定代表人或其授权</w:t>
      </w:r>
    </w:p>
    <w:p w14:paraId="1C2BF195">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的代理人：</w:t>
      </w:r>
      <w:r>
        <w:rPr>
          <w:rFonts w:hint="eastAsia" w:ascii="仿宋" w:hAnsi="仿宋" w:eastAsia="仿宋" w:cs="仿宋"/>
          <w:color w:val="auto"/>
          <w:sz w:val="24"/>
          <w:highlight w:val="none"/>
          <w:u w:val="single"/>
        </w:rPr>
        <w:t xml:space="preserve">（签字）          </w:t>
      </w:r>
      <w:r>
        <w:rPr>
          <w:rFonts w:hint="eastAsia" w:ascii="仿宋" w:hAnsi="仿宋" w:eastAsia="仿宋" w:cs="仿宋"/>
          <w:color w:val="auto"/>
          <w:sz w:val="24"/>
          <w:highlight w:val="none"/>
        </w:rPr>
        <w:t xml:space="preserve">      的代理人：</w:t>
      </w:r>
      <w:r>
        <w:rPr>
          <w:rFonts w:hint="eastAsia" w:ascii="仿宋" w:hAnsi="仿宋" w:eastAsia="仿宋" w:cs="仿宋"/>
          <w:color w:val="auto"/>
          <w:sz w:val="24"/>
          <w:highlight w:val="none"/>
          <w:u w:val="single"/>
        </w:rPr>
        <w:t xml:space="preserve">（签字）          </w:t>
      </w:r>
    </w:p>
    <w:p w14:paraId="56035FD9">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开户银行：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2301F4BE">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账  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77E244B1">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  话：</w:t>
      </w:r>
      <w:r>
        <w:rPr>
          <w:rFonts w:hint="eastAsia" w:ascii="仿宋" w:hAnsi="仿宋" w:eastAsia="仿宋" w:cs="仿宋"/>
          <w:color w:val="auto"/>
          <w:sz w:val="24"/>
          <w:highlight w:val="none"/>
          <w:u w:val="single"/>
        </w:rPr>
        <w:t xml:space="preserve">                    </w:t>
      </w:r>
    </w:p>
    <w:p w14:paraId="2DFCE4FA">
      <w:pPr>
        <w:adjustRightInd w:val="0"/>
        <w:snapToGrid w:val="0"/>
        <w:spacing w:line="360" w:lineRule="auto"/>
        <w:ind w:firstLine="475" w:firstLineChars="198"/>
        <w:rPr>
          <w:rFonts w:hint="eastAsia" w:ascii="仿宋" w:hAnsi="仿宋" w:eastAsia="仿宋" w:cs="仿宋"/>
          <w:color w:val="auto"/>
          <w:sz w:val="24"/>
          <w:highlight w:val="none"/>
        </w:rPr>
      </w:pPr>
      <w:r>
        <w:rPr>
          <w:rFonts w:hint="eastAsia" w:ascii="仿宋" w:hAnsi="仿宋" w:eastAsia="仿宋" w:cs="仿宋"/>
          <w:color w:val="auto"/>
          <w:sz w:val="24"/>
          <w:highlight w:val="none"/>
        </w:rPr>
        <w:t>传  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  真：</w:t>
      </w:r>
      <w:r>
        <w:rPr>
          <w:rFonts w:hint="eastAsia" w:ascii="仿宋" w:hAnsi="仿宋" w:eastAsia="仿宋" w:cs="仿宋"/>
          <w:color w:val="auto"/>
          <w:sz w:val="24"/>
          <w:highlight w:val="none"/>
          <w:u w:val="single"/>
        </w:rPr>
        <w:t xml:space="preserve">                    </w:t>
      </w:r>
    </w:p>
    <w:p w14:paraId="2589EDFE">
      <w:pPr>
        <w:adjustRightInd w:val="0"/>
        <w:snapToGrid w:val="0"/>
        <w:spacing w:line="360" w:lineRule="auto"/>
        <w:ind w:firstLine="475" w:firstLineChars="198"/>
      </w:pPr>
      <w:r>
        <w:rPr>
          <w:rFonts w:hint="eastAsia" w:ascii="仿宋" w:hAnsi="仿宋" w:eastAsia="仿宋" w:cs="仿宋"/>
          <w:color w:val="auto"/>
          <w:sz w:val="24"/>
          <w:highlight w:val="none"/>
        </w:rPr>
        <w:t>电子邮箱：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电子邮箱：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sectPr>
      <w:pgSz w:w="11906" w:h="16838"/>
      <w:pgMar w:top="1440" w:right="1293" w:bottom="1440" w:left="1293"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036E04"/>
    <w:multiLevelType w:val="singleLevel"/>
    <w:tmpl w:val="57036E04"/>
    <w:lvl w:ilvl="0" w:tentative="0">
      <w:start w:val="1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70353"/>
    <w:rsid w:val="42900ABE"/>
    <w:rsid w:val="614B7A38"/>
    <w:rsid w:val="72470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123" w:right="5"/>
      <w:jc w:val="center"/>
      <w:outlineLvl w:val="1"/>
    </w:pPr>
    <w:rPr>
      <w:rFonts w:ascii="宋体" w:hAnsi="宋体" w:eastAsia="宋体" w:cs="宋体"/>
      <w:sz w:val="72"/>
      <w:szCs w:val="72"/>
      <w:lang w:val="zh-CN" w:eastAsia="zh-CN" w:bidi="zh-CN"/>
    </w:rPr>
  </w:style>
  <w:style w:type="paragraph" w:styleId="3">
    <w:name w:val="heading 2"/>
    <w:basedOn w:val="1"/>
    <w:next w:val="4"/>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5">
    <w:name w:val="heading 3"/>
    <w:basedOn w:val="1"/>
    <w:next w:val="1"/>
    <w:qFormat/>
    <w:uiPriority w:val="1"/>
    <w:pPr>
      <w:spacing w:before="37"/>
      <w:ind w:left="123" w:right="5"/>
      <w:jc w:val="center"/>
      <w:outlineLvl w:val="3"/>
    </w:pPr>
    <w:rPr>
      <w:rFonts w:ascii="宋体" w:hAnsi="宋体" w:eastAsia="宋体" w:cs="宋体"/>
      <w:b/>
      <w:bCs/>
      <w:sz w:val="32"/>
      <w:szCs w:val="32"/>
      <w:lang w:val="zh-CN" w:eastAsia="zh-CN" w:bidi="zh-CN"/>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qFormat/>
    <w:uiPriority w:val="1"/>
    <w:rPr>
      <w:rFonts w:ascii="宋体" w:hAnsi="宋体" w:eastAsia="宋体" w:cs="宋体"/>
      <w:sz w:val="24"/>
      <w:szCs w:val="24"/>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4106</Words>
  <Characters>4134</Characters>
  <Lines>0</Lines>
  <Paragraphs>0</Paragraphs>
  <TotalTime>2</TotalTime>
  <ScaleCrop>false</ScaleCrop>
  <LinksUpToDate>false</LinksUpToDate>
  <CharactersWithSpaces>4835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2026-05-29T06:34:00Z</dcterms:created>
  <dc:creator>1</dc:creator>
  <cp:lastModifiedBy>1</cp:lastModifiedBy>
  <dcterms:modified xsi:type="dcterms:W3CDTF">2026-06-03T03:22:07Z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4743EA9458D34E40AC6C90443FFF8F1B_11</vt:lpwstr>
  </property>
  <property fmtid="{D5CDD505-2E9C-101B-9397-08002B2CF9AE}" pid="4" name="KSOTemplateDocerSaveRecord">
    <vt:lpwstr>eyJoZGlkIjoiODRmYTJiMTU4NzdjYWYzYmRkYjJkZmQ3NzRjMmFjZTYiLCJ1c2VySWQiOiIyMDgzMTU5MTgifQ==</vt:lpwstr>
  </property>
</Properties>
</file>