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版本号：JZZB2026-104920260708002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2026年八一、2027年春节军休干部慰问品采购项目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JZZB2026-1049</w:t>
      </w:r>
      <w:r>
        <w:br/>
      </w:r>
      <w:r>
        <w:br/>
      </w:r>
      <w:r>
        <w:br/>
      </w:r>
    </w:p>
    <w:p>
      <w:pPr>
        <w:pStyle w:val="null3"/>
        <w:jc w:val="center"/>
        <w:outlineLvl w:val="2"/>
      </w:pPr>
      <w:r>
        <w:rPr>
          <w:rFonts w:ascii="仿宋_GB2312" w:hAnsi="仿宋_GB2312" w:cs="仿宋_GB2312" w:eastAsia="仿宋_GB2312"/>
          <w:sz w:val="28"/>
          <w:b/>
        </w:rPr>
        <w:t>西安市杨家村第三军队离休退休干部休养所</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西安市杨家村第三军队离休退休干部休养所</w:t>
      </w:r>
      <w:r>
        <w:rPr>
          <w:rFonts w:ascii="仿宋_GB2312" w:hAnsi="仿宋_GB2312" w:cs="仿宋_GB2312" w:eastAsia="仿宋_GB2312"/>
        </w:rPr>
        <w:t>委托，拟对</w:t>
      </w:r>
      <w:r>
        <w:rPr>
          <w:rFonts w:ascii="仿宋_GB2312" w:hAnsi="仿宋_GB2312" w:cs="仿宋_GB2312" w:eastAsia="仿宋_GB2312"/>
        </w:rPr>
        <w:t>2026年八一、2027年春节军休干部慰问品采购项目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JZZB2026-1049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2026年八一、2027年春节军休干部慰问品采购项目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西安市杨家村第三军队离休退休干部休养所拟对军休干部2026年八一、2027年春节慰问品进行采购，预计为670名军休干部采购慰问品米面油等副食。本项目核心产品为食用油。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2、财务状况报告：供应商2025年度经审计的财务报告或响应截止时间前三个月内其基本开户银行出具的资信证明及账户开户许可证明材料或财政部门认可的政府采购专业担保机构开具的投标担保函（任选其一）</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5、专业技术能力的声明：提供具有履行本合同所必需的设备和专业技术能力的说明及承诺；(提供书面说明及承诺，加盖供应商公章)</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7、许可证明：供应商为生产厂家的须提供《食品生产许可证》；代理商须提供本单位《食品经营许可证》或《预包装食品经营者备案表》。</w:t>
      </w:r>
    </w:p>
    <w:p>
      <w:pPr>
        <w:pStyle w:val="null3"/>
      </w:pPr>
      <w:r>
        <w:rPr>
          <w:rFonts w:ascii="仿宋_GB2312" w:hAnsi="仿宋_GB2312" w:cs="仿宋_GB2312" w:eastAsia="仿宋_GB2312"/>
        </w:rPr>
        <w:t>8、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9、关联关系说明：单位负责人为同一人或者存在直接控股、管理关系的不同供应商，不得参加同一合同项下的采购活动</w:t>
      </w:r>
    </w:p>
    <w:p>
      <w:pPr>
        <w:pStyle w:val="null3"/>
      </w:pPr>
      <w:r>
        <w:rPr>
          <w:rFonts w:ascii="仿宋_GB2312" w:hAnsi="仿宋_GB2312" w:cs="仿宋_GB2312" w:eastAsia="仿宋_GB2312"/>
        </w:rPr>
        <w:t>10、法定代表人授权委托书：法定代表人或单位负责人参与谈判的，应提供法定代表人或单位负责人身份证明；授权代表参与谈判的，应提供法定代表人或单位负责人身份证明、授权委托书及授权代表在本单位缴纳养老保险证明</w:t>
      </w:r>
    </w:p>
    <w:p>
      <w:pPr>
        <w:pStyle w:val="null3"/>
      </w:pPr>
      <w:r>
        <w:rPr>
          <w:rFonts w:ascii="仿宋_GB2312" w:hAnsi="仿宋_GB2312" w:cs="仿宋_GB2312" w:eastAsia="仿宋_GB2312"/>
        </w:rPr>
        <w:t>11、非联合体：本项目不接受联合体谈判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西安市杨家村第三军队离休退休干部休养所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29-85493560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18302930046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代理服务费收费标准：1、中标/成交供应商应向采购代理机构支付招标代理服务费。招标代理服务费参照《国家计委关于印发&lt;招标代理服务收费管理暂行办法&gt;的通知》（计价格〔2002〕1980号）规定标准收取。 2、中标/成交单位在领取成交通知书前，须向采购代理机构一次性支付招标代理服务费。招标代理服务费缴存账户：缴纳账户如下： 名 称：陕西金字招标有限责任公司 开户行：陕西秦农农村商业银行永乐路支行 账 号：2701131901201000006934。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西安市杨家村第三军队离休退休干部休养所</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西安市杨家村第三军队离休退休干部休养所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西安市杨家村第三军队离休退休干部休养所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陕西金字招标有限责任公司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联系电话：18302930046</w:t>
      </w:r>
    </w:p>
    <w:p>
      <w:pPr>
        <w:pStyle w:val="null3"/>
      </w:pPr>
      <w:r>
        <w:rPr>
          <w:rFonts w:ascii="仿宋_GB2312" w:hAnsi="仿宋_GB2312" w:cs="仿宋_GB2312" w:eastAsia="仿宋_GB2312"/>
        </w:rPr>
        <w:t>地址：西安市碑林区更新街13号铭爵大厦7楼</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西安市杨家村第三军队离休退休干部休养所拟对军休干部2026年八一、2027年春节慰问品进行采购，预计为670名军休干部采购慰问品米面油等副食。本项目核心产品为食用油。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670,000.00</w:t>
      </w:r>
    </w:p>
    <w:p>
      <w:pPr>
        <w:pStyle w:val="null3"/>
      </w:pPr>
      <w:r>
        <w:rPr>
          <w:rFonts w:ascii="仿宋_GB2312" w:hAnsi="仿宋_GB2312" w:cs="仿宋_GB2312" w:eastAsia="仿宋_GB2312"/>
        </w:rPr>
        <w:t>采购包最高限价（元）: 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杨三所2026年八一.2027年春节军休干部慰问品采购项目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标的名称：杨三所2026年八一.2027年春节军休干部慰问品采购项目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交货期：自合同签订之日起至所有货物供货完成之日止。货物分批次配送，批次不定，每次接到采购人通知2日内完成备货配送。节日专项配送时限要求：①八一慰问品：八一建军节前8个自然日完成所有省内各军休点上门配送、省外快递揽收邮寄；节前3个自然日完成全部老干部现场领取、高龄独居干部入户派送、省外邮寄签收工作；②春节慰问品：2027年1月25日至2027年2月4日保障快递正常派送，节前全部配送、邮寄发放到位。若日常分批配送时间与节日集中交付节点冲突，以节日截止配送时间为履约最高标准。</w:t>
                  </w:r>
                </w:p>
                <w:p>
                  <w:pPr>
                    <w:pStyle w:val="null3"/>
                  </w:pPr>
                  <w:r>
                    <w:rPr>
                      <w:rFonts w:ascii="仿宋_GB2312" w:hAnsi="仿宋_GB2312" w:cs="仿宋_GB2312" w:eastAsia="仿宋_GB2312"/>
                      <w:sz w:val="19"/>
                    </w:rPr>
                    <w:t>2、货物交付要求：最终交货地点为接到采购人通知后分批配送至各军休点，部分货品须省市内外邮寄。（参照往年配送方式及数量分为两种配送方式：一是邮寄方式，八一及春节，每次配送量约省市内 300 份左右，即两个节日共计约600份，省外100份左右，即两个节日共计约200份，二是集中点配送方式，包含红缨花园、杨三所所院内、陆院安置点、临潼新疗、省军区1号院等）做好领取签字台账，相关物流成本含在谈判报价内，不再另行计费。</w:t>
                  </w:r>
                </w:p>
                <w:p>
                  <w:pPr>
                    <w:pStyle w:val="null3"/>
                  </w:pPr>
                  <w:r>
                    <w:rPr>
                      <w:rFonts w:ascii="仿宋_GB2312" w:hAnsi="仿宋_GB2312" w:cs="仿宋_GB2312" w:eastAsia="仿宋_GB2312"/>
                      <w:sz w:val="19"/>
                    </w:rPr>
                    <w:t>邮寄配送要求：货物配送须选用具备全国直营网点、上门揽收与末端派送时效稳定、丢件破损全额保价赔付、节假日正常派送的品牌快递服务商。参照服务标杆：顺丰速运、京东物流，投标人选用其他快递企业需同时满足以下同等标准：全国直营网点、全程物流轨迹可查、破损丢件全额赔付、节日无停运，并在谈判响应文件中附拟选用快递的服务方案、网点覆盖、时效、赔付机制说明。</w:t>
                  </w:r>
                </w:p>
                <w:p>
                  <w:pPr>
                    <w:pStyle w:val="null3"/>
                  </w:pPr>
                  <w:r>
                    <w:rPr>
                      <w:rFonts w:ascii="仿宋_GB2312" w:hAnsi="仿宋_GB2312" w:cs="仿宋_GB2312" w:eastAsia="仿宋_GB2312"/>
                      <w:sz w:val="19"/>
                    </w:rPr>
                    <w:t>采购人有权根据物资紧急程度，要求成交供应商在履约阶段切换至同等标准的备选物流渠道，切换产生的人工、物流加急等全部成本由成交供应商自行承担，因渠道切换导致配送延误、无法按期送达的，由供应商承担全部违约赔偿责任。</w:t>
                  </w:r>
                </w:p>
                <w:p>
                  <w:pPr>
                    <w:pStyle w:val="null3"/>
                  </w:pPr>
                  <w:r>
                    <w:rPr>
                      <w:rFonts w:ascii="仿宋_GB2312" w:hAnsi="仿宋_GB2312" w:cs="仿宋_GB2312" w:eastAsia="仿宋_GB2312"/>
                      <w:sz w:val="19"/>
                    </w:rPr>
                    <w:t>3、质保期：供应商须在谈判响应文件中列明所有产品原厂标准质保期限。每批次货物自实际交付采购人当日起完整计算质保期，交付时剩余质保期不得低于原厂总质保期的2/3；因破损补发、老干部健康换货产生的替换商品，自更换交付当日重新计算完整质保期。</w:t>
                  </w:r>
                </w:p>
                <w:p>
                  <w:pPr>
                    <w:pStyle w:val="null3"/>
                  </w:pPr>
                  <w:r>
                    <w:rPr>
                      <w:rFonts w:ascii="仿宋_GB2312" w:hAnsi="仿宋_GB2312" w:cs="仿宋_GB2312" w:eastAsia="仿宋_GB2312"/>
                      <w:sz w:val="19"/>
                    </w:rPr>
                    <w:t>4、包装要求：独立包装，便于运输储存，外包符合国家食品包装规范。</w:t>
                  </w:r>
                </w:p>
                <w:p>
                  <w:pPr>
                    <w:pStyle w:val="null3"/>
                  </w:pPr>
                  <w:r>
                    <w:rPr>
                      <w:rFonts w:ascii="仿宋_GB2312" w:hAnsi="仿宋_GB2312" w:cs="仿宋_GB2312" w:eastAsia="仿宋_GB2312"/>
                      <w:sz w:val="19"/>
                    </w:rPr>
                    <w:t>5、质量要求：严格按照《中华人民共和国食品安全法》的规定保证质量。严禁添加剂、防腐剂和一些可能危害身体健康的元素含量超标。由于产品质量引起的一切责任由供货商承担，采购人有权终止合同。</w:t>
                  </w:r>
                </w:p>
                <w:p>
                  <w:pPr>
                    <w:pStyle w:val="null3"/>
                  </w:pPr>
                  <w:r>
                    <w:rPr>
                      <w:rFonts w:ascii="仿宋_GB2312" w:hAnsi="仿宋_GB2312" w:cs="仿宋_GB2312" w:eastAsia="仿宋_GB2312"/>
                      <w:sz w:val="19"/>
                    </w:rPr>
                    <w:t>6、必须提供具有注册商标的商品，有生产厂家，独立包装的商品（拒绝分装、散装商品）；必须符合《中华人民共和国食品安全法》要求的商品。</w:t>
                  </w:r>
                </w:p>
                <w:p>
                  <w:pPr>
                    <w:pStyle w:val="null3"/>
                  </w:pPr>
                  <w:r>
                    <w:rPr>
                      <w:rFonts w:ascii="仿宋_GB2312" w:hAnsi="仿宋_GB2312" w:cs="仿宋_GB2312" w:eastAsia="仿宋_GB2312"/>
                      <w:sz w:val="19"/>
                    </w:rPr>
                    <w:t>7、供应商需具备符合食品存放标准的独立仓储场地，具备恒温、防潮、避光、分区隔离、防过期管控设施，并提供产权/租赁证明、仓储环境实拍、仓储管理制度等全套证明文件。</w:t>
                  </w:r>
                </w:p>
                <w:p>
                  <w:pPr>
                    <w:pStyle w:val="null3"/>
                  </w:pPr>
                  <w:r>
                    <w:rPr>
                      <w:rFonts w:ascii="仿宋_GB2312" w:hAnsi="仿宋_GB2312" w:cs="仿宋_GB2312" w:eastAsia="仿宋_GB2312"/>
                      <w:sz w:val="19"/>
                    </w:rPr>
                    <w:t>8、验收：合同签订后，乙方提供满足甲方要求数量的货物，统一存放于乙方合规仓储地，甲方按不低于10%比例现场抽样验收，验收合格后统一封货；验收不合格商品乙方须3日内完成更换补货，产生全部费用由乙方承担。后期根据甲方供货需求分批配送至各军休点，每批次送达点位后甲乙双方现场清点二次验收，短缺、变质、破损货品乙方当场补发更换。</w:t>
                  </w:r>
                </w:p>
                <w:p>
                  <w:pPr>
                    <w:pStyle w:val="null3"/>
                  </w:pPr>
                  <w:r>
                    <w:rPr>
                      <w:rFonts w:ascii="仿宋_GB2312" w:hAnsi="仿宋_GB2312" w:cs="仿宋_GB2312" w:eastAsia="仿宋_GB2312"/>
                      <w:sz w:val="19"/>
                    </w:rPr>
                    <w:t>9、成交供应商须针对本次慰问品，提供老干部个人健康原因等值调配换货服务：如领取慰问品的离退休老干部因糖尿病、高血压、饮食忌口、体质不适等个人健康因素，无法食用/使用原定慰问品，可由采购人统一收集换货申请后提交供应商办理。换货规则：更换商品市场定价与原慰问品单价完全等值，不得要求老干部额外加价，也不得更换低于原价值的商品。换货产生的往返快递、分拣、人工全部费用由供应商承担，包含在谈判总报价内；供应商收到采购人换货清单后3个工作日内完成更换交付；若对应商品库存不足，须提供不少于3款同价值备选商品供采购人选择。供应商须出具书面换货服务承诺，未按期完成换货造成老干部无法按时领取慰问品的，供应商承担相应违约责任。</w:t>
                  </w:r>
                </w:p>
                <w:p>
                  <w:pPr>
                    <w:pStyle w:val="null3"/>
                  </w:pPr>
                  <w:r>
                    <w:rPr>
                      <w:rFonts w:ascii="仿宋_GB2312" w:hAnsi="仿宋_GB2312" w:cs="仿宋_GB2312" w:eastAsia="仿宋_GB2312"/>
                      <w:sz w:val="19"/>
                    </w:rPr>
                    <w:t>10、违约责任：1.供应商未按八一、春节节日规定时限完成配送邮寄、发放签收的，每逾期1日按合同总金额0.5%支付违约金；逾期超过3日，采购人有权解除合同并要求赔偿全部损失。2.产品存在质量不达标、三无分装、临期等问题，采购人可拒收，供应商需双倍更换货物，并承担由此产生的全部损失。3.物流大面积延误、丢件造成慰问品无法按时发放，供应商除加急补发外，还需承担对应慰问品等值补偿。</w:t>
                  </w:r>
                </w:p>
              </w:tc>
            </w:tr>
            <w:tr>
              <w:tc>
                <w:tcPr>
                  <w:tcW w:type="dxa" w:w="2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20"/>
                    <w:jc w:val="left"/>
                  </w:pPr>
                  <w:r>
                    <w:rPr>
                      <w:rFonts w:ascii="仿宋_GB2312" w:hAnsi="仿宋_GB2312" w:cs="仿宋_GB2312" w:eastAsia="仿宋_GB2312"/>
                      <w:sz w:val="24"/>
                      <w:b/>
                      <w:color w:val="000000"/>
                    </w:rPr>
                    <w:t>产品技术参数要求：</w:t>
                  </w:r>
                </w:p>
                <w:tbl>
                  <w:tblPr>
                    <w:tblBorders>
                      <w:top w:val="none" w:color="000000" w:sz="4"/>
                      <w:left w:val="none" w:color="000000" w:sz="4"/>
                      <w:bottom w:val="none" w:color="000000" w:sz="4"/>
                      <w:right w:val="none" w:color="000000" w:sz="4"/>
                      <w:insideH w:val="none"/>
                      <w:insideV w:val="none"/>
                    </w:tblBorders>
                  </w:tblPr>
                  <w:tblGrid>
                    <w:gridCol w:w="263"/>
                    <w:gridCol w:w="278"/>
                    <w:gridCol w:w="2065"/>
                    <w:gridCol w:w="309"/>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参数要求</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食用油</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1、油酸标注：油酸含量≥75%（75+系列）</w:t>
                        </w:r>
                      </w:p>
                      <w:p>
                        <w:pPr>
                          <w:pStyle w:val="null3"/>
                        </w:pPr>
                        <w:r>
                          <w:rPr>
                            <w:rFonts w:ascii="仿宋_GB2312" w:hAnsi="仿宋_GB2312" w:cs="仿宋_GB2312" w:eastAsia="仿宋_GB2312"/>
                            <w:sz w:val="21"/>
                          </w:rPr>
                          <w:t>2、净含量：5升/桶</w:t>
                        </w:r>
                      </w:p>
                      <w:p>
                        <w:pPr>
                          <w:pStyle w:val="null3"/>
                        </w:pPr>
                        <w:r>
                          <w:rPr>
                            <w:rFonts w:ascii="仿宋_GB2312" w:hAnsi="仿宋_GB2312" w:cs="仿宋_GB2312" w:eastAsia="仿宋_GB2312"/>
                            <w:sz w:val="21"/>
                          </w:rPr>
                          <w:t>3、加工等级：压榨一级</w:t>
                        </w:r>
                      </w:p>
                      <w:p>
                        <w:pPr>
                          <w:pStyle w:val="null3"/>
                        </w:pPr>
                        <w:r>
                          <w:rPr>
                            <w:rFonts w:ascii="仿宋_GB2312" w:hAnsi="仿宋_GB2312" w:cs="仿宋_GB2312" w:eastAsia="仿宋_GB2312"/>
                            <w:sz w:val="21"/>
                          </w:rPr>
                          <w:t>4、配料：100%花生压榨油</w:t>
                        </w:r>
                      </w:p>
                      <w:p>
                        <w:pPr>
                          <w:pStyle w:val="null3"/>
                        </w:pPr>
                        <w:r>
                          <w:rPr>
                            <w:rFonts w:ascii="仿宋_GB2312" w:hAnsi="仿宋_GB2312" w:cs="仿宋_GB2312" w:eastAsia="仿宋_GB2312"/>
                            <w:sz w:val="21"/>
                          </w:rPr>
                          <w:t>5、无其他油脂勾兑，非转基因，去除黄曲霉毒素技术</w:t>
                        </w:r>
                      </w:p>
                      <w:p>
                        <w:pPr>
                          <w:pStyle w:val="null3"/>
                        </w:pPr>
                        <w:r>
                          <w:rPr>
                            <w:rFonts w:ascii="仿宋_GB2312" w:hAnsi="仿宋_GB2312" w:cs="仿宋_GB2312" w:eastAsia="仿宋_GB2312"/>
                            <w:sz w:val="21"/>
                          </w:rPr>
                          <w:t>6、执行标准：GB/T 1534 花生油国标</w:t>
                        </w:r>
                      </w:p>
                      <w:p>
                        <w:pPr>
                          <w:pStyle w:val="null3"/>
                        </w:pPr>
                        <w:r>
                          <w:rPr>
                            <w:rFonts w:ascii="仿宋_GB2312" w:hAnsi="仿宋_GB2312" w:cs="仿宋_GB2312" w:eastAsia="仿宋_GB2312"/>
                            <w:sz w:val="21"/>
                          </w:rPr>
                          <w:t>7、交货质保要求：到货时产品剩余保质期≥18个月（不低于总保质期2/3）；无胀桶、渗漏、包装破损、过期产品。储存条件：阴凉避光密封存放，避免高温暴晒；</w:t>
                        </w:r>
                      </w:p>
                      <w:p>
                        <w:pPr>
                          <w:pStyle w:val="null3"/>
                        </w:pPr>
                        <w:r>
                          <w:rPr>
                            <w:rFonts w:ascii="仿宋_GB2312" w:hAnsi="仿宋_GB2312" w:cs="仿宋_GB2312" w:eastAsia="仿宋_GB2312"/>
                            <w:sz w:val="21"/>
                          </w:rPr>
                          <w:t>8、包装规格：食品级PET加厚5L手提桶，防盗螺旋密封盖，防渗漏；</w:t>
                        </w:r>
                      </w:p>
                      <w:p>
                        <w:pPr>
                          <w:pStyle w:val="null3"/>
                        </w:pPr>
                        <w:r>
                          <w:rPr>
                            <w:rFonts w:ascii="仿宋_GB2312" w:hAnsi="仿宋_GB2312" w:cs="仿宋_GB2312" w:eastAsia="仿宋_GB2312"/>
                            <w:sz w:val="21"/>
                          </w:rPr>
                          <w:t>9、标签强制信息：清晰印刷“高油酸”、油酸≥75%。</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1340份</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大米</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1、符合GB1354-2018《大米》、GB/T19266及GB/T1354，等国家标准一级及以上要求；五常大米、净含量：5公斤</w:t>
                        </w:r>
                      </w:p>
                      <w:p>
                        <w:pPr>
                          <w:pStyle w:val="null3"/>
                          <w:jc w:val="left"/>
                        </w:pPr>
                        <w:r>
                          <w:rPr>
                            <w:rFonts w:ascii="仿宋_GB2312" w:hAnsi="仿宋_GB2312" w:cs="仿宋_GB2312" w:eastAsia="仿宋_GB2312"/>
                            <w:sz w:val="21"/>
                          </w:rPr>
                          <w:t>2、真空包装形式为密封式双面覆膜袋；</w:t>
                        </w:r>
                      </w:p>
                      <w:p>
                        <w:pPr>
                          <w:pStyle w:val="null3"/>
                          <w:jc w:val="left"/>
                        </w:pPr>
                        <w:r>
                          <w:rPr>
                            <w:rFonts w:ascii="仿宋_GB2312" w:hAnsi="仿宋_GB2312" w:cs="仿宋_GB2312" w:eastAsia="仿宋_GB2312"/>
                            <w:sz w:val="21"/>
                          </w:rPr>
                          <w:t>3、米粒饱满均匀，色泽清白透明，非陈米，无黄粒、无霉变、无虫害、无杂质。</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1340份</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面粉</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1、净含量≥5KG；</w:t>
                        </w:r>
                      </w:p>
                      <w:p>
                        <w:pPr>
                          <w:pStyle w:val="null3"/>
                          <w:jc w:val="left"/>
                        </w:pPr>
                        <w:r>
                          <w:rPr>
                            <w:rFonts w:ascii="仿宋_GB2312" w:hAnsi="仿宋_GB2312" w:cs="仿宋_GB2312" w:eastAsia="仿宋_GB2312"/>
                            <w:sz w:val="21"/>
                          </w:rPr>
                          <w:t>2、执行标准：GB/T 1355；</w:t>
                        </w:r>
                      </w:p>
                      <w:p>
                        <w:pPr>
                          <w:pStyle w:val="null3"/>
                          <w:jc w:val="left"/>
                        </w:pPr>
                        <w:r>
                          <w:rPr>
                            <w:rFonts w:ascii="仿宋_GB2312" w:hAnsi="仿宋_GB2312" w:cs="仿宋_GB2312" w:eastAsia="仿宋_GB2312"/>
                            <w:sz w:val="21"/>
                          </w:rPr>
                          <w:t>3、质量等级：一级；</w:t>
                        </w:r>
                      </w:p>
                      <w:p>
                        <w:pPr>
                          <w:pStyle w:val="null3"/>
                          <w:jc w:val="left"/>
                        </w:pPr>
                        <w:r>
                          <w:rPr>
                            <w:rFonts w:ascii="仿宋_GB2312" w:hAnsi="仿宋_GB2312" w:cs="仿宋_GB2312" w:eastAsia="仿宋_GB2312"/>
                            <w:sz w:val="21"/>
                          </w:rPr>
                          <w:t>4、无违规添加、无霉变、无虫蛀。</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1340份</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蜂蜜礼盒</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品类独立包装</w:t>
                        </w:r>
                        <w:r>
                          <w:br/>
                        </w:r>
                        <w:r>
                          <w:rPr>
                            <w:rFonts w:ascii="仿宋_GB2312" w:hAnsi="仿宋_GB2312" w:cs="仿宋_GB2312" w:eastAsia="仿宋_GB2312"/>
                            <w:sz w:val="21"/>
                          </w:rPr>
                          <w:t>2、液体类塑料瓶包装</w:t>
                        </w:r>
                        <w:r>
                          <w:br/>
                        </w:r>
                        <w:r>
                          <w:rPr>
                            <w:rFonts w:ascii="仿宋_GB2312" w:hAnsi="仿宋_GB2312" w:cs="仿宋_GB2312" w:eastAsia="仿宋_GB2312"/>
                            <w:sz w:val="21"/>
                          </w:rPr>
                          <w:t>3、执行GB14963成熟蜂蜜标准,无果葡糖浆掺假</w:t>
                        </w:r>
                      </w:p>
                      <w:p>
                        <w:pPr>
                          <w:pStyle w:val="null3"/>
                          <w:numPr>
                            <w:ilvl w:val="0"/>
                            <w:numId w:val="1"/>
                          </w:numPr>
                          <w:jc w:val="left"/>
                        </w:pPr>
                        <w:r>
                          <w:rPr>
                            <w:rFonts w:ascii="仿宋_GB2312" w:hAnsi="仿宋_GB2312" w:cs="仿宋_GB2312" w:eastAsia="仿宋_GB2312"/>
                            <w:sz w:val="21"/>
                          </w:rPr>
                          <w:t>交付时剩余保质期不得低于总保质期的</w:t>
                        </w:r>
                        <w:r>
                          <w:rPr>
                            <w:rFonts w:ascii="仿宋_GB2312" w:hAnsi="仿宋_GB2312" w:cs="仿宋_GB2312" w:eastAsia="仿宋_GB2312"/>
                            <w:sz w:val="21"/>
                          </w:rPr>
                          <w:t>2/3。</w:t>
                        </w:r>
                      </w:p>
                      <w:p>
                        <w:pPr>
                          <w:pStyle w:val="null3"/>
                        </w:pPr>
                        <w:r>
                          <w:rPr>
                            <w:rFonts w:ascii="仿宋_GB2312" w:hAnsi="仿宋_GB2312" w:cs="仿宋_GB2312" w:eastAsia="仿宋_GB2312"/>
                            <w:sz w:val="21"/>
                          </w:rPr>
                          <w:t>数量：暂估</w:t>
                        </w:r>
                        <w:r>
                          <w:rPr>
                            <w:rFonts w:ascii="仿宋_GB2312" w:hAnsi="仿宋_GB2312" w:cs="仿宋_GB2312" w:eastAsia="仿宋_GB2312"/>
                            <w:sz w:val="21"/>
                          </w:rPr>
                          <w:t>1340份，最终数量据实核算。</w:t>
                        </w:r>
                      </w:p>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≥2瓶,整套净重≥1000g</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1340份</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杂粮礼盒</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礼盒包装，内置单品独立包装</w:t>
                        </w:r>
                        <w:r>
                          <w:rPr>
                            <w:rFonts w:ascii="仿宋_GB2312" w:hAnsi="仿宋_GB2312" w:cs="仿宋_GB2312" w:eastAsia="仿宋_GB2312"/>
                            <w:sz w:val="21"/>
                          </w:rPr>
                          <w:t>≥4种，包括但不限于黑米,黑豆，小米,燕麦等，等值替换不超过3种,单品净重≥400g。</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无霉变</w:t>
                        </w:r>
                        <w:r>
                          <w:rPr>
                            <w:rFonts w:ascii="仿宋_GB2312" w:hAnsi="仿宋_GB2312" w:cs="仿宋_GB2312" w:eastAsia="仿宋_GB2312"/>
                            <w:sz w:val="21"/>
                          </w:rPr>
                          <w:t>,无杂质碎粒,执行杂粮相关国家标准。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交付时剩余保质期不得低于总保质期的</w:t>
                        </w:r>
                        <w:r>
                          <w:rPr>
                            <w:rFonts w:ascii="仿宋_GB2312" w:hAnsi="仿宋_GB2312" w:cs="仿宋_GB2312" w:eastAsia="仿宋_GB2312"/>
                            <w:sz w:val="21"/>
                          </w:rPr>
                          <w:t>2/3。</w:t>
                        </w:r>
                      </w:p>
                      <w:p>
                        <w:pPr>
                          <w:pStyle w:val="null3"/>
                          <w:jc w:val="left"/>
                        </w:pPr>
                        <w:r>
                          <w:rPr>
                            <w:rFonts w:ascii="仿宋_GB2312" w:hAnsi="仿宋_GB2312" w:cs="仿宋_GB2312" w:eastAsia="仿宋_GB2312"/>
                            <w:sz w:val="21"/>
                          </w:rPr>
                          <w:t>数量：暂估</w:t>
                        </w:r>
                        <w:r>
                          <w:rPr>
                            <w:rFonts w:ascii="仿宋_GB2312" w:hAnsi="仿宋_GB2312" w:cs="仿宋_GB2312" w:eastAsia="仿宋_GB2312"/>
                            <w:sz w:val="21"/>
                          </w:rPr>
                          <w:t>670份，最终数量据实结算。</w:t>
                        </w:r>
                      </w:p>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≥1.6KG</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670份</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干货礼盒</w:t>
                        </w:r>
                      </w:p>
                    </w:tc>
                    <w:tc>
                      <w:tcPr>
                        <w:tcW w:type="dxa" w:w="20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礼盒包装，内置单品独立包装，符合《中华人民共和国食品安全法》</w:t>
                        </w:r>
                        <w:r>
                          <w:rPr>
                            <w:rFonts w:ascii="仿宋_GB2312" w:hAnsi="仿宋_GB2312" w:cs="仿宋_GB2312" w:eastAsia="仿宋_GB2312"/>
                            <w:sz w:val="21"/>
                          </w:rPr>
                          <w:t>,无霉变碎渣。</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单品</w:t>
                        </w:r>
                        <w:r>
                          <w:rPr>
                            <w:rFonts w:ascii="仿宋_GB2312" w:hAnsi="仿宋_GB2312" w:cs="仿宋_GB2312" w:eastAsia="仿宋_GB2312"/>
                            <w:sz w:val="21"/>
                          </w:rPr>
                          <w:t>≥4种,包括但不限于木耳，香菇，黄花菜等，单品净重≥120g。</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交付时剩余保质期不得低于总保质期的</w:t>
                        </w:r>
                        <w:r>
                          <w:rPr>
                            <w:rFonts w:ascii="仿宋_GB2312" w:hAnsi="仿宋_GB2312" w:cs="仿宋_GB2312" w:eastAsia="仿宋_GB2312"/>
                            <w:sz w:val="21"/>
                          </w:rPr>
                          <w:t>2/3。</w:t>
                        </w:r>
                      </w:p>
                      <w:p>
                        <w:pPr>
                          <w:pStyle w:val="null3"/>
                          <w:jc w:val="left"/>
                        </w:pPr>
                        <w:r>
                          <w:rPr>
                            <w:rFonts w:ascii="仿宋_GB2312" w:hAnsi="仿宋_GB2312" w:cs="仿宋_GB2312" w:eastAsia="仿宋_GB2312"/>
                            <w:sz w:val="21"/>
                          </w:rPr>
                          <w:t>数量：暂估</w:t>
                        </w:r>
                        <w:r>
                          <w:rPr>
                            <w:rFonts w:ascii="仿宋_GB2312" w:hAnsi="仿宋_GB2312" w:cs="仿宋_GB2312" w:eastAsia="仿宋_GB2312"/>
                            <w:sz w:val="21"/>
                          </w:rPr>
                          <w:t>670份，最终数量据实结算。</w:t>
                        </w:r>
                      </w:p>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≥480g</w:t>
                        </w:r>
                      </w:p>
                    </w:tc>
                    <w:tc>
                      <w:tcPr>
                        <w:tcW w:type="dxa" w:w="3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670份</w:t>
                        </w:r>
                      </w:p>
                    </w:tc>
                  </w:tr>
                </w:tbl>
                <w:p>
                  <w:pPr>
                    <w:pStyle w:val="null3"/>
                  </w:pPr>
                  <w:r>
                    <w:rPr>
                      <w:rFonts w:ascii="仿宋_GB2312" w:hAnsi="仿宋_GB2312" w:cs="仿宋_GB2312" w:eastAsia="仿宋_GB2312"/>
                      <w:sz w:val="19"/>
                      <w:b/>
                    </w:rPr>
                    <w:t>★</w:t>
                  </w:r>
                  <w:r>
                    <w:rPr>
                      <w:rFonts w:ascii="仿宋_GB2312" w:hAnsi="仿宋_GB2312" w:cs="仿宋_GB2312" w:eastAsia="仿宋_GB2312"/>
                      <w:sz w:val="19"/>
                      <w:b/>
                    </w:rPr>
                    <w:t>上表中执行标准均按照现行最新标准执行</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w:t>
            </w:r>
            <w:r>
              <w:rPr>
                <w:rFonts w:ascii="仿宋_GB2312" w:hAnsi="仿宋_GB2312" w:cs="仿宋_GB2312" w:eastAsia="仿宋_GB2312"/>
              </w:rPr>
              <w:t>1）提供拟投每种产品样品各一份参与评审；规格与采购文件要求相一致。</w:t>
            </w:r>
          </w:p>
          <w:p>
            <w:pPr>
              <w:pStyle w:val="null3"/>
            </w:pPr>
            <w:r>
              <w:rPr>
                <w:rFonts w:ascii="仿宋_GB2312" w:hAnsi="仿宋_GB2312" w:cs="仿宋_GB2312" w:eastAsia="仿宋_GB2312"/>
              </w:rPr>
              <w:t>（</w:t>
            </w:r>
            <w:r>
              <w:rPr>
                <w:rFonts w:ascii="仿宋_GB2312" w:hAnsi="仿宋_GB2312" w:cs="仿宋_GB2312" w:eastAsia="仿宋_GB2312"/>
              </w:rPr>
              <w:t>2）样品提交的相关事宜：</w:t>
            </w:r>
          </w:p>
          <w:p>
            <w:pPr>
              <w:pStyle w:val="null3"/>
            </w:pPr>
            <w:r>
              <w:rPr>
                <w:rFonts w:ascii="仿宋_GB2312" w:hAnsi="仿宋_GB2312" w:cs="仿宋_GB2312" w:eastAsia="仿宋_GB2312"/>
              </w:rPr>
              <w:t>①所提供样品需要密封，在密封包装上注明项目名称、项目编号、供应商名称等内容，并加盖单位公章。</w:t>
            </w:r>
          </w:p>
          <w:p>
            <w:pPr>
              <w:pStyle w:val="null3"/>
            </w:pPr>
            <w:r>
              <w:rPr>
                <w:rFonts w:ascii="仿宋_GB2312" w:hAnsi="仿宋_GB2312" w:cs="仿宋_GB2312" w:eastAsia="仿宋_GB2312"/>
              </w:rPr>
              <w:t>②采购人及评审小组不对样品进行封装且不支付所拆验样品的费用。</w:t>
            </w:r>
          </w:p>
          <w:p>
            <w:pPr>
              <w:pStyle w:val="null3"/>
            </w:pPr>
            <w:r>
              <w:rPr>
                <w:rFonts w:ascii="仿宋_GB2312" w:hAnsi="仿宋_GB2312" w:cs="仿宋_GB2312" w:eastAsia="仿宋_GB2312"/>
              </w:rPr>
              <w:t>③包装上印制的图案、品名、产地、净含量等符合国家食品包装规范。</w:t>
            </w:r>
          </w:p>
          <w:p>
            <w:pPr>
              <w:pStyle w:val="null3"/>
            </w:pPr>
            <w:r>
              <w:rPr>
                <w:rFonts w:ascii="仿宋_GB2312" w:hAnsi="仿宋_GB2312" w:cs="仿宋_GB2312" w:eastAsia="仿宋_GB2312"/>
              </w:rPr>
              <w:t>④投标产品需打开后进行评审，无偿供评标专家鉴别商品质量，已启封（食品类）投标商品样品不退，如未中标供应商要求退还自家样品，在中标结果公示后3个工作日内到代理公司进行领取，中标供应商样品作为验收依据由采购人进行保管。</w:t>
            </w:r>
          </w:p>
          <w:p>
            <w:pPr>
              <w:pStyle w:val="null3"/>
            </w:pPr>
            <w:r>
              <w:rPr>
                <w:rFonts w:ascii="仿宋_GB2312" w:hAnsi="仿宋_GB2312" w:cs="仿宋_GB2312" w:eastAsia="仿宋_GB2312"/>
                <w:sz w:val="21"/>
              </w:rPr>
              <w:t>（</w:t>
            </w:r>
            <w:r>
              <w:rPr>
                <w:rFonts w:ascii="仿宋_GB2312" w:hAnsi="仿宋_GB2312" w:cs="仿宋_GB2312" w:eastAsia="仿宋_GB2312"/>
                <w:sz w:val="21"/>
              </w:rPr>
              <w:t>3）样品于</w:t>
            </w:r>
            <w:r>
              <w:rPr>
                <w:rFonts w:ascii="仿宋_GB2312" w:hAnsi="仿宋_GB2312" w:cs="仿宋_GB2312" w:eastAsia="仿宋_GB2312"/>
                <w:sz w:val="21"/>
              </w:rPr>
              <w:t>响应</w:t>
            </w:r>
            <w:r>
              <w:rPr>
                <w:rFonts w:ascii="仿宋_GB2312" w:hAnsi="仿宋_GB2312" w:cs="仿宋_GB2312" w:eastAsia="仿宋_GB2312"/>
                <w:sz w:val="21"/>
              </w:rPr>
              <w:t>文件递交截止时间前送至陕西金字招标有限责任公司。</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自合同签订之日起至所有货物供货完成之日止。货物分批次配送，批次不定，每次接到采购人通知2日内完成备货配送。具体详见采购需求。</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最终交货地点为接到采购人通知后分批配送至各军休点，部分货品须省市内外邮寄。具体详见采购需求。</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2026年八一慰问品供货结束，经甲方验收合格后，根据实际需求数量，按照每份的成交单价，据实结算已供货款；2027年春节慰问品供货结束，经甲方验收合格后，根据实际需求数量，按照每份的成交单价，据实进行结算已供货款，最终结算额不超过采购预算。乙方须开具足额发票给甲方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乙方提供满足甲方要求数量的货物，统一存放于乙方合规仓储地，甲方按不低于10%比例现场抽样验收，验收合格后统一封货；验收不合格商品乙方须3日内完成更换补货，产生全部费用由乙方承担。后期根据甲方供货需求分批配送至各军休点，每批次送达点位后甲乙双方现场清点二次验收，短缺、变质、破损货品乙方当场补发更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未按八一、春节节日规定时限完成配送邮寄、发放签收的，每逾期1日按合同总金额0.5%支付违约金；逾期超过3日，采购人有权解除合同并要求赔偿全部损失。2.产品存在质量不达标、三无分装、临期等问题，采购人可拒收，供应商需双倍更换货物，并承担由此产生的全部损失。3.物流大面积延误、丢件造成慰问品无法按时发放，供应商除加急补发外，还需承担对应慰问品等值补偿。</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1.适用于本供应商须知的额外增加的变动： 1.1所有供应商线上上传加密电子版资料，作为评审核心依据，缺一不可： 1）产品实拍高清图集 要求每套慰问品全套单品：整体外观、材质特写、厚度/尺寸标尺对照、内胆/核心配件、品牌铭牌、完整包装、质保标签，每张图片带拍摄日期水印，禁止网图盗图。 2）完整、可溯源质检报告 对应慰问品全套单品第三方检测报告（带CMA资质），报告参数必须与谈判文件量化指标完全匹配，报告出具时间不超过12个月；仅提供通用模板报告、参数缺失的直接线上初审淘汰。 1.2在评标过程中，凡遇到竞争性谈判文件中无界定或界定不清、前后不一致，使评委会意见有分歧且又难以协调一致的问题，均由评委会予以表决，获半数以上同意的即为通过，否则即为否决。 2.成交通知书发出后，成交供应商须向采购人提交响应文件纸质版一正一副（纸质版响应文件与电子版响应文件保持一致）。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供应商2025年度经审计的财务报告或响应截止时间前三个月内其基本开户银行出具的资信证明及账户开户许可证明材料或财政部门认可的政府采购专业担保机构开具的投标担保函（任选其一）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许可证明</w:t>
            </w:r>
          </w:p>
        </w:tc>
        <w:tc>
          <w:tcPr>
            <w:tcW w:type="dxa" w:w="3322"/>
          </w:tcPr>
          <w:p>
            <w:pPr>
              <w:pStyle w:val="null3"/>
            </w:pPr>
            <w:r>
              <w:rPr>
                <w:rFonts w:ascii="仿宋_GB2312" w:hAnsi="仿宋_GB2312" w:cs="仿宋_GB2312" w:eastAsia="仿宋_GB2312"/>
              </w:rPr>
              <w:t>供应商为生产厂家的须提供《食品生产许可证》；代理商须提供本单位《食品经营许可证》或《预包装食品经营者备案表》。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法定代表人或单位负责人参与谈判的，应提供法定代表人或单位负责人身份证明；授权代表参与谈判的，应提供法定代表人或单位负责人身份证明、授权委托书及授权代表在本单位缴纳养老保险证明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（1）货币单位符合谈判文件要求（2）报价符合唯一性要求 （3）未超出采购预算或最高限价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满足谈判文件的要求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样品</w:t>
            </w:r>
          </w:p>
        </w:tc>
        <w:tc>
          <w:tcPr>
            <w:tcW w:type="dxa" w:w="3322"/>
          </w:tcPr>
          <w:p>
            <w:pPr>
              <w:pStyle w:val="null3"/>
            </w:pPr>
            <w:r>
              <w:rPr>
                <w:rFonts w:ascii="仿宋_GB2312" w:hAnsi="仿宋_GB2312" w:cs="仿宋_GB2312" w:eastAsia="仿宋_GB2312"/>
              </w:rPr>
              <w:t>在响应文件递交截止时间前按竞争性谈判文件要求提供样品，且样品须满足竞争性谈判文件技术要求</w:t>
            </w:r>
          </w:p>
        </w:tc>
        <w:tc>
          <w:tcPr>
            <w:tcW w:type="dxa" w:w="1661"/>
          </w:tcPr>
          <w:p>
            <w:pPr>
              <w:pStyle w:val="null3"/>
            </w:pPr>
            <w:r>
              <w:rPr>
                <w:rFonts w:ascii="仿宋_GB2312" w:hAnsi="仿宋_GB2312" w:cs="仿宋_GB2312" w:eastAsia="仿宋_GB2312"/>
              </w:rPr>
              <w:t>响应文件封面 供货方案.docx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没有出现法律法规或谈判文件明确规定的其他 被视为“无效投标” 的情形及未实质性响应招标 文件的情况</w:t>
            </w:r>
          </w:p>
        </w:tc>
        <w:tc>
          <w:tcPr>
            <w:tcW w:type="dxa" w:w="1661"/>
          </w:tcPr>
          <w:p>
            <w:pPr>
              <w:pStyle w:val="null3"/>
            </w:pPr>
            <w:r>
              <w:rPr>
                <w:rFonts w:ascii="仿宋_GB2312" w:hAnsi="仿宋_GB2312" w:cs="仿宋_GB2312" w:eastAsia="仿宋_GB2312"/>
              </w:rPr>
              <w:t>本国产品说明.docx 中小企业声明函 商务应答表 报价表 中国境内生产的组件成本核算基本规则.docx 响应文件封面 产品技术参数表 分项报价表.docx 供应商应提交的相关资格证明材料.docx 残疾人福利性单位声明函 供货方案.docx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