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109B4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643" w:firstLineChars="200"/>
        <w:jc w:val="center"/>
        <w:textAlignment w:val="auto"/>
        <w:rPr>
          <w:rFonts w:hint="default" w:ascii="仿宋" w:hAnsi="仿宋" w:eastAsia="仿宋" w:cs="仿宋"/>
          <w:b/>
          <w:bCs/>
          <w:kern w:val="0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0"/>
          <w:sz w:val="32"/>
          <w:szCs w:val="32"/>
          <w:highlight w:val="none"/>
          <w:lang w:val="en-US" w:eastAsia="zh-CN" w:bidi="ar-SA"/>
        </w:rPr>
        <w:t>采购需求</w:t>
      </w:r>
    </w:p>
    <w:p w14:paraId="2FEA3FD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一、项目概况</w:t>
      </w:r>
    </w:p>
    <w:p w14:paraId="1C1D97D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陕西省高级人民法院中央空调系统，整个中央空调系统于 2007 年建成并投入使用。前期建设过程中，空调水系统管路采用焊管制作，近年来由于管道锈蚀，承压能力下降，在运行过程中多次出现爆管漏水事故，现急需对审判主楼三层空调水管网进行维修完善。</w:t>
      </w:r>
    </w:p>
    <w:p w14:paraId="5FBEBB1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二、施工内容</w:t>
      </w:r>
    </w:p>
    <w:p w14:paraId="21D7F31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1 、风机盘管连接支管、保温、阀门、管件等进行更换，增设电动两通阀门。</w:t>
      </w:r>
    </w:p>
    <w:p w14:paraId="4B892AC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对审判主楼三层风机盘管连接支管、保温、阀门、管件等进行更换，增设电动两通阀门。包含：吊顶保护性拆除及恢复、包括但不限于监控、消防、自喷、灯具、烟感及应急灯具等保护性拆除、恢复及调试、原有管路系统拆除后进行更换（管道及管件、橡塑保温、阀门、UPVC冷凝水管及管件等）</w:t>
      </w:r>
    </w:p>
    <w:p w14:paraId="60DECAB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2 、平层主管路更换。</w:t>
      </w:r>
    </w:p>
    <w:p w14:paraId="4AFB4A0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对楼道内平层主管路进行拆除后更换，保证主管路系统的正常使用。</w:t>
      </w:r>
    </w:p>
    <w:p w14:paraId="39EA41A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3、吊顶拆除及恢复。</w:t>
      </w:r>
    </w:p>
    <w:p w14:paraId="6CAB277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配合空调施工，对局部吊顶进行保护性拆除，空调施工完成后，恢复吊顶。</w:t>
      </w:r>
    </w:p>
    <w:p w14:paraId="4E4B45B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三、工期： 自合同签订之日起 40 个日历日内完成维修完善</w:t>
      </w:r>
    </w:p>
    <w:p w14:paraId="6786D08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四、质量标准：合格</w:t>
      </w:r>
    </w:p>
    <w:p w14:paraId="7A45F9D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五、质保期：验收合格之日起三年</w:t>
      </w:r>
    </w:p>
    <w:p w14:paraId="0CA4C10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六、材料要求：</w:t>
      </w:r>
    </w:p>
    <w:p w14:paraId="29E3D09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1 、空调工程水系统的管道、管配件及阀门的型号、规格、材质及连接形式应符合国家及行业规范要求。</w:t>
      </w:r>
    </w:p>
    <w:p w14:paraId="5ECC968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2 、镀锌钢管及管件的规格种类应符合设计及生产标准要求，管壁内外镀锌均匀，无锈蚀、无飞刺。管件无偏扣、乱扣、丝扣不全或角度不准等现象。管材及管件均应有相应质量证明材料。</w:t>
      </w:r>
    </w:p>
    <w:p w14:paraId="5446D05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3、塑料管及管件的规格种类应符合设计及生产标准要求，管材和管件内外壁应光滑、平整、无气泡、无裂纹、无脱皮和严重的冷斑及明显的痕纹、凹陷，并附有质量合格证书。</w:t>
      </w:r>
    </w:p>
    <w:p w14:paraId="478E0E9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4、阀门类的规格种类应符合设计及生产标准要求，采用承压1.6MPa，DN20阀门采用铜质材质，每台风机盘管增设DN20电动两通阀，满足国家及行业规范要求，提供检测报告及合格证。</w:t>
      </w:r>
    </w:p>
    <w:p w14:paraId="6994C81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5、胶粘剂应标有生产厂名称、生产日期和使用年限，并应有出厂合格证。胶粘剂应呈 自由流动状态，不得为凝胶体，应无异味，色度小于 1 ° , 混浊度小于 5 ° 。在未搅拌情况 下不得有分层现象和析出物出现；胶粘剂内不得含有团块、不溶颗粒和其他杂质。</w:t>
      </w:r>
    </w:p>
    <w:p w14:paraId="7C207F5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七、管道安装要求：</w:t>
      </w:r>
    </w:p>
    <w:p w14:paraId="1E64315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1、管道连接</w:t>
      </w:r>
    </w:p>
    <w:p w14:paraId="0C6B4A3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管道连接形式应符合使用要求。管道连接形式可按如下要求选用：UPVC管道可采用粘接连接连接；镀锌钢管应采用螺纹连接或焊接连接，焊缝外观质量不得低于现行国家标准 《现场设备、工业管道焊接工程施工及验收规范》GB 50236 中的规定。</w:t>
      </w:r>
    </w:p>
    <w:p w14:paraId="5778B9C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2、管道支架</w:t>
      </w:r>
    </w:p>
    <w:p w14:paraId="1CC4BAB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采用UPVC管道时，管道与金属支、吊架之间应采取隔绝措施，不得直接接触，支、吊 架的间距应符合要求。UPVC管道支、吊架的间距应符合下表的规定。</w:t>
      </w:r>
    </w:p>
    <w:p w14:paraId="08B58CD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UPVC 管道支、吊架的间距（mm）</w:t>
      </w:r>
    </w:p>
    <w:tbl>
      <w:tblPr>
        <w:tblStyle w:val="3"/>
        <w:tblW w:w="93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2"/>
        <w:gridCol w:w="621"/>
        <w:gridCol w:w="639"/>
        <w:gridCol w:w="905"/>
        <w:gridCol w:w="896"/>
        <w:gridCol w:w="918"/>
        <w:gridCol w:w="918"/>
        <w:gridCol w:w="918"/>
        <w:gridCol w:w="918"/>
        <w:gridCol w:w="919"/>
      </w:tblGrid>
      <w:tr w14:paraId="1731E9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1722" w:type="dxa"/>
            <w:vAlign w:val="center"/>
          </w:tcPr>
          <w:p w14:paraId="14336BF3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415" w:lineRule="auto"/>
              <w:jc w:val="center"/>
              <w:textAlignment w:val="baseline"/>
              <w:rPr>
                <w:rFonts w:hint="default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  <w:t>公称直径（DN）</w:t>
            </w:r>
          </w:p>
        </w:tc>
        <w:tc>
          <w:tcPr>
            <w:tcW w:w="621" w:type="dxa"/>
            <w:vAlign w:val="center"/>
          </w:tcPr>
          <w:p w14:paraId="3E02C3D6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415" w:lineRule="auto"/>
              <w:jc w:val="center"/>
              <w:textAlignment w:val="baseline"/>
              <w:rPr>
                <w:rFonts w:hint="default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  <w:t>20</w:t>
            </w:r>
          </w:p>
        </w:tc>
        <w:tc>
          <w:tcPr>
            <w:tcW w:w="639" w:type="dxa"/>
            <w:vAlign w:val="center"/>
          </w:tcPr>
          <w:p w14:paraId="74C10F31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415" w:lineRule="auto"/>
              <w:jc w:val="center"/>
              <w:textAlignment w:val="baseline"/>
              <w:rPr>
                <w:rFonts w:hint="default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  <w:t>25</w:t>
            </w:r>
          </w:p>
        </w:tc>
        <w:tc>
          <w:tcPr>
            <w:tcW w:w="905" w:type="dxa"/>
            <w:vAlign w:val="center"/>
          </w:tcPr>
          <w:p w14:paraId="455C11B9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415" w:lineRule="auto"/>
              <w:jc w:val="center"/>
              <w:textAlignment w:val="baseline"/>
              <w:rPr>
                <w:rFonts w:hint="default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  <w:t>32</w:t>
            </w:r>
          </w:p>
        </w:tc>
        <w:tc>
          <w:tcPr>
            <w:tcW w:w="896" w:type="dxa"/>
            <w:vAlign w:val="center"/>
          </w:tcPr>
          <w:p w14:paraId="59746871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415" w:lineRule="auto"/>
              <w:jc w:val="center"/>
              <w:textAlignment w:val="baseline"/>
              <w:rPr>
                <w:rFonts w:hint="default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  <w:t>40</w:t>
            </w:r>
          </w:p>
        </w:tc>
        <w:tc>
          <w:tcPr>
            <w:tcW w:w="918" w:type="dxa"/>
            <w:vAlign w:val="center"/>
          </w:tcPr>
          <w:p w14:paraId="798ACFE0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415" w:lineRule="auto"/>
              <w:jc w:val="center"/>
              <w:textAlignment w:val="baseline"/>
              <w:rPr>
                <w:rFonts w:hint="default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  <w:t>50</w:t>
            </w:r>
          </w:p>
        </w:tc>
        <w:tc>
          <w:tcPr>
            <w:tcW w:w="918" w:type="dxa"/>
            <w:vAlign w:val="center"/>
          </w:tcPr>
          <w:p w14:paraId="41BB375C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415" w:lineRule="auto"/>
              <w:jc w:val="center"/>
              <w:textAlignment w:val="baseline"/>
              <w:rPr>
                <w:rFonts w:hint="default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  <w:t>63</w:t>
            </w:r>
          </w:p>
        </w:tc>
        <w:tc>
          <w:tcPr>
            <w:tcW w:w="918" w:type="dxa"/>
            <w:vAlign w:val="center"/>
          </w:tcPr>
          <w:p w14:paraId="3448E65B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415" w:lineRule="auto"/>
              <w:jc w:val="center"/>
              <w:textAlignment w:val="baseline"/>
              <w:rPr>
                <w:rFonts w:hint="default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  <w:t>75</w:t>
            </w:r>
          </w:p>
        </w:tc>
        <w:tc>
          <w:tcPr>
            <w:tcW w:w="918" w:type="dxa"/>
            <w:vAlign w:val="center"/>
          </w:tcPr>
          <w:p w14:paraId="059F2CD4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415" w:lineRule="auto"/>
              <w:jc w:val="center"/>
              <w:textAlignment w:val="baseline"/>
              <w:rPr>
                <w:rFonts w:hint="default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  <w:t>90</w:t>
            </w:r>
          </w:p>
        </w:tc>
        <w:tc>
          <w:tcPr>
            <w:tcW w:w="919" w:type="dxa"/>
            <w:vAlign w:val="center"/>
          </w:tcPr>
          <w:p w14:paraId="7E9C5B04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415" w:lineRule="auto"/>
              <w:jc w:val="center"/>
              <w:textAlignment w:val="baseline"/>
              <w:rPr>
                <w:rFonts w:hint="default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  <w:t>110</w:t>
            </w:r>
          </w:p>
        </w:tc>
      </w:tr>
      <w:tr w14:paraId="199A82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1722" w:type="dxa"/>
            <w:vAlign w:val="center"/>
          </w:tcPr>
          <w:p w14:paraId="7CED106C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415" w:lineRule="auto"/>
              <w:jc w:val="center"/>
              <w:textAlignment w:val="baseline"/>
              <w:rPr>
                <w:rFonts w:hint="eastAsia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  <w:t>水平安装</w:t>
            </w:r>
          </w:p>
        </w:tc>
        <w:tc>
          <w:tcPr>
            <w:tcW w:w="621" w:type="dxa"/>
            <w:vAlign w:val="center"/>
          </w:tcPr>
          <w:p w14:paraId="1DC5B56A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415" w:lineRule="auto"/>
              <w:jc w:val="center"/>
              <w:textAlignment w:val="baseline"/>
              <w:rPr>
                <w:rFonts w:hint="default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  <w:t>600</w:t>
            </w:r>
          </w:p>
        </w:tc>
        <w:tc>
          <w:tcPr>
            <w:tcW w:w="639" w:type="dxa"/>
            <w:vAlign w:val="center"/>
          </w:tcPr>
          <w:p w14:paraId="6E910B0E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415" w:lineRule="auto"/>
              <w:jc w:val="center"/>
              <w:textAlignment w:val="baseline"/>
              <w:rPr>
                <w:rFonts w:hint="default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  <w:t>700</w:t>
            </w:r>
          </w:p>
        </w:tc>
        <w:tc>
          <w:tcPr>
            <w:tcW w:w="905" w:type="dxa"/>
            <w:vAlign w:val="center"/>
          </w:tcPr>
          <w:p w14:paraId="60E15DB5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415" w:lineRule="auto"/>
              <w:jc w:val="center"/>
              <w:textAlignment w:val="baseline"/>
              <w:rPr>
                <w:rFonts w:hint="default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  <w:t>800</w:t>
            </w:r>
          </w:p>
        </w:tc>
        <w:tc>
          <w:tcPr>
            <w:tcW w:w="896" w:type="dxa"/>
            <w:vAlign w:val="center"/>
          </w:tcPr>
          <w:p w14:paraId="77E8B53C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415" w:lineRule="auto"/>
              <w:jc w:val="center"/>
              <w:textAlignment w:val="baseline"/>
              <w:rPr>
                <w:rFonts w:hint="default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  <w:t>900</w:t>
            </w:r>
          </w:p>
        </w:tc>
        <w:tc>
          <w:tcPr>
            <w:tcW w:w="918" w:type="dxa"/>
            <w:vAlign w:val="center"/>
          </w:tcPr>
          <w:p w14:paraId="43B1FCA1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415" w:lineRule="auto"/>
              <w:jc w:val="center"/>
              <w:textAlignment w:val="baseline"/>
              <w:rPr>
                <w:rFonts w:hint="default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  <w:t>1000</w:t>
            </w:r>
          </w:p>
        </w:tc>
        <w:tc>
          <w:tcPr>
            <w:tcW w:w="918" w:type="dxa"/>
            <w:vAlign w:val="center"/>
          </w:tcPr>
          <w:p w14:paraId="4E3D228E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415" w:lineRule="auto"/>
              <w:jc w:val="center"/>
              <w:textAlignment w:val="baseline"/>
              <w:rPr>
                <w:rFonts w:hint="default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  <w:t>1100</w:t>
            </w:r>
          </w:p>
        </w:tc>
        <w:tc>
          <w:tcPr>
            <w:tcW w:w="918" w:type="dxa"/>
            <w:vAlign w:val="center"/>
          </w:tcPr>
          <w:p w14:paraId="377854CB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415" w:lineRule="auto"/>
              <w:jc w:val="center"/>
              <w:textAlignment w:val="baseline"/>
              <w:rPr>
                <w:rFonts w:hint="default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  <w:t>1200</w:t>
            </w:r>
          </w:p>
        </w:tc>
        <w:tc>
          <w:tcPr>
            <w:tcW w:w="918" w:type="dxa"/>
            <w:vAlign w:val="center"/>
          </w:tcPr>
          <w:p w14:paraId="3D8F4A92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415" w:lineRule="auto"/>
              <w:jc w:val="center"/>
              <w:textAlignment w:val="baseline"/>
              <w:rPr>
                <w:rFonts w:hint="default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  <w:t>1350</w:t>
            </w:r>
          </w:p>
        </w:tc>
        <w:tc>
          <w:tcPr>
            <w:tcW w:w="919" w:type="dxa"/>
            <w:vAlign w:val="center"/>
          </w:tcPr>
          <w:p w14:paraId="6FC1994E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415" w:lineRule="auto"/>
              <w:jc w:val="center"/>
              <w:textAlignment w:val="baseline"/>
              <w:rPr>
                <w:rFonts w:hint="default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  <w:t>1550</w:t>
            </w:r>
          </w:p>
        </w:tc>
      </w:tr>
      <w:tr w14:paraId="7D6303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1722" w:type="dxa"/>
            <w:vAlign w:val="center"/>
          </w:tcPr>
          <w:p w14:paraId="26B1B68B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415" w:lineRule="auto"/>
              <w:jc w:val="center"/>
              <w:textAlignment w:val="baseline"/>
              <w:rPr>
                <w:rFonts w:hint="eastAsia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  <w:t>垂直安装</w:t>
            </w:r>
          </w:p>
        </w:tc>
        <w:tc>
          <w:tcPr>
            <w:tcW w:w="621" w:type="dxa"/>
            <w:vAlign w:val="center"/>
          </w:tcPr>
          <w:p w14:paraId="0747D706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415" w:lineRule="auto"/>
              <w:jc w:val="center"/>
              <w:textAlignment w:val="baseline"/>
              <w:rPr>
                <w:rFonts w:hint="default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  <w:t>900</w:t>
            </w:r>
          </w:p>
        </w:tc>
        <w:tc>
          <w:tcPr>
            <w:tcW w:w="639" w:type="dxa"/>
            <w:vAlign w:val="center"/>
          </w:tcPr>
          <w:p w14:paraId="1ED5098D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415" w:lineRule="auto"/>
              <w:jc w:val="center"/>
              <w:textAlignment w:val="baseline"/>
              <w:rPr>
                <w:rFonts w:hint="default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  <w:t>1000</w:t>
            </w:r>
          </w:p>
        </w:tc>
        <w:tc>
          <w:tcPr>
            <w:tcW w:w="905" w:type="dxa"/>
            <w:vAlign w:val="center"/>
          </w:tcPr>
          <w:p w14:paraId="5B087AC1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415" w:lineRule="auto"/>
              <w:jc w:val="center"/>
              <w:textAlignment w:val="baseline"/>
              <w:rPr>
                <w:rFonts w:hint="default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  <w:t>1100</w:t>
            </w:r>
          </w:p>
        </w:tc>
        <w:tc>
          <w:tcPr>
            <w:tcW w:w="896" w:type="dxa"/>
            <w:vAlign w:val="center"/>
          </w:tcPr>
          <w:p w14:paraId="264EF00E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415" w:lineRule="auto"/>
              <w:jc w:val="center"/>
              <w:textAlignment w:val="baseline"/>
              <w:rPr>
                <w:rFonts w:hint="default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  <w:t>1300</w:t>
            </w:r>
          </w:p>
        </w:tc>
        <w:tc>
          <w:tcPr>
            <w:tcW w:w="918" w:type="dxa"/>
            <w:vAlign w:val="center"/>
          </w:tcPr>
          <w:p w14:paraId="52A3E561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415" w:lineRule="auto"/>
              <w:jc w:val="center"/>
              <w:textAlignment w:val="baseline"/>
              <w:rPr>
                <w:rFonts w:hint="default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  <w:t>1600</w:t>
            </w:r>
          </w:p>
        </w:tc>
        <w:tc>
          <w:tcPr>
            <w:tcW w:w="918" w:type="dxa"/>
            <w:vAlign w:val="center"/>
          </w:tcPr>
          <w:p w14:paraId="0DDCBC9D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415" w:lineRule="auto"/>
              <w:jc w:val="center"/>
              <w:textAlignment w:val="baseline"/>
              <w:rPr>
                <w:rFonts w:hint="default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  <w:t>1800</w:t>
            </w:r>
          </w:p>
        </w:tc>
        <w:tc>
          <w:tcPr>
            <w:tcW w:w="918" w:type="dxa"/>
            <w:vAlign w:val="center"/>
          </w:tcPr>
          <w:p w14:paraId="6D2BE8C8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415" w:lineRule="auto"/>
              <w:jc w:val="center"/>
              <w:textAlignment w:val="baseline"/>
              <w:rPr>
                <w:rFonts w:hint="default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  <w:t>2000</w:t>
            </w:r>
          </w:p>
        </w:tc>
        <w:tc>
          <w:tcPr>
            <w:tcW w:w="918" w:type="dxa"/>
            <w:vAlign w:val="center"/>
          </w:tcPr>
          <w:p w14:paraId="1F892981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415" w:lineRule="auto"/>
              <w:jc w:val="center"/>
              <w:textAlignment w:val="baseline"/>
              <w:rPr>
                <w:rFonts w:hint="default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  <w:t>2200</w:t>
            </w:r>
          </w:p>
        </w:tc>
        <w:tc>
          <w:tcPr>
            <w:tcW w:w="919" w:type="dxa"/>
            <w:vAlign w:val="center"/>
          </w:tcPr>
          <w:p w14:paraId="3B41A874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415" w:lineRule="auto"/>
              <w:jc w:val="center"/>
              <w:textAlignment w:val="baseline"/>
              <w:rPr>
                <w:rFonts w:hint="default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z w:val="21"/>
                <w:szCs w:val="21"/>
                <w:lang w:val="en-US" w:eastAsia="zh-CN" w:bidi="ar-SA"/>
              </w:rPr>
              <w:t>2400</w:t>
            </w:r>
          </w:p>
        </w:tc>
      </w:tr>
    </w:tbl>
    <w:p w14:paraId="54354EB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3、管道试压。</w:t>
      </w:r>
    </w:p>
    <w:p w14:paraId="444ACE6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全部管路施工完毕，应按规范要求进行水压试验，确保系统无漏点、承压能力强。</w:t>
      </w:r>
    </w:p>
    <w:p w14:paraId="6C6DB41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4、管道防腐和保温。</w:t>
      </w:r>
    </w:p>
    <w:p w14:paraId="21BC2C6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（1）管道防腐：管道铺设与安装的防腐均按设计要求及国家验收规范施工，所有型钢 支架及管道镀锌层破损处和外露丝扣要补刷防锈漆。</w:t>
      </w:r>
    </w:p>
    <w:p w14:paraId="608382B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（2）管道保温：管道应采取橡塑保温，保温层厚度不不小于 15mm，质量应达到国家验 收规范标准要求。</w:t>
      </w:r>
    </w:p>
    <w:p w14:paraId="28ACD42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八、工程量清单</w:t>
      </w:r>
    </w:p>
    <w:p w14:paraId="2BFDD58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1、具体内容详见工程量清单</w:t>
      </w:r>
    </w:p>
    <w:p w14:paraId="0F89958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九、最高限价编制说明</w:t>
      </w:r>
    </w:p>
    <w:p w14:paraId="2AFDDA0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default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1、</w:t>
      </w:r>
      <w:r>
        <w:rPr>
          <w:rFonts w:hint="default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工程概况</w:t>
      </w:r>
    </w:p>
    <w:p w14:paraId="090DC3F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default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①</w:t>
      </w:r>
      <w:r>
        <w:rPr>
          <w:rFonts w:hint="default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项目名称：</w:t>
      </w: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综合审判办公楼三层（不含附楼）空调水管网维修完善项目</w:t>
      </w:r>
      <w:r>
        <w:rPr>
          <w:rFonts w:hint="default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；</w:t>
      </w:r>
    </w:p>
    <w:p w14:paraId="392C0F0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default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②</w:t>
      </w:r>
      <w:r>
        <w:rPr>
          <w:rFonts w:hint="default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主要功能或目标：完成三层空调管道维修完善，满足功能需求。</w:t>
      </w:r>
    </w:p>
    <w:p w14:paraId="579447A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default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2</w:t>
      </w:r>
      <w:r>
        <w:rPr>
          <w:rFonts w:hint="default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、编制依据</w:t>
      </w:r>
    </w:p>
    <w:p w14:paraId="15ADF26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default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①</w:t>
      </w:r>
      <w:r>
        <w:rPr>
          <w:rFonts w:hint="default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本项目施工图、相关标准、规范等技术资料；</w:t>
      </w:r>
    </w:p>
    <w:p w14:paraId="6740C5F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default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②</w:t>
      </w:r>
      <w:r>
        <w:rPr>
          <w:rFonts w:hint="default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《陕西省建设工程工程量清单计价计算标准（2025）》、《陕西省通用安装工程基价表（2025）一般计税》及相关的配套文件；</w:t>
      </w:r>
    </w:p>
    <w:p w14:paraId="0011283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default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③</w:t>
      </w:r>
      <w:r>
        <w:rPr>
          <w:rFonts w:hint="default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材料价格主要依据陕西信息价（2026.03月份），不足部分结合市场价计取。</w:t>
      </w:r>
    </w:p>
    <w:p w14:paraId="16F7EFB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default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3</w:t>
      </w:r>
      <w:r>
        <w:rPr>
          <w:rFonts w:hint="default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、其他相关说明</w:t>
      </w:r>
    </w:p>
    <w:p w14:paraId="3DCD4F8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default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①</w:t>
      </w:r>
      <w:r>
        <w:rPr>
          <w:rFonts w:hint="default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本工程列暂列金15000元，在其他工程的其他项目费中计取；</w:t>
      </w:r>
    </w:p>
    <w:p w14:paraId="59F3978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default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②</w:t>
      </w:r>
      <w:r>
        <w:rPr>
          <w:rFonts w:hint="default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本工程自喷、火灾报警、监控等系统调试列专业暂估价20000元，在其他工程的其他项目费中计取；</w:t>
      </w:r>
    </w:p>
    <w:p w14:paraId="16E0C421">
      <w:pPr>
        <w:ind w:firstLine="480" w:firstLineChars="200"/>
      </w:pPr>
      <w:r>
        <w:rPr>
          <w:rFonts w:hint="eastAsia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③</w:t>
      </w:r>
      <w:r>
        <w:rPr>
          <w:rFonts w:hint="default" w:ascii="仿宋" w:hAnsi="仿宋" w:eastAsia="仿宋" w:cs="仿宋"/>
          <w:kern w:val="0"/>
          <w:sz w:val="24"/>
          <w:szCs w:val="24"/>
          <w:highlight w:val="none"/>
          <w:lang w:val="en-US" w:eastAsia="zh-CN" w:bidi="ar-SA"/>
        </w:rPr>
        <w:t>编制软件采用广联达云计价平台GCCP7.0（7.5000.23.2）版本。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F923A19"/>
    <w:rsid w:val="323B0CDA"/>
    <w:rsid w:val="5EB7307F"/>
    <w:rsid w:val="618648DC"/>
    <w:rsid w:val="6F211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样式1"/>
    <w:basedOn w:val="1"/>
    <w:next w:val="1"/>
    <w:uiPriority w:val="0"/>
    <w:pPr>
      <w:keepNext/>
      <w:keepLines/>
      <w:spacing w:before="260" w:beforeLines="0" w:after="260" w:afterLines="0" w:line="413" w:lineRule="auto"/>
      <w:jc w:val="center"/>
      <w:outlineLvl w:val="1"/>
    </w:pPr>
    <w:rPr>
      <w:rFonts w:ascii="Arial" w:hAnsi="Arial" w:eastAsia="黑体" w:cs="Arial"/>
      <w:b/>
      <w:snapToGrid w:val="0"/>
      <w:color w:val="000000"/>
      <w:kern w:val="0"/>
      <w:sz w:val="32"/>
      <w:szCs w:val="21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2026-03-23T03:17:00Z</dcterms:created>
  <dc:creator>34819</dc:creator>
  <cp:lastModifiedBy>心静如水</cp:lastModifiedBy>
  <dcterms:modified xsi:type="dcterms:W3CDTF">2026-09-07T09:15:32Z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F7A16F4B812B4437B83386305F4CA7D6_12</vt:lpwstr>
  </property>
  <property fmtid="{D5CDD505-2E9C-101B-9397-08002B2CF9AE}" pid="4" name="KSOTemplateDocerSaveRecord">
    <vt:lpwstr>eyJoZGlkIjoiZDU1ZjVkMzExYjNmNDkwYmIwMTQxMDM0OWM2NTcyMjciLCJ1c2VySWQiOiIyMzkzNjg4MzcifQ==</vt:lpwstr>
  </property>
</Properties>
</file>