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BED37E">
      <w:pPr>
        <w:rPr>
          <w:rFonts w:hint="eastAsia" w:hAnsi="宋体" w:eastAsia="宋体" w:cs="宋体"/>
          <w:b/>
          <w:sz w:val="36"/>
          <w:highlight w:val="none"/>
          <w:lang w:eastAsia="zh-CN"/>
        </w:rPr>
      </w:pPr>
      <w:r>
        <w:rPr>
          <w:rFonts w:hint="eastAsia" w:hAnsi="宋体" w:cs="宋体"/>
          <w:b/>
          <w:bCs/>
          <w:szCs w:val="24"/>
          <w:highlight w:val="none"/>
        </w:rPr>
        <w:t>项目编号：</w:t>
      </w:r>
      <w:r>
        <w:rPr>
          <w:rFonts w:hint="eastAsia" w:hAnsi="宋体" w:cs="宋体"/>
          <w:b/>
          <w:szCs w:val="24"/>
          <w:highlight w:val="none"/>
          <w:lang w:eastAsia="zh-CN"/>
        </w:rPr>
        <w:t>SXZCZB2026-ZCCS-1023</w:t>
      </w:r>
    </w:p>
    <w:p w14:paraId="25C4556D">
      <w:pPr>
        <w:rPr>
          <w:rFonts w:hAnsi="宋体" w:cs="宋体"/>
          <w:b/>
          <w:sz w:val="56"/>
          <w:szCs w:val="56"/>
          <w:highlight w:val="none"/>
        </w:rPr>
      </w:pPr>
    </w:p>
    <w:p w14:paraId="780E0977">
      <w:pPr>
        <w:jc w:val="center"/>
        <w:rPr>
          <w:rFonts w:hAnsi="宋体" w:cs="宋体"/>
          <w:b/>
          <w:sz w:val="56"/>
          <w:szCs w:val="56"/>
          <w:highlight w:val="none"/>
        </w:rPr>
      </w:pPr>
    </w:p>
    <w:p w14:paraId="4D8E1663">
      <w:pPr>
        <w:spacing w:line="780" w:lineRule="auto"/>
        <w:jc w:val="center"/>
        <w:rPr>
          <w:rFonts w:hAnsi="宋体" w:cs="宋体"/>
          <w:b/>
          <w:sz w:val="56"/>
          <w:szCs w:val="56"/>
          <w:highlight w:val="none"/>
        </w:rPr>
      </w:pPr>
      <w:r>
        <w:rPr>
          <w:rFonts w:hint="eastAsia" w:hAnsi="宋体" w:cs="宋体"/>
          <w:b/>
          <w:sz w:val="52"/>
          <w:szCs w:val="52"/>
          <w:highlight w:val="none"/>
        </w:rPr>
        <w:t> </w:t>
      </w:r>
      <w:r>
        <w:rPr>
          <w:rFonts w:hint="eastAsia" w:hAnsi="宋体" w:cs="宋体"/>
          <w:b/>
          <w:sz w:val="52"/>
          <w:szCs w:val="52"/>
          <w:highlight w:val="none"/>
          <w:lang w:eastAsia="zh-CN"/>
        </w:rPr>
        <w:t>网络生态治理服务</w:t>
      </w:r>
      <w:r>
        <w:rPr>
          <w:rFonts w:hint="eastAsia" w:hAnsi="宋体" w:cs="宋体"/>
          <w:b/>
          <w:sz w:val="52"/>
          <w:szCs w:val="52"/>
          <w:highlight w:val="none"/>
        </w:rPr>
        <w:t>项目</w:t>
      </w:r>
    </w:p>
    <w:p w14:paraId="5EFDAD0E">
      <w:pPr>
        <w:pStyle w:val="22"/>
        <w:ind w:firstLine="562"/>
        <w:rPr>
          <w:rFonts w:hAnsi="宋体" w:cs="宋体"/>
          <w:b/>
          <w:sz w:val="56"/>
          <w:szCs w:val="56"/>
          <w:highlight w:val="none"/>
        </w:rPr>
      </w:pPr>
    </w:p>
    <w:p w14:paraId="44E4CACD">
      <w:pPr>
        <w:pStyle w:val="23"/>
        <w:ind w:left="480" w:firstLine="1124"/>
        <w:rPr>
          <w:rFonts w:cs="宋体"/>
          <w:b/>
          <w:sz w:val="56"/>
          <w:szCs w:val="56"/>
          <w:highlight w:val="none"/>
        </w:rPr>
      </w:pPr>
    </w:p>
    <w:p w14:paraId="1844F6B6">
      <w:pPr>
        <w:rPr>
          <w:highlight w:val="none"/>
        </w:rPr>
      </w:pPr>
    </w:p>
    <w:p w14:paraId="28B96E99">
      <w:pPr>
        <w:pStyle w:val="23"/>
        <w:ind w:left="480" w:firstLine="480"/>
        <w:rPr>
          <w:highlight w:val="none"/>
        </w:rPr>
      </w:pPr>
    </w:p>
    <w:p w14:paraId="6CD4AC2F">
      <w:pPr>
        <w:spacing w:line="780" w:lineRule="auto"/>
        <w:jc w:val="center"/>
        <w:rPr>
          <w:rFonts w:hAnsi="宋体" w:cs="宋体"/>
          <w:b/>
          <w:sz w:val="56"/>
          <w:szCs w:val="56"/>
          <w:highlight w:val="none"/>
        </w:rPr>
      </w:pPr>
      <w:r>
        <w:rPr>
          <w:rFonts w:hint="eastAsia" w:hAnsi="宋体" w:cs="宋体"/>
          <w:b/>
          <w:sz w:val="56"/>
          <w:szCs w:val="56"/>
          <w:highlight w:val="none"/>
        </w:rPr>
        <w:t>竞争性磋商文件</w:t>
      </w:r>
    </w:p>
    <w:p w14:paraId="35DE87A7">
      <w:pPr>
        <w:rPr>
          <w:rFonts w:hAnsi="宋体" w:cs="宋体"/>
          <w:highlight w:val="none"/>
        </w:rPr>
      </w:pPr>
      <w:bookmarkStart w:id="0" w:name="_Toc363463325"/>
    </w:p>
    <w:p w14:paraId="3506DFD2">
      <w:pPr>
        <w:rPr>
          <w:rFonts w:hAnsi="宋体" w:cs="宋体"/>
          <w:highlight w:val="none"/>
        </w:rPr>
      </w:pPr>
    </w:p>
    <w:p w14:paraId="63C54012">
      <w:pPr>
        <w:rPr>
          <w:rFonts w:hAnsi="宋体" w:cs="宋体"/>
          <w:highlight w:val="none"/>
        </w:rPr>
      </w:pPr>
    </w:p>
    <w:bookmarkEnd w:id="0"/>
    <w:p w14:paraId="2137E901">
      <w:pPr>
        <w:rPr>
          <w:rFonts w:hAnsi="宋体" w:cs="宋体"/>
          <w:sz w:val="18"/>
          <w:szCs w:val="18"/>
          <w:highlight w:val="none"/>
        </w:rPr>
      </w:pPr>
    </w:p>
    <w:p w14:paraId="78F28581">
      <w:pPr>
        <w:jc w:val="center"/>
        <w:rPr>
          <w:rFonts w:hAnsi="宋体" w:cs="宋体"/>
          <w:b/>
          <w:bCs/>
          <w:sz w:val="32"/>
          <w:szCs w:val="32"/>
          <w:highlight w:val="none"/>
        </w:rPr>
      </w:pPr>
    </w:p>
    <w:p w14:paraId="0AF8A445">
      <w:pPr>
        <w:jc w:val="center"/>
        <w:rPr>
          <w:rFonts w:hAnsi="宋体" w:cs="宋体"/>
          <w:b/>
          <w:bCs/>
          <w:sz w:val="32"/>
          <w:szCs w:val="32"/>
          <w:highlight w:val="none"/>
        </w:rPr>
      </w:pPr>
    </w:p>
    <w:p w14:paraId="7FC2AF06">
      <w:pPr>
        <w:rPr>
          <w:rFonts w:hAnsi="宋体" w:cs="宋体"/>
          <w:b/>
          <w:bCs/>
          <w:sz w:val="32"/>
          <w:szCs w:val="32"/>
          <w:highlight w:val="none"/>
        </w:rPr>
      </w:pPr>
    </w:p>
    <w:p w14:paraId="6AC16FB7">
      <w:pPr>
        <w:pStyle w:val="9"/>
        <w:rPr>
          <w:highlight w:val="none"/>
        </w:rPr>
      </w:pPr>
    </w:p>
    <w:p w14:paraId="19E7A71C">
      <w:pPr>
        <w:jc w:val="center"/>
        <w:rPr>
          <w:rFonts w:hAnsi="宋体" w:cs="宋体"/>
          <w:b/>
          <w:bCs/>
          <w:sz w:val="32"/>
          <w:szCs w:val="32"/>
          <w:highlight w:val="none"/>
        </w:rPr>
      </w:pPr>
      <w:r>
        <w:rPr>
          <w:rFonts w:hint="eastAsia" w:hAnsi="宋体" w:cs="宋体"/>
          <w:b/>
          <w:bCs/>
          <w:sz w:val="32"/>
          <w:szCs w:val="32"/>
          <w:highlight w:val="none"/>
        </w:rPr>
        <w:t>陕西至诚项目管理集团有限公司</w:t>
      </w:r>
    </w:p>
    <w:p w14:paraId="670298AA">
      <w:pPr>
        <w:pStyle w:val="10"/>
        <w:jc w:val="center"/>
        <w:rPr>
          <w:rFonts w:ascii="宋体" w:hAnsi="宋体" w:cs="宋体"/>
          <w:b/>
          <w:bCs/>
          <w:sz w:val="32"/>
          <w:szCs w:val="32"/>
          <w:highlight w:val="none"/>
        </w:rPr>
        <w:sectPr>
          <w:headerReference r:id="rId5" w:type="first"/>
          <w:headerReference r:id="rId3" w:type="default"/>
          <w:footerReference r:id="rId6" w:type="default"/>
          <w:headerReference r:id="rId4" w:type="even"/>
          <w:footerReference r:id="rId7" w:type="even"/>
          <w:pgSz w:w="11906" w:h="16838"/>
          <w:pgMar w:top="1361" w:right="1304" w:bottom="1361" w:left="1304" w:header="851" w:footer="992" w:gutter="0"/>
          <w:cols w:space="720" w:num="1"/>
          <w:titlePg/>
          <w:docGrid w:type="lines" w:linePitch="312" w:charSpace="0"/>
        </w:sectPr>
      </w:pPr>
      <w:r>
        <w:rPr>
          <w:rFonts w:hint="eastAsia" w:ascii="宋体" w:hAnsi="宋体" w:cs="宋体"/>
          <w:b/>
          <w:bCs/>
          <w:sz w:val="32"/>
          <w:szCs w:val="32"/>
          <w:highlight w:val="none"/>
        </w:rPr>
        <w:t>二〇二六年</w:t>
      </w:r>
      <w:r>
        <w:rPr>
          <w:rFonts w:hint="eastAsia" w:ascii="宋体" w:hAnsi="宋体" w:cs="宋体"/>
          <w:b/>
          <w:bCs/>
          <w:sz w:val="32"/>
          <w:szCs w:val="32"/>
          <w:highlight w:val="none"/>
          <w:lang w:val="en-US" w:eastAsia="zh-CN"/>
        </w:rPr>
        <w:t>十</w:t>
      </w:r>
      <w:r>
        <w:rPr>
          <w:rFonts w:hint="eastAsia" w:ascii="宋体" w:hAnsi="宋体" w:cs="宋体"/>
          <w:b/>
          <w:bCs/>
          <w:sz w:val="32"/>
          <w:szCs w:val="32"/>
          <w:highlight w:val="none"/>
        </w:rPr>
        <w:t>月</w:t>
      </w:r>
    </w:p>
    <w:p w14:paraId="69A79423">
      <w:pPr>
        <w:rPr>
          <w:rFonts w:hAnsi="宋体" w:cs="宋体"/>
          <w:highlight w:val="none"/>
        </w:rPr>
      </w:pPr>
    </w:p>
    <w:p w14:paraId="5CEAEF82">
      <w:pPr>
        <w:jc w:val="center"/>
        <w:rPr>
          <w:rFonts w:hAnsi="宋体" w:cs="宋体"/>
          <w:b/>
          <w:sz w:val="44"/>
          <w:szCs w:val="44"/>
          <w:highlight w:val="none"/>
        </w:rPr>
      </w:pPr>
      <w:r>
        <w:rPr>
          <w:rFonts w:hint="eastAsia" w:hAnsi="宋体" w:cs="宋体"/>
          <w:b/>
          <w:sz w:val="44"/>
          <w:szCs w:val="44"/>
          <w:highlight w:val="none"/>
        </w:rPr>
        <w:t>目 录</w:t>
      </w:r>
    </w:p>
    <w:sdt>
      <w:sdtPr>
        <w:rPr>
          <w:rFonts w:hAnsi="宋体"/>
          <w:sz w:val="21"/>
          <w:highlight w:val="none"/>
        </w:rPr>
        <w:id w:val="147450925"/>
        <w15:color w:val="DBDBDB"/>
        <w:docPartObj>
          <w:docPartGallery w:val="Table of Contents"/>
          <w:docPartUnique/>
        </w:docPartObj>
      </w:sdtPr>
      <w:sdtEndPr>
        <w:rPr>
          <w:rFonts w:hint="eastAsia" w:hAnsi="宋体" w:cs="宋体"/>
          <w:bCs/>
          <w:sz w:val="24"/>
          <w:szCs w:val="36"/>
          <w:highlight w:val="none"/>
        </w:rPr>
      </w:sdtEndPr>
      <w:sdtContent>
        <w:p w14:paraId="3BF3448A">
          <w:pPr>
            <w:jc w:val="center"/>
            <w:rPr>
              <w:highlight w:val="none"/>
            </w:rPr>
          </w:pPr>
          <w:bookmarkStart w:id="1" w:name="_Toc21518"/>
          <w:bookmarkStart w:id="2" w:name="_Toc5293"/>
          <w:bookmarkStart w:id="3" w:name="_Toc19886"/>
          <w:bookmarkStart w:id="4" w:name="_Toc16218"/>
          <w:bookmarkStart w:id="5" w:name="_Toc389582033"/>
          <w:bookmarkStart w:id="6" w:name="_Toc20652"/>
          <w:bookmarkStart w:id="7" w:name="_Toc20858"/>
          <w:bookmarkStart w:id="8" w:name="_Toc27420"/>
          <w:bookmarkStart w:id="9" w:name="_Toc363474016"/>
          <w:bookmarkStart w:id="10" w:name="_Toc363473971"/>
          <w:bookmarkStart w:id="11" w:name="_Toc403077638"/>
        </w:p>
        <w:p w14:paraId="0BB0894E">
          <w:pPr>
            <w:pStyle w:val="17"/>
            <w:keepNext w:val="0"/>
            <w:keepLines w:val="0"/>
            <w:pageBreakBefore w:val="0"/>
            <w:widowControl w:val="0"/>
            <w:tabs>
              <w:tab w:val="right" w:leader="dot" w:pos="8787"/>
            </w:tabs>
            <w:kinsoku/>
            <w:wordWrap/>
            <w:overflowPunct/>
            <w:topLinePunct w:val="0"/>
            <w:autoSpaceDE/>
            <w:autoSpaceDN/>
            <w:bidi w:val="0"/>
            <w:adjustRightInd w:val="0"/>
            <w:snapToGrid w:val="0"/>
            <w:spacing w:line="360" w:lineRule="auto"/>
            <w:textAlignment w:val="auto"/>
            <w:rPr>
              <w:sz w:val="28"/>
              <w:szCs w:val="28"/>
            </w:rPr>
          </w:pPr>
          <w:r>
            <w:rPr>
              <w:rFonts w:hint="eastAsia" w:hAnsi="宋体" w:cs="宋体"/>
              <w:bCs/>
              <w:sz w:val="40"/>
              <w:szCs w:val="40"/>
              <w:highlight w:val="none"/>
            </w:rPr>
            <w:fldChar w:fldCharType="begin"/>
          </w:r>
          <w:r>
            <w:rPr>
              <w:rFonts w:hint="eastAsia" w:hAnsi="宋体" w:cs="宋体"/>
              <w:bCs/>
              <w:sz w:val="40"/>
              <w:szCs w:val="40"/>
              <w:highlight w:val="none"/>
            </w:rPr>
            <w:instrText xml:space="preserve">TOC \o "1-3" \h \u </w:instrText>
          </w:r>
          <w:r>
            <w:rPr>
              <w:rFonts w:hint="eastAsia" w:hAnsi="宋体" w:cs="宋体"/>
              <w:bCs/>
              <w:sz w:val="40"/>
              <w:szCs w:val="40"/>
              <w:highlight w:val="none"/>
            </w:rPr>
            <w:fldChar w:fldCharType="separate"/>
          </w:r>
          <w:r>
            <w:rPr>
              <w:rFonts w:hint="eastAsia" w:hAnsi="宋体" w:cs="宋体"/>
              <w:bCs/>
              <w:sz w:val="28"/>
              <w:szCs w:val="28"/>
              <w:highlight w:val="none"/>
            </w:rPr>
            <w:fldChar w:fldCharType="begin"/>
          </w:r>
          <w:r>
            <w:rPr>
              <w:rFonts w:hint="eastAsia" w:hAnsi="宋体" w:cs="宋体"/>
              <w:bCs/>
              <w:sz w:val="28"/>
              <w:szCs w:val="28"/>
              <w:highlight w:val="none"/>
            </w:rPr>
            <w:instrText xml:space="preserve"> HYPERLINK \l _Toc8567 </w:instrText>
          </w:r>
          <w:r>
            <w:rPr>
              <w:rFonts w:hint="eastAsia" w:hAnsi="宋体" w:cs="宋体"/>
              <w:bCs/>
              <w:sz w:val="28"/>
              <w:szCs w:val="28"/>
              <w:highlight w:val="none"/>
            </w:rPr>
            <w:fldChar w:fldCharType="separate"/>
          </w:r>
          <w:r>
            <w:rPr>
              <w:rFonts w:hint="eastAsia" w:ascii="宋体" w:cs="宋体"/>
              <w:bCs/>
              <w:sz w:val="28"/>
              <w:szCs w:val="28"/>
              <w:highlight w:val="none"/>
            </w:rPr>
            <w:t>第一章  竞争性磋商公告</w:t>
          </w:r>
          <w:r>
            <w:rPr>
              <w:sz w:val="28"/>
              <w:szCs w:val="28"/>
            </w:rPr>
            <w:tab/>
          </w:r>
          <w:r>
            <w:rPr>
              <w:sz w:val="28"/>
              <w:szCs w:val="28"/>
            </w:rPr>
            <w:fldChar w:fldCharType="begin"/>
          </w:r>
          <w:r>
            <w:rPr>
              <w:sz w:val="28"/>
              <w:szCs w:val="28"/>
            </w:rPr>
            <w:instrText xml:space="preserve"> PAGEREF _Toc8567 \h </w:instrText>
          </w:r>
          <w:r>
            <w:rPr>
              <w:sz w:val="28"/>
              <w:szCs w:val="28"/>
            </w:rPr>
            <w:fldChar w:fldCharType="separate"/>
          </w:r>
          <w:r>
            <w:rPr>
              <w:sz w:val="28"/>
              <w:szCs w:val="28"/>
            </w:rPr>
            <w:t>2</w:t>
          </w:r>
          <w:r>
            <w:rPr>
              <w:sz w:val="28"/>
              <w:szCs w:val="28"/>
            </w:rPr>
            <w:fldChar w:fldCharType="end"/>
          </w:r>
          <w:r>
            <w:rPr>
              <w:rFonts w:hint="eastAsia" w:hAnsi="宋体" w:cs="宋体"/>
              <w:bCs/>
              <w:sz w:val="28"/>
              <w:szCs w:val="28"/>
              <w:highlight w:val="none"/>
            </w:rPr>
            <w:fldChar w:fldCharType="end"/>
          </w:r>
        </w:p>
        <w:p w14:paraId="7A226C43">
          <w:pPr>
            <w:pStyle w:val="17"/>
            <w:keepNext w:val="0"/>
            <w:keepLines w:val="0"/>
            <w:pageBreakBefore w:val="0"/>
            <w:widowControl w:val="0"/>
            <w:tabs>
              <w:tab w:val="right" w:leader="dot" w:pos="8787"/>
            </w:tabs>
            <w:kinsoku/>
            <w:wordWrap/>
            <w:overflowPunct/>
            <w:topLinePunct w:val="0"/>
            <w:autoSpaceDE/>
            <w:autoSpaceDN/>
            <w:bidi w:val="0"/>
            <w:adjustRightInd w:val="0"/>
            <w:snapToGrid w:val="0"/>
            <w:spacing w:line="360" w:lineRule="auto"/>
            <w:textAlignment w:val="auto"/>
            <w:rPr>
              <w:sz w:val="28"/>
              <w:szCs w:val="28"/>
            </w:rPr>
          </w:pPr>
          <w:r>
            <w:rPr>
              <w:rFonts w:hint="eastAsia" w:hAnsi="宋体" w:cs="宋体"/>
              <w:bCs/>
              <w:sz w:val="28"/>
              <w:szCs w:val="28"/>
              <w:highlight w:val="none"/>
            </w:rPr>
            <w:fldChar w:fldCharType="begin"/>
          </w:r>
          <w:r>
            <w:rPr>
              <w:rFonts w:hint="eastAsia" w:hAnsi="宋体" w:cs="宋体"/>
              <w:bCs/>
              <w:sz w:val="28"/>
              <w:szCs w:val="28"/>
              <w:highlight w:val="none"/>
            </w:rPr>
            <w:instrText xml:space="preserve"> HYPERLINK \l _Toc23042 </w:instrText>
          </w:r>
          <w:r>
            <w:rPr>
              <w:rFonts w:hint="eastAsia" w:hAnsi="宋体" w:cs="宋体"/>
              <w:bCs/>
              <w:sz w:val="28"/>
              <w:szCs w:val="28"/>
              <w:highlight w:val="none"/>
            </w:rPr>
            <w:fldChar w:fldCharType="separate"/>
          </w:r>
          <w:r>
            <w:rPr>
              <w:rFonts w:hint="eastAsia"/>
              <w:sz w:val="28"/>
              <w:szCs w:val="28"/>
              <w:highlight w:val="none"/>
            </w:rPr>
            <w:t>第二章  供应商须知</w:t>
          </w:r>
          <w:r>
            <w:rPr>
              <w:sz w:val="28"/>
              <w:szCs w:val="28"/>
            </w:rPr>
            <w:tab/>
          </w:r>
          <w:r>
            <w:rPr>
              <w:sz w:val="28"/>
              <w:szCs w:val="28"/>
            </w:rPr>
            <w:fldChar w:fldCharType="begin"/>
          </w:r>
          <w:r>
            <w:rPr>
              <w:sz w:val="28"/>
              <w:szCs w:val="28"/>
            </w:rPr>
            <w:instrText xml:space="preserve"> PAGEREF _Toc23042 \h </w:instrText>
          </w:r>
          <w:r>
            <w:rPr>
              <w:sz w:val="28"/>
              <w:szCs w:val="28"/>
            </w:rPr>
            <w:fldChar w:fldCharType="separate"/>
          </w:r>
          <w:r>
            <w:rPr>
              <w:sz w:val="28"/>
              <w:szCs w:val="28"/>
            </w:rPr>
            <w:t>7</w:t>
          </w:r>
          <w:r>
            <w:rPr>
              <w:sz w:val="28"/>
              <w:szCs w:val="28"/>
            </w:rPr>
            <w:fldChar w:fldCharType="end"/>
          </w:r>
          <w:r>
            <w:rPr>
              <w:rFonts w:hint="eastAsia" w:hAnsi="宋体" w:cs="宋体"/>
              <w:bCs/>
              <w:sz w:val="28"/>
              <w:szCs w:val="28"/>
              <w:highlight w:val="none"/>
            </w:rPr>
            <w:fldChar w:fldCharType="end"/>
          </w:r>
        </w:p>
        <w:p w14:paraId="1373C5C5">
          <w:pPr>
            <w:pStyle w:val="17"/>
            <w:keepNext w:val="0"/>
            <w:keepLines w:val="0"/>
            <w:pageBreakBefore w:val="0"/>
            <w:widowControl w:val="0"/>
            <w:tabs>
              <w:tab w:val="right" w:leader="dot" w:pos="8787"/>
            </w:tabs>
            <w:kinsoku/>
            <w:wordWrap/>
            <w:overflowPunct/>
            <w:topLinePunct w:val="0"/>
            <w:autoSpaceDE/>
            <w:autoSpaceDN/>
            <w:bidi w:val="0"/>
            <w:adjustRightInd w:val="0"/>
            <w:snapToGrid w:val="0"/>
            <w:spacing w:line="360" w:lineRule="auto"/>
            <w:textAlignment w:val="auto"/>
            <w:rPr>
              <w:sz w:val="28"/>
              <w:szCs w:val="28"/>
            </w:rPr>
          </w:pPr>
          <w:r>
            <w:rPr>
              <w:rFonts w:hint="eastAsia" w:hAnsi="宋体" w:cs="宋体"/>
              <w:bCs/>
              <w:sz w:val="28"/>
              <w:szCs w:val="28"/>
              <w:highlight w:val="none"/>
            </w:rPr>
            <w:fldChar w:fldCharType="begin"/>
          </w:r>
          <w:r>
            <w:rPr>
              <w:rFonts w:hint="eastAsia" w:hAnsi="宋体" w:cs="宋体"/>
              <w:bCs/>
              <w:sz w:val="28"/>
              <w:szCs w:val="28"/>
              <w:highlight w:val="none"/>
            </w:rPr>
            <w:instrText xml:space="preserve"> HYPERLINK \l _Toc28898 </w:instrText>
          </w:r>
          <w:r>
            <w:rPr>
              <w:rFonts w:hint="eastAsia" w:hAnsi="宋体" w:cs="宋体"/>
              <w:bCs/>
              <w:sz w:val="28"/>
              <w:szCs w:val="28"/>
              <w:highlight w:val="none"/>
            </w:rPr>
            <w:fldChar w:fldCharType="separate"/>
          </w:r>
          <w:r>
            <w:rPr>
              <w:rFonts w:hint="eastAsia"/>
              <w:sz w:val="28"/>
              <w:szCs w:val="28"/>
            </w:rPr>
            <w:t xml:space="preserve">第三章 </w:t>
          </w:r>
          <w:r>
            <w:rPr>
              <w:rFonts w:hint="eastAsia"/>
              <w:sz w:val="28"/>
              <w:szCs w:val="28"/>
              <w:highlight w:val="none"/>
            </w:rPr>
            <w:t>评审方法</w:t>
          </w:r>
          <w:r>
            <w:rPr>
              <w:sz w:val="28"/>
              <w:szCs w:val="28"/>
            </w:rPr>
            <w:tab/>
          </w:r>
          <w:r>
            <w:rPr>
              <w:sz w:val="28"/>
              <w:szCs w:val="28"/>
            </w:rPr>
            <w:fldChar w:fldCharType="begin"/>
          </w:r>
          <w:r>
            <w:rPr>
              <w:sz w:val="28"/>
              <w:szCs w:val="28"/>
            </w:rPr>
            <w:instrText xml:space="preserve"> PAGEREF _Toc28898 \h </w:instrText>
          </w:r>
          <w:r>
            <w:rPr>
              <w:sz w:val="28"/>
              <w:szCs w:val="28"/>
            </w:rPr>
            <w:fldChar w:fldCharType="separate"/>
          </w:r>
          <w:r>
            <w:rPr>
              <w:sz w:val="28"/>
              <w:szCs w:val="28"/>
            </w:rPr>
            <w:t>26</w:t>
          </w:r>
          <w:r>
            <w:rPr>
              <w:sz w:val="28"/>
              <w:szCs w:val="28"/>
            </w:rPr>
            <w:fldChar w:fldCharType="end"/>
          </w:r>
          <w:r>
            <w:rPr>
              <w:rFonts w:hint="eastAsia" w:hAnsi="宋体" w:cs="宋体"/>
              <w:bCs/>
              <w:sz w:val="28"/>
              <w:szCs w:val="28"/>
              <w:highlight w:val="none"/>
            </w:rPr>
            <w:fldChar w:fldCharType="end"/>
          </w:r>
        </w:p>
        <w:p w14:paraId="1756479D">
          <w:pPr>
            <w:pStyle w:val="17"/>
            <w:keepNext w:val="0"/>
            <w:keepLines w:val="0"/>
            <w:pageBreakBefore w:val="0"/>
            <w:widowControl w:val="0"/>
            <w:tabs>
              <w:tab w:val="right" w:leader="dot" w:pos="8787"/>
            </w:tabs>
            <w:kinsoku/>
            <w:wordWrap/>
            <w:overflowPunct/>
            <w:topLinePunct w:val="0"/>
            <w:autoSpaceDE/>
            <w:autoSpaceDN/>
            <w:bidi w:val="0"/>
            <w:adjustRightInd w:val="0"/>
            <w:snapToGrid w:val="0"/>
            <w:spacing w:line="360" w:lineRule="auto"/>
            <w:textAlignment w:val="auto"/>
            <w:rPr>
              <w:sz w:val="28"/>
              <w:szCs w:val="28"/>
            </w:rPr>
          </w:pPr>
          <w:r>
            <w:rPr>
              <w:rFonts w:hint="eastAsia" w:hAnsi="宋体" w:cs="宋体"/>
              <w:bCs/>
              <w:sz w:val="28"/>
              <w:szCs w:val="28"/>
              <w:highlight w:val="none"/>
            </w:rPr>
            <w:fldChar w:fldCharType="begin"/>
          </w:r>
          <w:r>
            <w:rPr>
              <w:rFonts w:hint="eastAsia" w:hAnsi="宋体" w:cs="宋体"/>
              <w:bCs/>
              <w:sz w:val="28"/>
              <w:szCs w:val="28"/>
              <w:highlight w:val="none"/>
            </w:rPr>
            <w:instrText xml:space="preserve"> HYPERLINK \l _Toc17239 </w:instrText>
          </w:r>
          <w:r>
            <w:rPr>
              <w:rFonts w:hint="eastAsia" w:hAnsi="宋体" w:cs="宋体"/>
              <w:bCs/>
              <w:sz w:val="28"/>
              <w:szCs w:val="28"/>
              <w:highlight w:val="none"/>
            </w:rPr>
            <w:fldChar w:fldCharType="separate"/>
          </w:r>
          <w:r>
            <w:rPr>
              <w:rFonts w:hint="eastAsia" w:ascii="宋体" w:cs="宋体"/>
              <w:bCs/>
              <w:sz w:val="28"/>
              <w:szCs w:val="28"/>
              <w:highlight w:val="none"/>
            </w:rPr>
            <w:t>第四章  合同条款及格式</w:t>
          </w:r>
          <w:r>
            <w:rPr>
              <w:sz w:val="28"/>
              <w:szCs w:val="28"/>
            </w:rPr>
            <w:tab/>
          </w:r>
          <w:r>
            <w:rPr>
              <w:sz w:val="28"/>
              <w:szCs w:val="28"/>
            </w:rPr>
            <w:fldChar w:fldCharType="begin"/>
          </w:r>
          <w:r>
            <w:rPr>
              <w:sz w:val="28"/>
              <w:szCs w:val="28"/>
            </w:rPr>
            <w:instrText xml:space="preserve"> PAGEREF _Toc17239 \h </w:instrText>
          </w:r>
          <w:r>
            <w:rPr>
              <w:sz w:val="28"/>
              <w:szCs w:val="28"/>
            </w:rPr>
            <w:fldChar w:fldCharType="separate"/>
          </w:r>
          <w:r>
            <w:rPr>
              <w:sz w:val="28"/>
              <w:szCs w:val="28"/>
            </w:rPr>
            <w:t>36</w:t>
          </w:r>
          <w:r>
            <w:rPr>
              <w:sz w:val="28"/>
              <w:szCs w:val="28"/>
            </w:rPr>
            <w:fldChar w:fldCharType="end"/>
          </w:r>
          <w:r>
            <w:rPr>
              <w:rFonts w:hint="eastAsia" w:hAnsi="宋体" w:cs="宋体"/>
              <w:bCs/>
              <w:sz w:val="28"/>
              <w:szCs w:val="28"/>
              <w:highlight w:val="none"/>
            </w:rPr>
            <w:fldChar w:fldCharType="end"/>
          </w:r>
        </w:p>
        <w:p w14:paraId="643860DE">
          <w:pPr>
            <w:pStyle w:val="17"/>
            <w:keepNext w:val="0"/>
            <w:keepLines w:val="0"/>
            <w:pageBreakBefore w:val="0"/>
            <w:widowControl w:val="0"/>
            <w:tabs>
              <w:tab w:val="right" w:leader="dot" w:pos="8787"/>
            </w:tabs>
            <w:kinsoku/>
            <w:wordWrap/>
            <w:overflowPunct/>
            <w:topLinePunct w:val="0"/>
            <w:autoSpaceDE/>
            <w:autoSpaceDN/>
            <w:bidi w:val="0"/>
            <w:adjustRightInd w:val="0"/>
            <w:snapToGrid w:val="0"/>
            <w:spacing w:line="360" w:lineRule="auto"/>
            <w:textAlignment w:val="auto"/>
            <w:rPr>
              <w:sz w:val="28"/>
              <w:szCs w:val="28"/>
            </w:rPr>
          </w:pPr>
          <w:r>
            <w:rPr>
              <w:rFonts w:hint="eastAsia" w:hAnsi="宋体" w:cs="宋体"/>
              <w:bCs/>
              <w:sz w:val="28"/>
              <w:szCs w:val="28"/>
              <w:highlight w:val="none"/>
            </w:rPr>
            <w:fldChar w:fldCharType="begin"/>
          </w:r>
          <w:r>
            <w:rPr>
              <w:rFonts w:hint="eastAsia" w:hAnsi="宋体" w:cs="宋体"/>
              <w:bCs/>
              <w:sz w:val="28"/>
              <w:szCs w:val="28"/>
              <w:highlight w:val="none"/>
            </w:rPr>
            <w:instrText xml:space="preserve"> HYPERLINK \l _Toc7857 </w:instrText>
          </w:r>
          <w:r>
            <w:rPr>
              <w:rFonts w:hint="eastAsia" w:hAnsi="宋体" w:cs="宋体"/>
              <w:bCs/>
              <w:sz w:val="28"/>
              <w:szCs w:val="28"/>
              <w:highlight w:val="none"/>
            </w:rPr>
            <w:fldChar w:fldCharType="separate"/>
          </w:r>
          <w:r>
            <w:rPr>
              <w:rFonts w:hint="eastAsia" w:ascii="宋体" w:cs="宋体"/>
              <w:bCs/>
              <w:sz w:val="28"/>
              <w:szCs w:val="28"/>
              <w:highlight w:val="none"/>
            </w:rPr>
            <w:t>第五章  磋商内容及技术要求</w:t>
          </w:r>
          <w:r>
            <w:rPr>
              <w:sz w:val="28"/>
              <w:szCs w:val="28"/>
            </w:rPr>
            <w:tab/>
          </w:r>
          <w:r>
            <w:rPr>
              <w:sz w:val="28"/>
              <w:szCs w:val="28"/>
            </w:rPr>
            <w:fldChar w:fldCharType="begin"/>
          </w:r>
          <w:r>
            <w:rPr>
              <w:sz w:val="28"/>
              <w:szCs w:val="28"/>
            </w:rPr>
            <w:instrText xml:space="preserve"> PAGEREF _Toc7857 \h </w:instrText>
          </w:r>
          <w:r>
            <w:rPr>
              <w:sz w:val="28"/>
              <w:szCs w:val="28"/>
            </w:rPr>
            <w:fldChar w:fldCharType="separate"/>
          </w:r>
          <w:r>
            <w:rPr>
              <w:sz w:val="28"/>
              <w:szCs w:val="28"/>
            </w:rPr>
            <w:t>42</w:t>
          </w:r>
          <w:r>
            <w:rPr>
              <w:sz w:val="28"/>
              <w:szCs w:val="28"/>
            </w:rPr>
            <w:fldChar w:fldCharType="end"/>
          </w:r>
          <w:r>
            <w:rPr>
              <w:rFonts w:hint="eastAsia" w:hAnsi="宋体" w:cs="宋体"/>
              <w:bCs/>
              <w:sz w:val="28"/>
              <w:szCs w:val="28"/>
              <w:highlight w:val="none"/>
            </w:rPr>
            <w:fldChar w:fldCharType="end"/>
          </w:r>
        </w:p>
        <w:p w14:paraId="1E38E5D3">
          <w:pPr>
            <w:pStyle w:val="17"/>
            <w:keepNext w:val="0"/>
            <w:keepLines w:val="0"/>
            <w:pageBreakBefore w:val="0"/>
            <w:widowControl w:val="0"/>
            <w:tabs>
              <w:tab w:val="right" w:leader="dot" w:pos="8787"/>
            </w:tabs>
            <w:kinsoku/>
            <w:wordWrap/>
            <w:overflowPunct/>
            <w:topLinePunct w:val="0"/>
            <w:autoSpaceDE/>
            <w:autoSpaceDN/>
            <w:bidi w:val="0"/>
            <w:adjustRightInd w:val="0"/>
            <w:snapToGrid w:val="0"/>
            <w:spacing w:line="360" w:lineRule="auto"/>
            <w:textAlignment w:val="auto"/>
          </w:pPr>
          <w:r>
            <w:rPr>
              <w:rFonts w:hint="eastAsia" w:hAnsi="宋体" w:cs="宋体"/>
              <w:bCs/>
              <w:sz w:val="28"/>
              <w:szCs w:val="28"/>
              <w:highlight w:val="none"/>
            </w:rPr>
            <w:fldChar w:fldCharType="begin"/>
          </w:r>
          <w:r>
            <w:rPr>
              <w:rFonts w:hint="eastAsia" w:hAnsi="宋体" w:cs="宋体"/>
              <w:bCs/>
              <w:sz w:val="28"/>
              <w:szCs w:val="28"/>
              <w:highlight w:val="none"/>
            </w:rPr>
            <w:instrText xml:space="preserve"> HYPERLINK \l _Toc19015 </w:instrText>
          </w:r>
          <w:r>
            <w:rPr>
              <w:rFonts w:hint="eastAsia" w:hAnsi="宋体" w:cs="宋体"/>
              <w:bCs/>
              <w:sz w:val="28"/>
              <w:szCs w:val="28"/>
              <w:highlight w:val="none"/>
            </w:rPr>
            <w:fldChar w:fldCharType="separate"/>
          </w:r>
          <w:r>
            <w:rPr>
              <w:rFonts w:hint="eastAsia" w:ascii="宋体" w:cs="宋体"/>
              <w:sz w:val="28"/>
              <w:szCs w:val="28"/>
              <w:highlight w:val="none"/>
            </w:rPr>
            <w:t>第六章  竞争性磋商响应文件格式</w:t>
          </w:r>
          <w:r>
            <w:rPr>
              <w:sz w:val="28"/>
              <w:szCs w:val="28"/>
            </w:rPr>
            <w:tab/>
          </w:r>
          <w:r>
            <w:rPr>
              <w:sz w:val="28"/>
              <w:szCs w:val="28"/>
            </w:rPr>
            <w:fldChar w:fldCharType="begin"/>
          </w:r>
          <w:r>
            <w:rPr>
              <w:sz w:val="28"/>
              <w:szCs w:val="28"/>
            </w:rPr>
            <w:instrText xml:space="preserve"> PAGEREF _Toc19015 \h </w:instrText>
          </w:r>
          <w:r>
            <w:rPr>
              <w:sz w:val="28"/>
              <w:szCs w:val="28"/>
            </w:rPr>
            <w:fldChar w:fldCharType="separate"/>
          </w:r>
          <w:r>
            <w:rPr>
              <w:sz w:val="28"/>
              <w:szCs w:val="28"/>
            </w:rPr>
            <w:t>48</w:t>
          </w:r>
          <w:r>
            <w:rPr>
              <w:sz w:val="28"/>
              <w:szCs w:val="28"/>
            </w:rPr>
            <w:fldChar w:fldCharType="end"/>
          </w:r>
          <w:r>
            <w:rPr>
              <w:rFonts w:hint="eastAsia" w:hAnsi="宋体" w:cs="宋体"/>
              <w:bCs/>
              <w:sz w:val="28"/>
              <w:szCs w:val="28"/>
              <w:highlight w:val="none"/>
            </w:rPr>
            <w:fldChar w:fldCharType="end"/>
          </w:r>
        </w:p>
        <w:p w14:paraId="140F8393">
          <w:pPr>
            <w:pStyle w:val="12"/>
            <w:tabs>
              <w:tab w:val="right" w:leader="dot" w:pos="8787"/>
            </w:tabs>
          </w:pPr>
        </w:p>
        <w:p w14:paraId="01A53BF4">
          <w:pPr>
            <w:pStyle w:val="17"/>
            <w:tabs>
              <w:tab w:val="right" w:leader="dot" w:pos="8302"/>
            </w:tabs>
            <w:spacing w:line="360" w:lineRule="auto"/>
            <w:rPr>
              <w:rFonts w:hAnsi="宋体" w:cs="宋体"/>
              <w:bCs/>
              <w:sz w:val="36"/>
              <w:szCs w:val="36"/>
              <w:highlight w:val="none"/>
            </w:rPr>
          </w:pPr>
          <w:r>
            <w:rPr>
              <w:rFonts w:hint="eastAsia" w:hAnsi="宋体" w:cs="宋体"/>
              <w:bCs/>
              <w:szCs w:val="40"/>
              <w:highlight w:val="none"/>
            </w:rPr>
            <w:fldChar w:fldCharType="end"/>
          </w:r>
        </w:p>
      </w:sdtContent>
    </w:sdt>
    <w:p w14:paraId="3AF9AD33">
      <w:pPr>
        <w:pStyle w:val="2"/>
        <w:spacing w:before="312" w:beforeLines="100"/>
        <w:rPr>
          <w:rFonts w:ascii="宋体" w:cs="宋体"/>
          <w:bCs/>
          <w:szCs w:val="36"/>
          <w:highlight w:val="none"/>
        </w:rPr>
        <w:sectPr>
          <w:footerReference r:id="rId9" w:type="first"/>
          <w:footerReference r:id="rId8" w:type="default"/>
          <w:pgSz w:w="11906" w:h="16838"/>
          <w:pgMar w:top="1418" w:right="1418" w:bottom="1418" w:left="1701" w:header="851" w:footer="992" w:gutter="0"/>
          <w:pgNumType w:start="1"/>
          <w:cols w:space="720" w:num="1"/>
          <w:titlePg/>
          <w:docGrid w:type="lines" w:linePitch="312" w:charSpace="0"/>
        </w:sectPr>
      </w:pPr>
    </w:p>
    <w:p w14:paraId="177641CA">
      <w:pPr>
        <w:pStyle w:val="2"/>
        <w:keepNext w:val="0"/>
        <w:keepLines/>
        <w:pageBreakBefore/>
        <w:spacing w:before="156" w:beforeLines="50" w:after="156" w:afterLines="50" w:line="360" w:lineRule="auto"/>
        <w:rPr>
          <w:rFonts w:ascii="宋体" w:cs="宋体"/>
          <w:bCs/>
          <w:szCs w:val="36"/>
          <w:highlight w:val="none"/>
        </w:rPr>
      </w:pPr>
      <w:bookmarkStart w:id="12" w:name="_Toc2705"/>
      <w:bookmarkStart w:id="13" w:name="_Toc25782"/>
      <w:bookmarkStart w:id="14" w:name="_Toc8567"/>
      <w:bookmarkStart w:id="15" w:name="_Toc423973071"/>
      <w:r>
        <w:rPr>
          <w:rFonts w:hint="eastAsia" w:ascii="宋体" w:cs="宋体"/>
          <w:bCs/>
          <w:szCs w:val="36"/>
          <w:highlight w:val="none"/>
        </w:rPr>
        <w:t xml:space="preserve">第一章  </w:t>
      </w:r>
      <w:bookmarkEnd w:id="1"/>
      <w:bookmarkEnd w:id="2"/>
      <w:bookmarkEnd w:id="3"/>
      <w:bookmarkEnd w:id="4"/>
      <w:bookmarkEnd w:id="5"/>
      <w:bookmarkEnd w:id="6"/>
      <w:bookmarkEnd w:id="7"/>
      <w:r>
        <w:rPr>
          <w:rFonts w:hint="eastAsia" w:ascii="宋体" w:cs="宋体"/>
          <w:bCs/>
          <w:szCs w:val="36"/>
          <w:highlight w:val="none"/>
        </w:rPr>
        <w:t>竞争性磋商公告</w:t>
      </w:r>
      <w:bookmarkEnd w:id="8"/>
      <w:bookmarkEnd w:id="12"/>
      <w:bookmarkEnd w:id="13"/>
      <w:bookmarkEnd w:id="14"/>
      <w:bookmarkEnd w:id="15"/>
    </w:p>
    <w:p w14:paraId="2EC6B388">
      <w:pPr>
        <w:pStyle w:val="6"/>
        <w:widowControl/>
        <w:spacing w:before="150" w:beforeAutospacing="0" w:after="150" w:afterAutospacing="0" w:line="30" w:lineRule="atLeast"/>
        <w:textAlignment w:val="baseline"/>
        <w:rPr>
          <w:rFonts w:hint="default" w:cs="宋体"/>
          <w:b w:val="0"/>
          <w:bCs w:val="0"/>
          <w:sz w:val="24"/>
          <w:szCs w:val="24"/>
          <w:highlight w:val="none"/>
        </w:rPr>
      </w:pPr>
      <w:bookmarkStart w:id="16" w:name="_Toc2929"/>
      <w:bookmarkStart w:id="17" w:name="_Toc389582035"/>
      <w:bookmarkStart w:id="18" w:name="_Toc14793"/>
      <w:bookmarkStart w:id="19" w:name="_Toc29249"/>
      <w:bookmarkStart w:id="20" w:name="_Toc423973072"/>
      <w:bookmarkStart w:id="21" w:name="_Toc3334"/>
      <w:r>
        <w:rPr>
          <w:rStyle w:val="27"/>
          <w:rFonts w:cs="宋体"/>
          <w:b/>
          <w:bCs/>
          <w:color w:val="333333"/>
          <w:sz w:val="24"/>
          <w:szCs w:val="24"/>
          <w:highlight w:val="none"/>
          <w:shd w:val="clear" w:color="auto" w:fill="FFFFFF"/>
        </w:rPr>
        <w:t>项目概况</w:t>
      </w:r>
    </w:p>
    <w:p w14:paraId="17E23762">
      <w:pPr>
        <w:pStyle w:val="20"/>
        <w:spacing w:before="150" w:beforeAutospacing="0" w:after="150" w:afterAutospacing="0" w:line="480" w:lineRule="atLeast"/>
        <w:ind w:firstLine="480"/>
        <w:jc w:val="both"/>
        <w:textAlignment w:val="baseline"/>
        <w:rPr>
          <w:rFonts w:cs="宋体"/>
          <w:highlight w:val="none"/>
        </w:rPr>
      </w:pPr>
      <w:bookmarkStart w:id="247" w:name="_GoBack"/>
      <w:r>
        <w:rPr>
          <w:rFonts w:hint="eastAsia" w:cs="宋体"/>
          <w:color w:val="333333"/>
          <w:highlight w:val="none"/>
          <w:shd w:val="clear" w:color="auto" w:fill="FFFFFF"/>
          <w:lang w:eastAsia="zh-CN"/>
        </w:rPr>
        <w:t>网络生态治理服务</w:t>
      </w:r>
      <w:r>
        <w:rPr>
          <w:rFonts w:hint="eastAsia" w:cs="宋体"/>
          <w:color w:val="333333"/>
          <w:highlight w:val="none"/>
          <w:shd w:val="clear" w:color="auto" w:fill="FFFFFF"/>
        </w:rPr>
        <w:t>项目采购项目的潜在供应商应在陕西省西安市经济技术开发区未央路171-1号银池道拉斯财富中心21楼</w:t>
      </w:r>
      <w:r>
        <w:rPr>
          <w:rFonts w:hint="eastAsia" w:cs="宋体"/>
          <w:color w:val="333333"/>
          <w:highlight w:val="none"/>
          <w:shd w:val="clear" w:color="auto" w:fill="FFFFFF"/>
          <w:lang w:eastAsia="zh-CN"/>
        </w:rPr>
        <w:t>03号</w:t>
      </w:r>
      <w:r>
        <w:rPr>
          <w:rFonts w:hint="eastAsia" w:cs="宋体"/>
          <w:color w:val="333333"/>
          <w:highlight w:val="none"/>
          <w:shd w:val="clear" w:color="auto" w:fill="FFFFFF"/>
        </w:rPr>
        <w:t>获取采购文件，并于2026年</w:t>
      </w:r>
      <w:r>
        <w:rPr>
          <w:rFonts w:hint="eastAsia" w:cs="宋体"/>
          <w:color w:val="333333"/>
          <w:highlight w:val="none"/>
          <w:shd w:val="clear" w:color="auto" w:fill="FFFFFF"/>
          <w:lang w:val="en-US" w:eastAsia="zh-CN"/>
        </w:rPr>
        <w:t>10</w:t>
      </w:r>
      <w:r>
        <w:rPr>
          <w:rFonts w:hint="eastAsia" w:cs="宋体"/>
          <w:color w:val="333333"/>
          <w:highlight w:val="none"/>
          <w:shd w:val="clear" w:color="auto" w:fill="FFFFFF"/>
        </w:rPr>
        <w:t>月</w:t>
      </w:r>
      <w:r>
        <w:rPr>
          <w:rFonts w:hint="eastAsia" w:cs="宋体"/>
          <w:color w:val="333333"/>
          <w:highlight w:val="none"/>
          <w:shd w:val="clear" w:color="auto" w:fill="FFFFFF"/>
          <w:lang w:val="en-US" w:eastAsia="zh-CN"/>
        </w:rPr>
        <w:t>26</w:t>
      </w:r>
      <w:r>
        <w:rPr>
          <w:rFonts w:hint="eastAsia" w:cs="宋体"/>
          <w:color w:val="333333"/>
          <w:highlight w:val="none"/>
          <w:shd w:val="clear" w:color="auto" w:fill="FFFFFF"/>
        </w:rPr>
        <w:t>日</w:t>
      </w:r>
      <w:r>
        <w:rPr>
          <w:rFonts w:hint="eastAsia" w:cs="宋体"/>
          <w:color w:val="333333"/>
          <w:highlight w:val="none"/>
          <w:shd w:val="clear" w:color="auto" w:fill="FFFFFF"/>
          <w:lang w:val="en-US" w:eastAsia="zh-CN"/>
        </w:rPr>
        <w:t>14</w:t>
      </w:r>
      <w:r>
        <w:rPr>
          <w:rFonts w:hint="eastAsia" w:cs="宋体"/>
          <w:color w:val="333333"/>
          <w:highlight w:val="none"/>
          <w:shd w:val="clear" w:color="auto" w:fill="FFFFFF"/>
        </w:rPr>
        <w:t>时</w:t>
      </w:r>
      <w:r>
        <w:rPr>
          <w:rFonts w:hint="eastAsia" w:cs="宋体"/>
          <w:color w:val="333333"/>
          <w:highlight w:val="none"/>
          <w:shd w:val="clear" w:color="auto" w:fill="FFFFFF"/>
          <w:lang w:val="en-US" w:eastAsia="zh-CN"/>
        </w:rPr>
        <w:t>00</w:t>
      </w:r>
      <w:r>
        <w:rPr>
          <w:rFonts w:hint="eastAsia" w:cs="宋体"/>
          <w:color w:val="333333"/>
          <w:highlight w:val="none"/>
          <w:shd w:val="clear" w:color="auto" w:fill="FFFFFF"/>
        </w:rPr>
        <w:t>分00秒（北京时间）前提交响应文件。</w:t>
      </w:r>
    </w:p>
    <w:bookmarkEnd w:id="247"/>
    <w:p w14:paraId="5C736F4F">
      <w:pPr>
        <w:pStyle w:val="5"/>
        <w:widowControl/>
        <w:shd w:val="clear" w:color="auto" w:fill="FFFFFF"/>
        <w:tabs>
          <w:tab w:val="left" w:pos="864"/>
        </w:tabs>
        <w:spacing w:before="150" w:beforeAutospacing="0" w:afterAutospacing="0" w:line="750" w:lineRule="atLeast"/>
        <w:textAlignment w:val="baseline"/>
        <w:rPr>
          <w:rFonts w:hint="default" w:cs="宋体"/>
          <w:b w:val="0"/>
          <w:bCs w:val="0"/>
          <w:color w:val="333333"/>
          <w:highlight w:val="none"/>
        </w:rPr>
      </w:pPr>
      <w:r>
        <w:rPr>
          <w:rStyle w:val="27"/>
          <w:rFonts w:cs="宋体"/>
          <w:b/>
          <w:bCs/>
          <w:color w:val="333333"/>
          <w:highlight w:val="none"/>
          <w:shd w:val="clear" w:color="auto" w:fill="FFFFFF"/>
        </w:rPr>
        <w:t>一、项目基本情况</w:t>
      </w:r>
    </w:p>
    <w:p w14:paraId="53821931">
      <w:pPr>
        <w:pStyle w:val="20"/>
        <w:shd w:val="clear" w:color="auto" w:fill="FFFFFF"/>
        <w:spacing w:before="0" w:beforeAutospacing="0" w:after="0" w:afterAutospacing="0" w:line="480" w:lineRule="atLeast"/>
        <w:ind w:firstLine="480"/>
        <w:jc w:val="both"/>
        <w:textAlignment w:val="baseline"/>
        <w:rPr>
          <w:rFonts w:hint="eastAsia" w:eastAsia="宋体" w:cs="宋体"/>
          <w:color w:val="333333"/>
          <w:highlight w:val="none"/>
          <w:shd w:val="clear" w:color="auto" w:fill="FFFFFF"/>
          <w:lang w:eastAsia="zh-CN"/>
        </w:rPr>
      </w:pPr>
      <w:r>
        <w:rPr>
          <w:rFonts w:hint="eastAsia" w:cs="宋体"/>
          <w:color w:val="333333"/>
          <w:highlight w:val="none"/>
          <w:shd w:val="clear" w:color="auto" w:fill="FFFFFF"/>
        </w:rPr>
        <w:t>项目编号：</w:t>
      </w:r>
      <w:r>
        <w:rPr>
          <w:rFonts w:hint="eastAsia" w:cs="宋体"/>
          <w:color w:val="333333"/>
          <w:highlight w:val="none"/>
          <w:shd w:val="clear" w:color="auto" w:fill="FFFFFF"/>
          <w:lang w:eastAsia="zh-CN"/>
        </w:rPr>
        <w:t>SXZCZB2026-ZCCS-1023</w:t>
      </w:r>
    </w:p>
    <w:p w14:paraId="410D516E">
      <w:pPr>
        <w:pStyle w:val="20"/>
        <w:shd w:val="clear" w:color="auto" w:fill="FFFFFF"/>
        <w:spacing w:before="0" w:beforeAutospacing="0" w:after="0" w:afterAutospacing="0" w:line="480" w:lineRule="atLeast"/>
        <w:ind w:firstLine="480"/>
        <w:jc w:val="both"/>
        <w:textAlignment w:val="baseline"/>
        <w:rPr>
          <w:rFonts w:cs="宋体"/>
          <w:color w:val="333333"/>
          <w:highlight w:val="none"/>
          <w:shd w:val="clear" w:color="auto" w:fill="FFFFFF"/>
        </w:rPr>
      </w:pPr>
      <w:r>
        <w:rPr>
          <w:rFonts w:hint="eastAsia" w:cs="宋体"/>
          <w:color w:val="333333"/>
          <w:highlight w:val="none"/>
          <w:shd w:val="clear" w:color="auto" w:fill="FFFFFF"/>
        </w:rPr>
        <w:t>项目名称：</w:t>
      </w:r>
      <w:r>
        <w:rPr>
          <w:rFonts w:hint="eastAsia" w:cs="宋体"/>
          <w:color w:val="333333"/>
          <w:highlight w:val="none"/>
          <w:shd w:val="clear" w:color="auto" w:fill="FFFFFF"/>
          <w:lang w:eastAsia="zh-CN"/>
        </w:rPr>
        <w:t>网络生态治理服务</w:t>
      </w:r>
      <w:r>
        <w:rPr>
          <w:rFonts w:hint="eastAsia" w:cs="宋体"/>
          <w:color w:val="333333"/>
          <w:highlight w:val="none"/>
          <w:shd w:val="clear" w:color="auto" w:fill="FFFFFF"/>
        </w:rPr>
        <w:t>项目</w:t>
      </w:r>
    </w:p>
    <w:p w14:paraId="36F9C0A1">
      <w:pPr>
        <w:pStyle w:val="20"/>
        <w:shd w:val="clear" w:color="auto" w:fill="FFFFFF"/>
        <w:spacing w:before="0" w:beforeAutospacing="0" w:after="0" w:afterAutospacing="0" w:line="480" w:lineRule="atLeast"/>
        <w:ind w:firstLine="480"/>
        <w:jc w:val="both"/>
        <w:textAlignment w:val="baseline"/>
        <w:rPr>
          <w:rFonts w:cs="宋体"/>
          <w:color w:val="333333"/>
          <w:highlight w:val="none"/>
        </w:rPr>
      </w:pPr>
      <w:r>
        <w:rPr>
          <w:rFonts w:hint="eastAsia" w:cs="宋体"/>
          <w:color w:val="333333"/>
          <w:highlight w:val="none"/>
          <w:shd w:val="clear" w:color="auto" w:fill="FFFFFF"/>
        </w:rPr>
        <w:t>采购方式：竞争性磋商</w:t>
      </w:r>
    </w:p>
    <w:p w14:paraId="265FA7E6">
      <w:pPr>
        <w:pStyle w:val="20"/>
        <w:shd w:val="clear" w:color="auto" w:fill="FFFFFF"/>
        <w:spacing w:before="0" w:beforeAutospacing="0" w:after="0" w:afterAutospacing="0" w:line="480" w:lineRule="atLeast"/>
        <w:ind w:firstLine="480"/>
        <w:jc w:val="both"/>
        <w:textAlignment w:val="baseline"/>
        <w:rPr>
          <w:rFonts w:cs="宋体"/>
          <w:color w:val="333333"/>
          <w:highlight w:val="none"/>
          <w:shd w:val="clear" w:color="auto" w:fill="FFFFFF"/>
        </w:rPr>
      </w:pPr>
      <w:r>
        <w:rPr>
          <w:rFonts w:hint="eastAsia" w:cs="宋体"/>
          <w:color w:val="333333"/>
          <w:highlight w:val="none"/>
          <w:shd w:val="clear" w:color="auto" w:fill="FFFFFF"/>
        </w:rPr>
        <w:t>预算金额：300000.00元</w:t>
      </w:r>
    </w:p>
    <w:p w14:paraId="3EB8DA01">
      <w:pPr>
        <w:pStyle w:val="20"/>
        <w:shd w:val="clear" w:color="auto" w:fill="FFFFFF"/>
        <w:spacing w:before="0" w:beforeAutospacing="0" w:after="0" w:afterAutospacing="0" w:line="480" w:lineRule="atLeast"/>
        <w:ind w:firstLine="480"/>
        <w:jc w:val="both"/>
        <w:textAlignment w:val="baseline"/>
        <w:rPr>
          <w:rFonts w:cs="宋体"/>
          <w:color w:val="333333"/>
          <w:highlight w:val="none"/>
        </w:rPr>
      </w:pPr>
      <w:r>
        <w:rPr>
          <w:rFonts w:hint="eastAsia" w:cs="宋体"/>
          <w:color w:val="333333"/>
          <w:highlight w:val="none"/>
          <w:shd w:val="clear" w:color="auto" w:fill="FFFFFF"/>
        </w:rPr>
        <w:t>采购需求：</w:t>
      </w:r>
    </w:p>
    <w:p w14:paraId="54901BB9">
      <w:pPr>
        <w:pStyle w:val="20"/>
        <w:shd w:val="clear" w:color="auto" w:fill="FFFFFF"/>
        <w:spacing w:before="0" w:beforeAutospacing="0" w:after="0" w:afterAutospacing="0" w:line="480" w:lineRule="atLeast"/>
        <w:ind w:firstLine="480"/>
        <w:jc w:val="both"/>
        <w:textAlignment w:val="baseline"/>
        <w:rPr>
          <w:rFonts w:cs="宋体"/>
          <w:highlight w:val="none"/>
        </w:rPr>
      </w:pPr>
      <w:r>
        <w:rPr>
          <w:rFonts w:hint="eastAsia" w:cs="宋体"/>
          <w:color w:val="333333"/>
          <w:highlight w:val="none"/>
          <w:shd w:val="clear" w:color="auto" w:fill="FFFFFF"/>
        </w:rPr>
        <w:t>合同包1(</w:t>
      </w:r>
      <w:r>
        <w:rPr>
          <w:rFonts w:hint="eastAsia" w:cs="宋体"/>
          <w:color w:val="333333"/>
          <w:highlight w:val="none"/>
          <w:shd w:val="clear" w:color="auto" w:fill="FFFFFF"/>
          <w:lang w:eastAsia="zh-CN"/>
        </w:rPr>
        <w:t>网络生态治理服务</w:t>
      </w:r>
      <w:r>
        <w:rPr>
          <w:rFonts w:hint="eastAsia" w:cs="宋体"/>
          <w:color w:val="333333"/>
          <w:highlight w:val="none"/>
          <w:shd w:val="clear" w:color="auto" w:fill="FFFFFF"/>
        </w:rPr>
        <w:t>项目):</w:t>
      </w:r>
    </w:p>
    <w:p w14:paraId="37846D5C">
      <w:pPr>
        <w:pStyle w:val="20"/>
        <w:shd w:val="clear" w:color="auto" w:fill="FFFFFF"/>
        <w:spacing w:before="0" w:beforeAutospacing="0" w:after="0" w:afterAutospacing="0" w:line="480" w:lineRule="atLeast"/>
        <w:ind w:firstLine="480"/>
        <w:jc w:val="both"/>
        <w:textAlignment w:val="baseline"/>
        <w:rPr>
          <w:rFonts w:cs="宋体"/>
          <w:color w:val="333333"/>
          <w:highlight w:val="none"/>
          <w:shd w:val="clear" w:color="auto" w:fill="FFFFFF"/>
        </w:rPr>
      </w:pPr>
      <w:r>
        <w:rPr>
          <w:rFonts w:hint="eastAsia" w:cs="宋体"/>
          <w:color w:val="333333"/>
          <w:highlight w:val="none"/>
          <w:shd w:val="clear" w:color="auto" w:fill="FFFFFF"/>
        </w:rPr>
        <w:t>合同包预算金额：300000.00元</w:t>
      </w:r>
    </w:p>
    <w:p w14:paraId="6E644480">
      <w:pPr>
        <w:pStyle w:val="20"/>
        <w:shd w:val="clear" w:color="auto" w:fill="FFFFFF"/>
        <w:spacing w:before="0" w:beforeAutospacing="0" w:after="0" w:afterAutospacing="0" w:line="480" w:lineRule="atLeast"/>
        <w:ind w:firstLine="480"/>
        <w:jc w:val="both"/>
        <w:textAlignment w:val="baseline"/>
        <w:rPr>
          <w:rFonts w:cs="宋体"/>
          <w:color w:val="333333"/>
          <w:highlight w:val="none"/>
          <w:shd w:val="clear" w:color="auto" w:fill="FFFFFF"/>
        </w:rPr>
      </w:pPr>
      <w:r>
        <w:rPr>
          <w:rFonts w:hint="eastAsia" w:cs="宋体"/>
          <w:color w:val="333333"/>
          <w:highlight w:val="none"/>
          <w:shd w:val="clear" w:color="auto" w:fill="FFFFFF"/>
        </w:rPr>
        <w:t>合同包最高限价：300000.00元</w:t>
      </w:r>
    </w:p>
    <w:tbl>
      <w:tblPr>
        <w:tblStyle w:val="24"/>
        <w:tblW w:w="0" w:type="auto"/>
        <w:tblInd w:w="0" w:type="dxa"/>
        <w:tblLayout w:type="autofit"/>
        <w:tblCellMar>
          <w:top w:w="0" w:type="dxa"/>
          <w:left w:w="0" w:type="dxa"/>
          <w:bottom w:w="0" w:type="dxa"/>
          <w:right w:w="0" w:type="dxa"/>
        </w:tblCellMar>
      </w:tblPr>
      <w:tblGrid>
        <w:gridCol w:w="805"/>
        <w:gridCol w:w="1614"/>
        <w:gridCol w:w="1301"/>
        <w:gridCol w:w="1126"/>
        <w:gridCol w:w="1556"/>
        <w:gridCol w:w="1568"/>
        <w:gridCol w:w="1568"/>
      </w:tblGrid>
      <w:tr w14:paraId="7622F078">
        <w:tblPrEx>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A4D9CA">
            <w:pPr>
              <w:widowControl/>
              <w:wordWrap w:val="0"/>
              <w:spacing w:line="360" w:lineRule="atLeast"/>
              <w:jc w:val="center"/>
              <w:textAlignment w:val="center"/>
              <w:rPr>
                <w:rFonts w:hAnsi="宋体" w:cs="宋体"/>
                <w:b/>
                <w:bCs/>
                <w:szCs w:val="24"/>
                <w:highlight w:val="none"/>
              </w:rPr>
            </w:pPr>
            <w:r>
              <w:rPr>
                <w:rFonts w:hint="eastAsia" w:hAnsi="宋体" w:cs="宋体"/>
                <w:b/>
                <w:bCs/>
                <w:szCs w:val="24"/>
                <w:highlight w:val="none"/>
                <w:lang w:bidi="ar"/>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43D474">
            <w:pPr>
              <w:widowControl/>
              <w:wordWrap w:val="0"/>
              <w:spacing w:line="360" w:lineRule="atLeast"/>
              <w:jc w:val="center"/>
              <w:textAlignment w:val="center"/>
              <w:rPr>
                <w:rFonts w:hAnsi="宋体" w:cs="宋体"/>
                <w:b/>
                <w:bCs/>
                <w:szCs w:val="24"/>
                <w:highlight w:val="none"/>
              </w:rPr>
            </w:pPr>
            <w:r>
              <w:rPr>
                <w:rFonts w:hint="eastAsia" w:hAnsi="宋体" w:cs="宋体"/>
                <w:b/>
                <w:bCs/>
                <w:szCs w:val="24"/>
                <w:highlight w:val="none"/>
                <w:lang w:bidi="ar"/>
              </w:rPr>
              <w:t>品目名称</w:t>
            </w:r>
          </w:p>
        </w:tc>
        <w:tc>
          <w:tcPr>
            <w:tcW w:w="13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3A3738">
            <w:pPr>
              <w:widowControl/>
              <w:wordWrap w:val="0"/>
              <w:spacing w:line="360" w:lineRule="atLeast"/>
              <w:jc w:val="center"/>
              <w:textAlignment w:val="center"/>
              <w:rPr>
                <w:rFonts w:hAnsi="宋体" w:cs="宋体"/>
                <w:b/>
                <w:bCs/>
                <w:szCs w:val="24"/>
                <w:highlight w:val="none"/>
              </w:rPr>
            </w:pPr>
            <w:r>
              <w:rPr>
                <w:rFonts w:hint="eastAsia" w:hAnsi="宋体" w:cs="宋体"/>
                <w:b/>
                <w:bCs/>
                <w:szCs w:val="24"/>
                <w:highlight w:val="none"/>
                <w:lang w:bidi="ar"/>
              </w:rPr>
              <w:t>采购标的</w:t>
            </w:r>
          </w:p>
        </w:tc>
        <w:tc>
          <w:tcPr>
            <w:tcW w:w="11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6500FC">
            <w:pPr>
              <w:widowControl/>
              <w:wordWrap w:val="0"/>
              <w:spacing w:line="360" w:lineRule="atLeast"/>
              <w:jc w:val="center"/>
              <w:textAlignment w:val="center"/>
              <w:rPr>
                <w:rFonts w:hAnsi="宋体" w:cs="宋体"/>
                <w:b/>
                <w:bCs/>
                <w:szCs w:val="24"/>
                <w:highlight w:val="none"/>
              </w:rPr>
            </w:pPr>
            <w:r>
              <w:rPr>
                <w:rFonts w:hint="eastAsia" w:hAnsi="宋体" w:cs="宋体"/>
                <w:b/>
                <w:bCs/>
                <w:szCs w:val="24"/>
                <w:highlight w:val="none"/>
                <w:lang w:bidi="ar"/>
              </w:rPr>
              <w:t>数量（单位）</w:t>
            </w:r>
          </w:p>
        </w:tc>
        <w:tc>
          <w:tcPr>
            <w:tcW w:w="15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E3B2BE">
            <w:pPr>
              <w:widowControl/>
              <w:wordWrap w:val="0"/>
              <w:spacing w:line="360" w:lineRule="atLeast"/>
              <w:jc w:val="center"/>
              <w:textAlignment w:val="center"/>
              <w:rPr>
                <w:rFonts w:hAnsi="宋体" w:cs="宋体"/>
                <w:b/>
                <w:bCs/>
                <w:szCs w:val="24"/>
                <w:highlight w:val="none"/>
              </w:rPr>
            </w:pPr>
            <w:r>
              <w:rPr>
                <w:rFonts w:hint="eastAsia" w:hAnsi="宋体" w:cs="宋体"/>
                <w:b/>
                <w:bCs/>
                <w:szCs w:val="24"/>
                <w:highlight w:val="none"/>
                <w:lang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4CEBC7">
            <w:pPr>
              <w:widowControl/>
              <w:wordWrap w:val="0"/>
              <w:spacing w:line="360" w:lineRule="atLeast"/>
              <w:jc w:val="center"/>
              <w:textAlignment w:val="center"/>
              <w:rPr>
                <w:rFonts w:hAnsi="宋体" w:cs="宋体"/>
                <w:b/>
                <w:bCs/>
                <w:szCs w:val="24"/>
                <w:highlight w:val="none"/>
              </w:rPr>
            </w:pPr>
            <w:r>
              <w:rPr>
                <w:rFonts w:hint="eastAsia" w:hAnsi="宋体" w:cs="宋体"/>
                <w:b/>
                <w:bCs/>
                <w:szCs w:val="24"/>
                <w:highlight w:val="none"/>
                <w:lang w:bidi="ar"/>
              </w:rPr>
              <w:t>品目预算(元)</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FE1971">
            <w:pPr>
              <w:widowControl/>
              <w:wordWrap w:val="0"/>
              <w:spacing w:line="360" w:lineRule="atLeast"/>
              <w:jc w:val="center"/>
              <w:textAlignment w:val="center"/>
              <w:rPr>
                <w:rFonts w:hAnsi="宋体" w:cs="宋体"/>
                <w:b/>
                <w:bCs/>
                <w:szCs w:val="24"/>
                <w:highlight w:val="none"/>
              </w:rPr>
            </w:pPr>
            <w:r>
              <w:rPr>
                <w:rFonts w:hint="eastAsia" w:hAnsi="宋体" w:cs="宋体"/>
                <w:b/>
                <w:bCs/>
                <w:szCs w:val="24"/>
                <w:highlight w:val="none"/>
                <w:lang w:bidi="ar"/>
              </w:rPr>
              <w:t>最高限价(元)</w:t>
            </w:r>
          </w:p>
        </w:tc>
      </w:tr>
      <w:tr w14:paraId="4597BBC1">
        <w:tblPrEx>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702581">
            <w:pPr>
              <w:widowControl/>
              <w:wordWrap w:val="0"/>
              <w:spacing w:line="360" w:lineRule="atLeast"/>
              <w:jc w:val="center"/>
              <w:textAlignment w:val="center"/>
              <w:rPr>
                <w:rFonts w:hAnsi="宋体" w:cs="宋体"/>
                <w:szCs w:val="24"/>
                <w:highlight w:val="none"/>
              </w:rPr>
            </w:pPr>
            <w:r>
              <w:rPr>
                <w:rFonts w:hint="eastAsia" w:hAnsi="宋体" w:cs="宋体"/>
                <w:szCs w:val="24"/>
                <w:highlight w:val="none"/>
                <w:lang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5B8DB9">
            <w:pPr>
              <w:widowControl/>
              <w:wordWrap w:val="0"/>
              <w:spacing w:line="360" w:lineRule="atLeast"/>
              <w:jc w:val="center"/>
              <w:textAlignment w:val="center"/>
              <w:rPr>
                <w:rFonts w:hAnsi="宋体" w:cs="宋体"/>
                <w:szCs w:val="24"/>
                <w:highlight w:val="none"/>
              </w:rPr>
            </w:pPr>
            <w:r>
              <w:rPr>
                <w:rFonts w:hint="eastAsia" w:hAnsi="宋体" w:cs="宋体"/>
                <w:szCs w:val="24"/>
                <w:highlight w:val="none"/>
              </w:rPr>
              <w:t>其他信息技术服务</w:t>
            </w:r>
          </w:p>
        </w:tc>
        <w:tc>
          <w:tcPr>
            <w:tcW w:w="13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58AD1B">
            <w:pPr>
              <w:pStyle w:val="20"/>
              <w:shd w:val="clear" w:color="auto" w:fill="FFFFFF"/>
              <w:spacing w:before="0" w:beforeAutospacing="0" w:after="0" w:afterAutospacing="0" w:line="480" w:lineRule="atLeast"/>
              <w:jc w:val="both"/>
              <w:textAlignment w:val="baseline"/>
              <w:rPr>
                <w:rFonts w:cs="宋体"/>
                <w:highlight w:val="none"/>
              </w:rPr>
            </w:pPr>
            <w:r>
              <w:rPr>
                <w:rFonts w:hint="eastAsia" w:cs="宋体"/>
                <w:highlight w:val="none"/>
                <w:lang w:eastAsia="zh-CN"/>
              </w:rPr>
              <w:t>网络生态治理服务</w:t>
            </w:r>
            <w:r>
              <w:rPr>
                <w:rFonts w:hint="eastAsia" w:cs="宋体"/>
                <w:highlight w:val="none"/>
              </w:rPr>
              <w:t>项目</w:t>
            </w:r>
          </w:p>
        </w:tc>
        <w:tc>
          <w:tcPr>
            <w:tcW w:w="11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F58F72">
            <w:pPr>
              <w:widowControl/>
              <w:wordWrap w:val="0"/>
              <w:spacing w:line="360" w:lineRule="atLeast"/>
              <w:jc w:val="center"/>
              <w:textAlignment w:val="center"/>
              <w:rPr>
                <w:rFonts w:hAnsi="宋体" w:cs="宋体"/>
                <w:szCs w:val="24"/>
                <w:highlight w:val="none"/>
              </w:rPr>
            </w:pPr>
            <w:r>
              <w:rPr>
                <w:rFonts w:hint="eastAsia" w:hAnsi="宋体" w:cs="宋体"/>
                <w:szCs w:val="24"/>
                <w:highlight w:val="none"/>
              </w:rPr>
              <w:t>1(项)</w:t>
            </w:r>
          </w:p>
        </w:tc>
        <w:tc>
          <w:tcPr>
            <w:tcW w:w="15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8CC974">
            <w:pPr>
              <w:widowControl/>
              <w:wordWrap w:val="0"/>
              <w:spacing w:line="360" w:lineRule="atLeast"/>
              <w:jc w:val="center"/>
              <w:textAlignment w:val="center"/>
              <w:rPr>
                <w:rFonts w:hAnsi="宋体" w:cs="宋体"/>
                <w:szCs w:val="24"/>
                <w:highlight w:val="none"/>
              </w:rPr>
            </w:pPr>
            <w:r>
              <w:rPr>
                <w:rFonts w:hint="eastAsia" w:hAnsi="宋体" w:cs="宋体"/>
                <w:szCs w:val="24"/>
                <w:highlight w:val="none"/>
                <w:lang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193418">
            <w:pPr>
              <w:widowControl/>
              <w:spacing w:line="360" w:lineRule="atLeast"/>
              <w:jc w:val="right"/>
              <w:textAlignment w:val="center"/>
              <w:rPr>
                <w:rFonts w:hAnsi="宋体" w:cs="宋体"/>
                <w:szCs w:val="24"/>
                <w:highlight w:val="none"/>
              </w:rPr>
            </w:pPr>
            <w:r>
              <w:rPr>
                <w:rFonts w:hint="eastAsia" w:cs="宋体"/>
                <w:color w:val="333333"/>
                <w:szCs w:val="24"/>
                <w:highlight w:val="none"/>
                <w:shd w:val="clear" w:color="auto" w:fill="FFFFFF"/>
              </w:rPr>
              <w:t>300000.00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F0451A">
            <w:pPr>
              <w:widowControl/>
              <w:spacing w:line="360" w:lineRule="atLeast"/>
              <w:jc w:val="right"/>
              <w:textAlignment w:val="center"/>
              <w:rPr>
                <w:rFonts w:hAnsi="宋体" w:cs="宋体"/>
                <w:szCs w:val="24"/>
                <w:highlight w:val="none"/>
              </w:rPr>
            </w:pPr>
            <w:r>
              <w:rPr>
                <w:rFonts w:hint="eastAsia" w:cs="宋体"/>
                <w:color w:val="333333"/>
                <w:szCs w:val="24"/>
                <w:highlight w:val="none"/>
                <w:shd w:val="clear" w:color="auto" w:fill="FFFFFF"/>
              </w:rPr>
              <w:t>300000.00</w:t>
            </w:r>
          </w:p>
        </w:tc>
      </w:tr>
    </w:tbl>
    <w:p w14:paraId="690AB5A0">
      <w:pPr>
        <w:pStyle w:val="20"/>
        <w:spacing w:before="0" w:beforeAutospacing="0" w:after="0" w:afterAutospacing="0" w:line="480" w:lineRule="atLeast"/>
        <w:ind w:firstLine="630"/>
        <w:jc w:val="both"/>
        <w:textAlignment w:val="baseline"/>
        <w:rPr>
          <w:rFonts w:cs="宋体"/>
          <w:highlight w:val="none"/>
        </w:rPr>
      </w:pPr>
      <w:r>
        <w:rPr>
          <w:rFonts w:hint="eastAsia" w:cs="宋体"/>
          <w:color w:val="333333"/>
          <w:highlight w:val="none"/>
          <w:shd w:val="clear" w:color="auto" w:fill="FFFFFF"/>
        </w:rPr>
        <w:t>本合同包不接受联合体磋商</w:t>
      </w:r>
    </w:p>
    <w:p w14:paraId="5AE6A526">
      <w:pPr>
        <w:pStyle w:val="20"/>
        <w:spacing w:before="0" w:beforeAutospacing="0" w:after="0" w:afterAutospacing="0" w:line="480" w:lineRule="atLeast"/>
        <w:ind w:firstLine="630"/>
        <w:jc w:val="both"/>
        <w:textAlignment w:val="baseline"/>
        <w:rPr>
          <w:rFonts w:cs="宋体"/>
          <w:color w:val="333333"/>
          <w:highlight w:val="none"/>
          <w:shd w:val="clear" w:color="auto" w:fill="FFFFFF"/>
        </w:rPr>
      </w:pPr>
      <w:r>
        <w:rPr>
          <w:rFonts w:hint="eastAsia" w:cs="宋体"/>
          <w:color w:val="333333"/>
          <w:highlight w:val="none"/>
          <w:shd w:val="clear" w:color="auto" w:fill="FFFFFF"/>
        </w:rPr>
        <w:t>合同履行期限：自合同签订之日起1年（服务期满后，如服务内容和价格无变化，委托人可根据服务期内的考核情况决定是否续签下一年度合同，合同续签最长不超过两年。）</w:t>
      </w:r>
    </w:p>
    <w:p w14:paraId="5D5A7D77">
      <w:pPr>
        <w:pStyle w:val="5"/>
        <w:widowControl/>
        <w:shd w:val="clear" w:color="auto" w:fill="FFFFFF"/>
        <w:tabs>
          <w:tab w:val="left" w:pos="864"/>
        </w:tabs>
        <w:spacing w:before="150" w:beforeAutospacing="0" w:afterAutospacing="0" w:line="750" w:lineRule="atLeast"/>
        <w:textAlignment w:val="baseline"/>
        <w:rPr>
          <w:rFonts w:hint="default" w:cs="宋体"/>
          <w:b w:val="0"/>
          <w:bCs w:val="0"/>
          <w:color w:val="333333"/>
          <w:highlight w:val="none"/>
        </w:rPr>
      </w:pPr>
      <w:r>
        <w:rPr>
          <w:rStyle w:val="27"/>
          <w:rFonts w:cs="宋体"/>
          <w:b/>
          <w:bCs/>
          <w:color w:val="333333"/>
          <w:highlight w:val="none"/>
          <w:shd w:val="clear" w:color="auto" w:fill="FFFFFF"/>
        </w:rPr>
        <w:t>二、申请人的资格要求：</w:t>
      </w:r>
    </w:p>
    <w:p w14:paraId="738C3630">
      <w:pPr>
        <w:pStyle w:val="20"/>
        <w:spacing w:before="0" w:beforeAutospacing="0" w:after="0" w:afterAutospacing="0" w:line="480" w:lineRule="atLeast"/>
        <w:ind w:firstLine="480"/>
        <w:jc w:val="both"/>
        <w:textAlignment w:val="baseline"/>
        <w:rPr>
          <w:rFonts w:hint="eastAsia" w:eastAsia="宋体" w:cs="宋体"/>
          <w:highlight w:val="none"/>
          <w:lang w:eastAsia="zh-CN"/>
        </w:rPr>
      </w:pPr>
      <w:r>
        <w:rPr>
          <w:rFonts w:hint="eastAsia" w:cs="宋体"/>
          <w:color w:val="333333"/>
          <w:highlight w:val="none"/>
          <w:shd w:val="clear" w:color="auto" w:fill="FFFFFF"/>
        </w:rPr>
        <w:t>1.满足《中华人民共和国政府采购法》第二十二条规定</w:t>
      </w:r>
      <w:r>
        <w:rPr>
          <w:rFonts w:hint="eastAsia" w:cs="宋体"/>
          <w:color w:val="333333"/>
          <w:highlight w:val="none"/>
          <w:shd w:val="clear" w:color="auto" w:fill="FFFFFF"/>
          <w:lang w:eastAsia="zh-CN"/>
        </w:rPr>
        <w:t>；</w:t>
      </w:r>
    </w:p>
    <w:p w14:paraId="6507C838">
      <w:pPr>
        <w:pStyle w:val="20"/>
        <w:spacing w:before="0" w:beforeAutospacing="0" w:after="0" w:afterAutospacing="0" w:line="480" w:lineRule="atLeast"/>
        <w:ind w:firstLine="480"/>
        <w:jc w:val="both"/>
        <w:textAlignment w:val="baseline"/>
        <w:rPr>
          <w:rFonts w:cs="宋体"/>
          <w:highlight w:val="none"/>
        </w:rPr>
      </w:pPr>
      <w:r>
        <w:rPr>
          <w:rFonts w:hint="eastAsia" w:cs="宋体"/>
          <w:color w:val="333333"/>
          <w:highlight w:val="none"/>
          <w:shd w:val="clear" w:color="auto" w:fill="FFFFFF"/>
        </w:rPr>
        <w:t>2.落实政府采购政策需满足的资格要求：</w:t>
      </w:r>
    </w:p>
    <w:p w14:paraId="7699050D">
      <w:pPr>
        <w:pStyle w:val="20"/>
        <w:shd w:val="clear" w:color="auto" w:fill="FFFFFF"/>
        <w:spacing w:before="0" w:beforeAutospacing="0" w:after="0" w:afterAutospacing="0" w:line="480" w:lineRule="atLeast"/>
        <w:ind w:firstLine="480"/>
        <w:jc w:val="both"/>
        <w:textAlignment w:val="baseline"/>
        <w:rPr>
          <w:rFonts w:cs="宋体"/>
          <w:highlight w:val="none"/>
        </w:rPr>
      </w:pPr>
      <w:r>
        <w:rPr>
          <w:rFonts w:hint="eastAsia" w:cs="宋体"/>
          <w:color w:val="333333"/>
          <w:highlight w:val="none"/>
          <w:shd w:val="clear" w:color="auto" w:fill="FFFFFF"/>
        </w:rPr>
        <w:t>合同包1(</w:t>
      </w:r>
      <w:r>
        <w:rPr>
          <w:rFonts w:hint="eastAsia" w:cs="宋体"/>
          <w:color w:val="333333"/>
          <w:highlight w:val="none"/>
          <w:shd w:val="clear" w:color="auto" w:fill="FFFFFF"/>
          <w:lang w:eastAsia="zh-CN"/>
        </w:rPr>
        <w:t>网络生态治理服务</w:t>
      </w:r>
      <w:r>
        <w:rPr>
          <w:rFonts w:hint="eastAsia" w:cs="宋体"/>
          <w:color w:val="333333"/>
          <w:highlight w:val="none"/>
          <w:shd w:val="clear" w:color="auto" w:fill="FFFFFF"/>
        </w:rPr>
        <w:t>项目)落实政府采购政策需满足的资格要求如下:</w:t>
      </w:r>
    </w:p>
    <w:p w14:paraId="6763B576">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（1）《政府采购促进中小企业发展管理办法》（财库〔2020〕46号）；</w:t>
      </w:r>
    </w:p>
    <w:p w14:paraId="773565E0">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（2）《财政部司法部关于政府采购支持监狱企业发展有关问题的通知》（财库〔2014〕68号）；</w:t>
      </w:r>
    </w:p>
    <w:p w14:paraId="569245CC">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（3）《关于促进残疾人就业政府采购政策的通知》（财库〔2017〕141号）；</w:t>
      </w:r>
    </w:p>
    <w:p w14:paraId="448C9407">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（4）《节能产品政府采购实施意见》（财库〔2004〕185号）；</w:t>
      </w:r>
    </w:p>
    <w:p w14:paraId="6017A01D">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（5）《环境标志产品政府采购实施的意见》（财库〔2006〕90号）；</w:t>
      </w:r>
    </w:p>
    <w:p w14:paraId="056674FF">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（6）《国务院办公厅关于建立政府强制采购节能产品制度的通知》（国办发〔2007〕51号）；</w:t>
      </w:r>
    </w:p>
    <w:p w14:paraId="46A302CC">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（7）财政部发展改革委生态环境部市场监管总局关于调整优化节能产品、环境标志产品政府采购执行机制的通知（财库〔2019〕9号）；</w:t>
      </w:r>
    </w:p>
    <w:p w14:paraId="76AF33BB">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（8）《关于印发环境标志产品政府采购品目清单的通知》（财库〔2019〕18号）；</w:t>
      </w:r>
    </w:p>
    <w:p w14:paraId="3A609527">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（9）《关于印发节能产品政府采购品目清单的通知》（财库〔2019〕19号）；</w:t>
      </w:r>
    </w:p>
    <w:p w14:paraId="2646DBB3">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（10）《市场监督管理局关于发布参与实施政府采购节能产品、环境标志产品认证机构名录的公告》（2019年第16号）；</w:t>
      </w:r>
    </w:p>
    <w:p w14:paraId="07673666">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（11）《关于运用政府采购政策支持乡村产业振兴的通知》（财库〔2021〕19号）；</w:t>
      </w:r>
    </w:p>
    <w:p w14:paraId="1D9EAEC3">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（12）陕西省财政厅关于印发《陕西省中小企业政府采购信用融资办法》（陕财办采〔2018〕23号），相关政策、业务流程、办理平台（详见http://www.ccgp-shaanxi.gov.cn/zcdservice/zcd/shanxi/）；</w:t>
      </w:r>
    </w:p>
    <w:p w14:paraId="6BA34228">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（13）《陕西省财政厅关于加快推进我省中小企业政府采购信用融资工作的通知》（陕财办采〔2020〕15号）；</w:t>
      </w:r>
    </w:p>
    <w:p w14:paraId="712DF822">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（14）《关于进一步加强政府绿色采购有关问题的通知》（陕财办采〔2021〕29号）；</w:t>
      </w:r>
    </w:p>
    <w:p w14:paraId="0B951715">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（15）《陕西省财政厅陕西省工业和信息化厅关于运用政府采购政策支持首台（套）及创新产品有关事项的通知》（陕财办采〔2021〕17号）；</w:t>
      </w:r>
    </w:p>
    <w:p w14:paraId="71A3354D">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（16）《关于进一步加大政府采购支持中小企业力度的通知》（财库〔2022〕19号）、《关于落实政府采购支持中小企业政策有关事项的通知》（陕财办采函〔2022〕10号）；</w:t>
      </w:r>
    </w:p>
    <w:p w14:paraId="1D40BF6A">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（17）其他需要落实的政府采购政策。</w:t>
      </w:r>
    </w:p>
    <w:p w14:paraId="57FC0379">
      <w:pPr>
        <w:pStyle w:val="20"/>
        <w:spacing w:before="0" w:beforeAutospacing="0" w:after="0" w:afterAutospacing="0" w:line="360" w:lineRule="auto"/>
        <w:ind w:firstLine="480"/>
        <w:jc w:val="both"/>
        <w:textAlignment w:val="baseline"/>
        <w:rPr>
          <w:rFonts w:cs="宋体"/>
          <w:highlight w:val="none"/>
        </w:rPr>
      </w:pPr>
      <w:r>
        <w:rPr>
          <w:rFonts w:hint="eastAsia" w:cs="宋体"/>
          <w:color w:val="333333"/>
          <w:highlight w:val="none"/>
          <w:shd w:val="clear" w:color="auto" w:fill="FFFFFF"/>
        </w:rPr>
        <w:t>3.本项目的特定资格要求：</w:t>
      </w:r>
    </w:p>
    <w:p w14:paraId="7A1E1B1C">
      <w:pPr>
        <w:spacing w:line="360" w:lineRule="auto"/>
        <w:ind w:firstLine="480" w:firstLineChars="200"/>
        <w:rPr>
          <w:rFonts w:hAnsi="宋体" w:cs="宋体"/>
          <w:color w:val="333333"/>
          <w:szCs w:val="24"/>
          <w:highlight w:val="none"/>
          <w:shd w:val="clear" w:color="auto" w:fill="FFFFFF"/>
        </w:rPr>
      </w:pPr>
      <w:r>
        <w:rPr>
          <w:rFonts w:hint="eastAsia" w:hAnsi="宋体" w:cs="宋体"/>
          <w:color w:val="333333"/>
          <w:szCs w:val="24"/>
          <w:highlight w:val="none"/>
          <w:shd w:val="clear" w:color="auto" w:fill="FFFFFF"/>
        </w:rPr>
        <w:t>合同包1(</w:t>
      </w:r>
      <w:r>
        <w:rPr>
          <w:rFonts w:hint="eastAsia" w:hAnsi="宋体" w:cs="宋体"/>
          <w:color w:val="333333"/>
          <w:szCs w:val="24"/>
          <w:highlight w:val="none"/>
          <w:shd w:val="clear" w:color="auto" w:fill="FFFFFF"/>
          <w:lang w:eastAsia="zh-CN"/>
        </w:rPr>
        <w:t>网络生态治理服务</w:t>
      </w:r>
      <w:r>
        <w:rPr>
          <w:rFonts w:hint="eastAsia" w:hAnsi="宋体" w:cs="宋体"/>
          <w:color w:val="333333"/>
          <w:szCs w:val="24"/>
          <w:highlight w:val="none"/>
          <w:shd w:val="clear" w:color="auto" w:fill="FFFFFF"/>
        </w:rPr>
        <w:t>项目)特定资格要求如下:</w:t>
      </w:r>
    </w:p>
    <w:p w14:paraId="7002FF6C">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（1）具有独立承担民事责任能力的法人、其他组织或自然人，并出具合法有效的统一社会信用代码的营业执照或事业单位法人证书等国家规定的相关证明，自然人参与的提供其身份证明；</w:t>
      </w:r>
    </w:p>
    <w:p w14:paraId="3E0DD4FC">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（2）提供法定代表人授权书(附法定代表人、被授权人身份证复印件及授权代表本单位证明(养老保险缴纳证明)，(法定代表人直接参加投标，须提供法定代表人身份证明及身份证复印件)；</w:t>
      </w:r>
      <w:r>
        <w:rPr>
          <w:rFonts w:ascii="宋体" w:hAnsi="宋体" w:eastAsia="宋体" w:cs="宋体"/>
          <w:sz w:val="24"/>
          <w:szCs w:val="24"/>
          <w:highlight w:val="none"/>
          <w:lang w:eastAsia="zh-CN"/>
        </w:rPr>
        <w:br w:type="textWrapping"/>
      </w:r>
      <w:r>
        <w:rPr>
          <w:rFonts w:ascii="宋体" w:hAnsi="宋体" w:eastAsia="宋体" w:cs="宋体"/>
          <w:sz w:val="24"/>
          <w:szCs w:val="24"/>
          <w:highlight w:val="none"/>
          <w:lang w:eastAsia="zh-CN"/>
        </w:rPr>
        <w:t xml:space="preserve">  </w:t>
      </w:r>
      <w:r>
        <w:rPr>
          <w:rFonts w:ascii="宋体" w:hAnsi="宋体" w:eastAsia="宋体" w:cs="宋体"/>
          <w:sz w:val="24"/>
          <w:szCs w:val="24"/>
          <w:highlight w:val="none"/>
        </w:rPr>
        <w:t>（3）财务状况报告：提供2025年度经审计的财务报告（包括“四表⼀注”，即资产负债表、利润表、现⾦流量表、所有者权益变动表及其附注，符合《中⼩企业划型标准规定》的⼩型企业按照《⼩企业会计准则》执⾏。成⽴时间⾄提交投标⽂件截⽌时间不⾜⼀年的可提供成⽴后任意时段的资产负债表），审计报告须具有注册会计师⾏业统⼀监管平台（http://acc.mof.gov.cn）赋予的验证码；或提供其开标前三个⽉内基本开户银⾏出具的资信证明；</w:t>
      </w:r>
    </w:p>
    <w:p w14:paraId="33B0A00A">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（4）税收缴纳证明：</w:t>
      </w:r>
      <w:r>
        <w:rPr>
          <w:rFonts w:ascii="宋体" w:hAnsi="宋体" w:eastAsia="宋体" w:cs="宋体"/>
          <w:sz w:val="24"/>
          <w:szCs w:val="24"/>
          <w:highlight w:val="none"/>
          <w:lang w:eastAsia="zh-CN"/>
        </w:rPr>
        <w:t>供应商</w:t>
      </w:r>
      <w:r>
        <w:rPr>
          <w:rFonts w:ascii="宋体" w:hAnsi="宋体" w:eastAsia="宋体" w:cs="宋体"/>
          <w:sz w:val="24"/>
          <w:szCs w:val="24"/>
          <w:highlight w:val="none"/>
        </w:rPr>
        <w:t>须提供</w:t>
      </w:r>
      <w:r>
        <w:rPr>
          <w:rFonts w:ascii="宋体" w:hAnsi="宋体" w:eastAsia="宋体" w:cs="宋体"/>
          <w:sz w:val="24"/>
          <w:szCs w:val="24"/>
          <w:highlight w:val="none"/>
          <w:lang w:eastAsia="zh-CN"/>
        </w:rPr>
        <w:t>响应</w:t>
      </w:r>
      <w:r>
        <w:rPr>
          <w:rFonts w:ascii="宋体" w:hAnsi="宋体" w:eastAsia="宋体" w:cs="宋体"/>
          <w:sz w:val="24"/>
          <w:szCs w:val="24"/>
          <w:highlight w:val="none"/>
        </w:rPr>
        <w:t>截止时间前12个月内任意1个月的纳税证明或完税证明（任意税种），依法免税的单位应提供相关证明材料；</w:t>
      </w:r>
    </w:p>
    <w:p w14:paraId="19F866F8">
      <w:pPr>
        <w:pStyle w:val="48"/>
        <w:spacing w:line="360" w:lineRule="auto"/>
        <w:ind w:firstLine="480" w:firstLineChars="200"/>
        <w:outlineLvl w:val="3"/>
        <w:rPr>
          <w:rFonts w:hint="default" w:ascii="宋体" w:hAnsi="宋体" w:eastAsia="宋体" w:cs="宋体"/>
          <w:sz w:val="24"/>
          <w:szCs w:val="24"/>
          <w:highlight w:val="none"/>
          <w:lang w:eastAsia="zh-CN"/>
        </w:rPr>
      </w:pPr>
      <w:r>
        <w:rPr>
          <w:rFonts w:ascii="宋体" w:hAnsi="宋体" w:eastAsia="宋体" w:cs="宋体"/>
          <w:sz w:val="24"/>
          <w:szCs w:val="24"/>
          <w:highlight w:val="none"/>
        </w:rPr>
        <w:t>（5）社会保障资金缴纳证明：</w:t>
      </w:r>
      <w:r>
        <w:rPr>
          <w:rFonts w:ascii="宋体" w:hAnsi="宋体" w:eastAsia="宋体" w:cs="宋体"/>
          <w:sz w:val="24"/>
          <w:szCs w:val="24"/>
          <w:highlight w:val="none"/>
          <w:lang w:eastAsia="zh-CN"/>
        </w:rPr>
        <w:t>供应商</w:t>
      </w:r>
      <w:r>
        <w:rPr>
          <w:rFonts w:ascii="宋体" w:hAnsi="宋体" w:eastAsia="宋体" w:cs="宋体"/>
          <w:sz w:val="24"/>
          <w:szCs w:val="24"/>
          <w:highlight w:val="none"/>
        </w:rPr>
        <w:t>须提供</w:t>
      </w:r>
      <w:r>
        <w:rPr>
          <w:rFonts w:ascii="宋体" w:hAnsi="宋体" w:eastAsia="宋体" w:cs="宋体"/>
          <w:sz w:val="24"/>
          <w:szCs w:val="24"/>
          <w:highlight w:val="none"/>
          <w:lang w:eastAsia="zh-CN"/>
        </w:rPr>
        <w:t>响应</w:t>
      </w:r>
      <w:r>
        <w:rPr>
          <w:rFonts w:ascii="宋体" w:hAnsi="宋体" w:eastAsia="宋体" w:cs="宋体"/>
          <w:sz w:val="24"/>
          <w:szCs w:val="24"/>
          <w:highlight w:val="none"/>
        </w:rPr>
        <w:t>截止时间前12个月内任意1个月的社会保障资金缴纳记录（专用收据或社会保险缴纳清单），复印件加盖投标人公章。依法免税或不需要缴纳社会保障资金的投标人，应提供相应文件证明其依法免税或不需要缴纳社会保障资金</w:t>
      </w:r>
      <w:r>
        <w:rPr>
          <w:rFonts w:ascii="宋体" w:hAnsi="宋体" w:eastAsia="宋体" w:cs="宋体"/>
          <w:sz w:val="24"/>
          <w:szCs w:val="24"/>
          <w:highlight w:val="none"/>
          <w:lang w:eastAsia="zh-CN"/>
        </w:rPr>
        <w:t>；</w:t>
      </w:r>
    </w:p>
    <w:p w14:paraId="6992E892">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6</w:t>
      </w:r>
      <w:r>
        <w:rPr>
          <w:rFonts w:ascii="宋体" w:hAnsi="宋体" w:eastAsia="宋体" w:cs="宋体"/>
          <w:sz w:val="24"/>
          <w:szCs w:val="24"/>
          <w:highlight w:val="none"/>
        </w:rPr>
        <w:t>）提供具有履行本合同所必需的设备和专业技术能力的说明及承诺书；</w:t>
      </w:r>
    </w:p>
    <w:p w14:paraId="43F116E2">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7</w:t>
      </w:r>
      <w:r>
        <w:rPr>
          <w:rFonts w:ascii="宋体" w:hAnsi="宋体" w:eastAsia="宋体" w:cs="宋体"/>
          <w:sz w:val="24"/>
          <w:szCs w:val="24"/>
          <w:highlight w:val="none"/>
        </w:rPr>
        <w:t>）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1307C0E2">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8</w:t>
      </w:r>
      <w:r>
        <w:rPr>
          <w:rFonts w:ascii="宋体" w:hAnsi="宋体" w:eastAsia="宋体" w:cs="宋体"/>
          <w:sz w:val="24"/>
          <w:szCs w:val="24"/>
          <w:highlight w:val="none"/>
        </w:rPr>
        <w:t>）参加政府采购活动前3年内，在经营活动中没有重大违法记录的书面声明；</w:t>
      </w:r>
    </w:p>
    <w:p w14:paraId="2B7F5D58">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9</w:t>
      </w:r>
      <w:r>
        <w:rPr>
          <w:rFonts w:ascii="宋体" w:hAnsi="宋体" w:eastAsia="宋体" w:cs="宋体"/>
          <w:sz w:val="24"/>
          <w:szCs w:val="24"/>
          <w:highlight w:val="none"/>
        </w:rPr>
        <w:t>）控股管理关系：提供直接控股和管理关系清单。若与其他供应商存在单位负责人为同一人或者存在直接控股、管理关系的，则投标无效；</w:t>
      </w:r>
    </w:p>
    <w:p w14:paraId="502CB822">
      <w:pPr>
        <w:pStyle w:val="48"/>
        <w:spacing w:line="360" w:lineRule="auto"/>
        <w:ind w:firstLine="480" w:firstLineChars="200"/>
        <w:outlineLvl w:val="3"/>
        <w:rPr>
          <w:rFonts w:hint="default" w:ascii="宋体" w:hAnsi="宋体" w:eastAsia="宋体" w:cs="宋体"/>
          <w:sz w:val="24"/>
          <w:szCs w:val="24"/>
          <w:highlight w:val="none"/>
          <w:lang w:eastAsia="zh-CN"/>
        </w:rPr>
      </w:pPr>
      <w:r>
        <w:rPr>
          <w:rFonts w:ascii="宋体" w:hAnsi="宋体" w:eastAsia="宋体" w:cs="宋体"/>
          <w:sz w:val="24"/>
          <w:szCs w:val="24"/>
          <w:highlight w:val="none"/>
          <w:lang w:eastAsia="zh-CN"/>
        </w:rPr>
        <w:t>（10）本项目为专门面向中小企业采购；</w:t>
      </w:r>
    </w:p>
    <w:p w14:paraId="5EA0CEE9">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lang w:eastAsia="zh-CN"/>
        </w:rPr>
        <w:t>（11）</w:t>
      </w:r>
      <w:r>
        <w:rPr>
          <w:rFonts w:ascii="宋体" w:hAnsi="宋体" w:eastAsia="宋体" w:cs="宋体"/>
          <w:sz w:val="24"/>
          <w:szCs w:val="24"/>
          <w:highlight w:val="none"/>
        </w:rPr>
        <w:t>本项目不接受联合体</w:t>
      </w:r>
      <w:r>
        <w:rPr>
          <w:rFonts w:ascii="宋体" w:hAnsi="宋体" w:eastAsia="宋体" w:cs="宋体"/>
          <w:sz w:val="24"/>
          <w:szCs w:val="24"/>
          <w:highlight w:val="none"/>
          <w:lang w:eastAsia="zh-CN"/>
        </w:rPr>
        <w:t>磋商</w:t>
      </w:r>
      <w:r>
        <w:rPr>
          <w:rFonts w:ascii="宋体" w:hAnsi="宋体" w:eastAsia="宋体" w:cs="宋体"/>
          <w:sz w:val="24"/>
          <w:szCs w:val="24"/>
          <w:highlight w:val="none"/>
        </w:rPr>
        <w:t>（提供承诺书）。</w:t>
      </w:r>
    </w:p>
    <w:p w14:paraId="5A2EA353">
      <w:pPr>
        <w:pStyle w:val="5"/>
        <w:widowControl/>
        <w:shd w:val="clear" w:color="auto" w:fill="FFFFFF"/>
        <w:tabs>
          <w:tab w:val="left" w:pos="864"/>
        </w:tabs>
        <w:spacing w:before="150" w:beforeAutospacing="0" w:afterAutospacing="0" w:line="750" w:lineRule="atLeast"/>
        <w:textAlignment w:val="baseline"/>
        <w:rPr>
          <w:rFonts w:hint="default" w:cs="宋体"/>
          <w:b w:val="0"/>
          <w:bCs w:val="0"/>
          <w:color w:val="333333"/>
          <w:highlight w:val="none"/>
        </w:rPr>
      </w:pPr>
      <w:r>
        <w:rPr>
          <w:rStyle w:val="27"/>
          <w:rFonts w:cs="宋体"/>
          <w:b/>
          <w:bCs/>
          <w:color w:val="333333"/>
          <w:highlight w:val="none"/>
          <w:shd w:val="clear" w:color="auto" w:fill="FFFFFF"/>
        </w:rPr>
        <w:t>三、获取采购文件</w:t>
      </w:r>
    </w:p>
    <w:p w14:paraId="4A3C8975">
      <w:pPr>
        <w:pStyle w:val="20"/>
        <w:shd w:val="clear" w:color="auto" w:fill="FFFFFF"/>
        <w:spacing w:before="0" w:beforeAutospacing="0" w:after="0" w:afterAutospacing="0" w:line="480" w:lineRule="atLeast"/>
        <w:ind w:firstLine="480"/>
        <w:jc w:val="both"/>
        <w:textAlignment w:val="baseline"/>
        <w:rPr>
          <w:rFonts w:cs="宋体"/>
          <w:color w:val="333333"/>
          <w:highlight w:val="none"/>
        </w:rPr>
      </w:pPr>
      <w:r>
        <w:rPr>
          <w:rFonts w:hint="eastAsia" w:cs="宋体"/>
          <w:color w:val="333333"/>
          <w:highlight w:val="none"/>
          <w:shd w:val="clear" w:color="auto" w:fill="FFFFFF"/>
        </w:rPr>
        <w:t>时间：2026年</w:t>
      </w:r>
      <w:r>
        <w:rPr>
          <w:rFonts w:hint="eastAsia" w:cs="宋体"/>
          <w:color w:val="333333"/>
          <w:highlight w:val="none"/>
          <w:shd w:val="clear" w:color="auto" w:fill="FFFFFF"/>
          <w:lang w:val="en-US" w:eastAsia="zh-CN"/>
        </w:rPr>
        <w:t>10</w:t>
      </w:r>
      <w:r>
        <w:rPr>
          <w:rFonts w:hint="eastAsia" w:cs="宋体"/>
          <w:color w:val="333333"/>
          <w:highlight w:val="none"/>
          <w:shd w:val="clear" w:color="auto" w:fill="FFFFFF"/>
        </w:rPr>
        <w:t>月</w:t>
      </w:r>
      <w:r>
        <w:rPr>
          <w:rFonts w:hint="eastAsia" w:cs="宋体"/>
          <w:color w:val="333333"/>
          <w:highlight w:val="none"/>
          <w:shd w:val="clear" w:color="auto" w:fill="FFFFFF"/>
          <w:lang w:val="en-US" w:eastAsia="zh-CN"/>
        </w:rPr>
        <w:t>15</w:t>
      </w:r>
      <w:r>
        <w:rPr>
          <w:rFonts w:hint="eastAsia" w:cs="宋体"/>
          <w:color w:val="333333"/>
          <w:highlight w:val="none"/>
          <w:shd w:val="clear" w:color="auto" w:fill="FFFFFF"/>
        </w:rPr>
        <w:t>日至2026年</w:t>
      </w:r>
      <w:r>
        <w:rPr>
          <w:rFonts w:hint="eastAsia" w:cs="宋体"/>
          <w:color w:val="333333"/>
          <w:highlight w:val="none"/>
          <w:shd w:val="clear" w:color="auto" w:fill="FFFFFF"/>
          <w:lang w:val="en-US" w:eastAsia="zh-CN"/>
        </w:rPr>
        <w:t>10</w:t>
      </w:r>
      <w:r>
        <w:rPr>
          <w:rFonts w:hint="eastAsia" w:cs="宋体"/>
          <w:color w:val="333333"/>
          <w:highlight w:val="none"/>
          <w:shd w:val="clear" w:color="auto" w:fill="FFFFFF"/>
        </w:rPr>
        <w:t>月</w:t>
      </w:r>
      <w:r>
        <w:rPr>
          <w:rFonts w:hint="eastAsia" w:cs="宋体"/>
          <w:color w:val="333333"/>
          <w:highlight w:val="none"/>
          <w:shd w:val="clear" w:color="auto" w:fill="FFFFFF"/>
          <w:lang w:val="en-US" w:eastAsia="zh-CN"/>
        </w:rPr>
        <w:t>21</w:t>
      </w:r>
      <w:r>
        <w:rPr>
          <w:rFonts w:hint="eastAsia" w:cs="宋体"/>
          <w:color w:val="333333"/>
          <w:highlight w:val="none"/>
          <w:shd w:val="clear" w:color="auto" w:fill="FFFFFF"/>
        </w:rPr>
        <w:t>日，</w:t>
      </w:r>
      <w:r>
        <w:rPr>
          <w:rFonts w:hint="eastAsia" w:cs="宋体"/>
          <w:color w:val="333333"/>
          <w:highlight w:val="none"/>
          <w:shd w:val="clear" w:color="auto" w:fill="FFFFFF"/>
        </w:rPr>
        <w:t>每天上午 09:00:00 至 12:00:00 ，下午 14:00:00 至 17:00:00 （北京时间）</w:t>
      </w:r>
    </w:p>
    <w:p w14:paraId="0F723356">
      <w:pPr>
        <w:pStyle w:val="20"/>
        <w:shd w:val="clear" w:color="auto" w:fill="FFFFFF"/>
        <w:spacing w:before="0" w:beforeAutospacing="0" w:after="0" w:afterAutospacing="0" w:line="480" w:lineRule="atLeast"/>
        <w:ind w:firstLine="480"/>
        <w:jc w:val="both"/>
        <w:textAlignment w:val="baseline"/>
        <w:rPr>
          <w:rFonts w:hint="default" w:eastAsia="宋体" w:cs="宋体"/>
          <w:color w:val="333333"/>
          <w:highlight w:val="none"/>
          <w:shd w:val="clear" w:color="auto" w:fill="FFFFFF"/>
          <w:lang w:val="en-US" w:eastAsia="zh-CN"/>
        </w:rPr>
      </w:pPr>
      <w:r>
        <w:rPr>
          <w:rFonts w:hint="eastAsia" w:cs="宋体"/>
          <w:color w:val="333333"/>
          <w:highlight w:val="none"/>
          <w:shd w:val="clear" w:color="auto" w:fill="FFFFFF"/>
        </w:rPr>
        <w:t>途径：陕西省西安市经济技术开发区未央路171-1号银池道拉斯财富中心21楼</w:t>
      </w:r>
      <w:r>
        <w:rPr>
          <w:rFonts w:hint="eastAsia" w:cs="宋体"/>
          <w:color w:val="333333"/>
          <w:highlight w:val="none"/>
          <w:shd w:val="clear" w:color="auto" w:fill="FFFFFF"/>
          <w:lang w:val="en-US" w:eastAsia="zh-CN"/>
        </w:rPr>
        <w:t>03号</w:t>
      </w:r>
    </w:p>
    <w:p w14:paraId="2B2817F3">
      <w:pPr>
        <w:pStyle w:val="20"/>
        <w:shd w:val="clear" w:color="auto" w:fill="FFFFFF"/>
        <w:spacing w:before="0" w:beforeAutospacing="0" w:after="0" w:afterAutospacing="0" w:line="480" w:lineRule="atLeast"/>
        <w:ind w:firstLine="480"/>
        <w:jc w:val="both"/>
        <w:textAlignment w:val="baseline"/>
        <w:rPr>
          <w:rFonts w:cs="宋体"/>
          <w:color w:val="333333"/>
          <w:highlight w:val="none"/>
        </w:rPr>
      </w:pPr>
      <w:r>
        <w:rPr>
          <w:rFonts w:hint="eastAsia" w:cs="宋体"/>
          <w:color w:val="333333"/>
          <w:highlight w:val="none"/>
          <w:shd w:val="clear" w:color="auto" w:fill="FFFFFF"/>
        </w:rPr>
        <w:t>方式：现场获取</w:t>
      </w:r>
    </w:p>
    <w:p w14:paraId="3C2B9779">
      <w:pPr>
        <w:pStyle w:val="20"/>
        <w:shd w:val="clear" w:color="auto" w:fill="FFFFFF"/>
        <w:spacing w:before="0" w:beforeAutospacing="0" w:after="0" w:afterAutospacing="0" w:line="480" w:lineRule="atLeast"/>
        <w:ind w:firstLine="480"/>
        <w:jc w:val="both"/>
        <w:textAlignment w:val="baseline"/>
        <w:rPr>
          <w:rFonts w:cs="宋体"/>
          <w:color w:val="333333"/>
          <w:highlight w:val="none"/>
        </w:rPr>
      </w:pPr>
      <w:r>
        <w:rPr>
          <w:rFonts w:hint="eastAsia" w:cs="宋体"/>
          <w:color w:val="333333"/>
          <w:highlight w:val="none"/>
          <w:shd w:val="clear" w:color="auto" w:fill="FFFFFF"/>
        </w:rPr>
        <w:t>售价：0元</w:t>
      </w:r>
    </w:p>
    <w:p w14:paraId="6F5EE0C2">
      <w:pPr>
        <w:pStyle w:val="5"/>
        <w:widowControl/>
        <w:shd w:val="clear" w:color="auto" w:fill="FFFFFF"/>
        <w:tabs>
          <w:tab w:val="left" w:pos="864"/>
        </w:tabs>
        <w:spacing w:before="150" w:beforeAutospacing="0" w:afterAutospacing="0" w:line="750" w:lineRule="atLeast"/>
        <w:textAlignment w:val="baseline"/>
        <w:rPr>
          <w:rFonts w:hint="default" w:cs="宋体"/>
          <w:b w:val="0"/>
          <w:bCs w:val="0"/>
          <w:color w:val="333333"/>
          <w:highlight w:val="none"/>
        </w:rPr>
      </w:pPr>
      <w:r>
        <w:rPr>
          <w:rStyle w:val="27"/>
          <w:rFonts w:cs="宋体"/>
          <w:b/>
          <w:bCs/>
          <w:color w:val="333333"/>
          <w:highlight w:val="none"/>
          <w:shd w:val="clear" w:color="auto" w:fill="FFFFFF"/>
        </w:rPr>
        <w:t>四、响应文件提交</w:t>
      </w:r>
    </w:p>
    <w:p w14:paraId="25E17095">
      <w:pPr>
        <w:pStyle w:val="20"/>
        <w:shd w:val="clear" w:color="auto" w:fill="FFFFFF"/>
        <w:spacing w:before="0" w:beforeAutospacing="0" w:after="0" w:afterAutospacing="0" w:line="480" w:lineRule="atLeast"/>
        <w:ind w:firstLine="480"/>
        <w:jc w:val="both"/>
        <w:textAlignment w:val="baseline"/>
        <w:rPr>
          <w:rFonts w:cs="宋体"/>
          <w:color w:val="333333"/>
          <w:highlight w:val="none"/>
        </w:rPr>
      </w:pPr>
      <w:r>
        <w:rPr>
          <w:rFonts w:hint="eastAsia" w:cs="宋体"/>
          <w:color w:val="333333"/>
          <w:highlight w:val="none"/>
          <w:shd w:val="clear" w:color="auto" w:fill="FFFFFF"/>
        </w:rPr>
        <w:t>截止时间：2026年</w:t>
      </w:r>
      <w:r>
        <w:rPr>
          <w:rFonts w:hint="eastAsia" w:cs="宋体"/>
          <w:color w:val="333333"/>
          <w:highlight w:val="none"/>
          <w:shd w:val="clear" w:color="auto" w:fill="FFFFFF"/>
          <w:lang w:val="en-US" w:eastAsia="zh-CN"/>
        </w:rPr>
        <w:t>10</w:t>
      </w:r>
      <w:r>
        <w:rPr>
          <w:rFonts w:hint="eastAsia" w:cs="宋体"/>
          <w:color w:val="333333"/>
          <w:highlight w:val="none"/>
          <w:shd w:val="clear" w:color="auto" w:fill="FFFFFF"/>
        </w:rPr>
        <w:t>月</w:t>
      </w:r>
      <w:r>
        <w:rPr>
          <w:rFonts w:hint="eastAsia" w:cs="宋体"/>
          <w:color w:val="333333"/>
          <w:highlight w:val="none"/>
          <w:shd w:val="clear" w:color="auto" w:fill="FFFFFF"/>
          <w:lang w:val="en-US" w:eastAsia="zh-CN"/>
        </w:rPr>
        <w:t>26</w:t>
      </w:r>
      <w:r>
        <w:rPr>
          <w:rFonts w:hint="eastAsia" w:cs="宋体"/>
          <w:color w:val="333333"/>
          <w:highlight w:val="none"/>
          <w:shd w:val="clear" w:color="auto" w:fill="FFFFFF"/>
        </w:rPr>
        <w:t>日</w:t>
      </w:r>
      <w:r>
        <w:rPr>
          <w:rFonts w:hint="eastAsia" w:cs="宋体"/>
          <w:color w:val="333333"/>
          <w:highlight w:val="none"/>
          <w:shd w:val="clear" w:color="auto" w:fill="FFFFFF"/>
          <w:lang w:val="en-US" w:eastAsia="zh-CN"/>
        </w:rPr>
        <w:t>14</w:t>
      </w:r>
      <w:r>
        <w:rPr>
          <w:rFonts w:hint="eastAsia" w:cs="宋体"/>
          <w:color w:val="333333"/>
          <w:highlight w:val="none"/>
          <w:shd w:val="clear" w:color="auto" w:fill="FFFFFF"/>
        </w:rPr>
        <w:t>时00分00秒 （</w:t>
      </w:r>
      <w:r>
        <w:rPr>
          <w:rFonts w:hint="eastAsia" w:cs="宋体"/>
          <w:color w:val="333333"/>
          <w:highlight w:val="none"/>
          <w:shd w:val="clear" w:color="auto" w:fill="FFFFFF"/>
        </w:rPr>
        <w:t>北京时间）</w:t>
      </w:r>
    </w:p>
    <w:p w14:paraId="54A8D294">
      <w:pPr>
        <w:pStyle w:val="20"/>
        <w:shd w:val="clear" w:color="auto" w:fill="FFFFFF"/>
        <w:spacing w:before="0" w:beforeAutospacing="0" w:after="0" w:afterAutospacing="0" w:line="480" w:lineRule="atLeast"/>
        <w:ind w:firstLine="480"/>
        <w:jc w:val="both"/>
        <w:textAlignment w:val="baseline"/>
        <w:rPr>
          <w:rFonts w:hint="eastAsia" w:eastAsia="宋体" w:cs="宋体"/>
          <w:color w:val="333333"/>
          <w:highlight w:val="none"/>
          <w:lang w:eastAsia="zh-CN"/>
        </w:rPr>
      </w:pPr>
      <w:r>
        <w:rPr>
          <w:rFonts w:hint="eastAsia" w:cs="宋体"/>
          <w:color w:val="333333"/>
          <w:highlight w:val="none"/>
          <w:shd w:val="clear" w:color="auto" w:fill="FFFFFF"/>
        </w:rPr>
        <w:t>地点：陕西省西安市经济技术开发区未央路171-1号银池道拉斯财富中心21楼</w:t>
      </w:r>
      <w:r>
        <w:rPr>
          <w:rFonts w:hint="eastAsia" w:cs="宋体"/>
          <w:color w:val="333333"/>
          <w:highlight w:val="none"/>
          <w:shd w:val="clear" w:color="auto" w:fill="FFFFFF"/>
          <w:lang w:eastAsia="zh-CN"/>
        </w:rPr>
        <w:t>03号</w:t>
      </w:r>
    </w:p>
    <w:p w14:paraId="6BA3586C">
      <w:pPr>
        <w:pStyle w:val="5"/>
        <w:widowControl/>
        <w:shd w:val="clear" w:color="auto" w:fill="FFFFFF"/>
        <w:tabs>
          <w:tab w:val="left" w:pos="864"/>
        </w:tabs>
        <w:spacing w:before="150" w:beforeAutospacing="0" w:afterAutospacing="0" w:line="750" w:lineRule="atLeast"/>
        <w:textAlignment w:val="baseline"/>
        <w:rPr>
          <w:rFonts w:hint="default" w:cs="宋体"/>
          <w:b w:val="0"/>
          <w:bCs w:val="0"/>
          <w:color w:val="333333"/>
          <w:highlight w:val="none"/>
        </w:rPr>
      </w:pPr>
      <w:r>
        <w:rPr>
          <w:rStyle w:val="27"/>
          <w:rFonts w:cs="宋体"/>
          <w:b/>
          <w:bCs/>
          <w:color w:val="333333"/>
          <w:highlight w:val="none"/>
          <w:shd w:val="clear" w:color="auto" w:fill="FFFFFF"/>
        </w:rPr>
        <w:t>五、开启</w:t>
      </w:r>
    </w:p>
    <w:p w14:paraId="74840D35">
      <w:pPr>
        <w:pStyle w:val="20"/>
        <w:shd w:val="clear" w:color="auto" w:fill="FFFFFF"/>
        <w:spacing w:before="0" w:beforeAutospacing="0" w:after="0" w:afterAutospacing="0" w:line="480" w:lineRule="atLeast"/>
        <w:ind w:firstLine="480"/>
        <w:jc w:val="both"/>
        <w:textAlignment w:val="baseline"/>
        <w:rPr>
          <w:rFonts w:cs="宋体"/>
          <w:color w:val="333333"/>
          <w:highlight w:val="none"/>
        </w:rPr>
      </w:pPr>
      <w:r>
        <w:rPr>
          <w:rFonts w:hint="eastAsia" w:cs="宋体"/>
          <w:color w:val="333333"/>
          <w:highlight w:val="none"/>
          <w:shd w:val="clear" w:color="auto" w:fill="FFFFFF"/>
        </w:rPr>
        <w:t>时间：2026年</w:t>
      </w:r>
      <w:r>
        <w:rPr>
          <w:rFonts w:hint="eastAsia" w:cs="宋体"/>
          <w:color w:val="333333"/>
          <w:highlight w:val="none"/>
          <w:shd w:val="clear" w:color="auto" w:fill="FFFFFF"/>
          <w:lang w:val="en-US" w:eastAsia="zh-CN"/>
        </w:rPr>
        <w:t>10</w:t>
      </w:r>
      <w:r>
        <w:rPr>
          <w:rFonts w:hint="eastAsia" w:cs="宋体"/>
          <w:color w:val="333333"/>
          <w:highlight w:val="none"/>
          <w:shd w:val="clear" w:color="auto" w:fill="FFFFFF"/>
        </w:rPr>
        <w:t>月</w:t>
      </w:r>
      <w:r>
        <w:rPr>
          <w:rFonts w:hint="eastAsia" w:cs="宋体"/>
          <w:color w:val="333333"/>
          <w:highlight w:val="none"/>
          <w:shd w:val="clear" w:color="auto" w:fill="FFFFFF"/>
          <w:lang w:val="en-US" w:eastAsia="zh-CN"/>
        </w:rPr>
        <w:t>26</w:t>
      </w:r>
      <w:r>
        <w:rPr>
          <w:rFonts w:hint="eastAsia" w:cs="宋体"/>
          <w:color w:val="333333"/>
          <w:highlight w:val="none"/>
          <w:shd w:val="clear" w:color="auto" w:fill="FFFFFF"/>
        </w:rPr>
        <w:t>日</w:t>
      </w:r>
      <w:r>
        <w:rPr>
          <w:rFonts w:hint="eastAsia" w:cs="宋体"/>
          <w:color w:val="333333"/>
          <w:highlight w:val="none"/>
          <w:shd w:val="clear" w:color="auto" w:fill="FFFFFF"/>
          <w:lang w:val="en-US" w:eastAsia="zh-CN"/>
        </w:rPr>
        <w:t>14</w:t>
      </w:r>
      <w:r>
        <w:rPr>
          <w:rFonts w:hint="eastAsia" w:cs="宋体"/>
          <w:color w:val="333333"/>
          <w:highlight w:val="none"/>
          <w:shd w:val="clear" w:color="auto" w:fill="FFFFFF"/>
        </w:rPr>
        <w:t>时00分00秒</w:t>
      </w:r>
      <w:r>
        <w:rPr>
          <w:rFonts w:hint="eastAsia" w:cs="宋体"/>
          <w:color w:val="333333"/>
          <w:highlight w:val="none"/>
          <w:shd w:val="clear" w:color="auto" w:fill="FFFFFF"/>
        </w:rPr>
        <w:t>（北京时间）</w:t>
      </w:r>
    </w:p>
    <w:p w14:paraId="08FBB2B4">
      <w:pPr>
        <w:pStyle w:val="20"/>
        <w:shd w:val="clear" w:color="auto" w:fill="FFFFFF"/>
        <w:spacing w:before="0" w:beforeAutospacing="0" w:after="0" w:afterAutospacing="0" w:line="480" w:lineRule="atLeast"/>
        <w:ind w:firstLine="480"/>
        <w:jc w:val="both"/>
        <w:textAlignment w:val="baseline"/>
        <w:rPr>
          <w:rFonts w:hint="eastAsia" w:eastAsia="宋体" w:cs="宋体"/>
          <w:color w:val="333333"/>
          <w:highlight w:val="none"/>
          <w:lang w:eastAsia="zh-CN"/>
        </w:rPr>
      </w:pPr>
      <w:r>
        <w:rPr>
          <w:rFonts w:hint="eastAsia" w:cs="宋体"/>
          <w:color w:val="333333"/>
          <w:highlight w:val="none"/>
          <w:shd w:val="clear" w:color="auto" w:fill="FFFFFF"/>
        </w:rPr>
        <w:t>地点：陕西省西安市经济技术开发区未央路171-1号银池道拉斯财富中心21楼</w:t>
      </w:r>
      <w:r>
        <w:rPr>
          <w:rFonts w:hint="eastAsia" w:cs="宋体"/>
          <w:color w:val="333333"/>
          <w:highlight w:val="none"/>
          <w:shd w:val="clear" w:color="auto" w:fill="FFFFFF"/>
          <w:lang w:eastAsia="zh-CN"/>
        </w:rPr>
        <w:t>03号</w:t>
      </w:r>
    </w:p>
    <w:p w14:paraId="3B034E07">
      <w:pPr>
        <w:pStyle w:val="5"/>
        <w:widowControl/>
        <w:shd w:val="clear" w:color="auto" w:fill="FFFFFF"/>
        <w:tabs>
          <w:tab w:val="left" w:pos="864"/>
        </w:tabs>
        <w:spacing w:before="150" w:beforeAutospacing="0" w:afterAutospacing="0" w:line="750" w:lineRule="atLeast"/>
        <w:textAlignment w:val="baseline"/>
        <w:rPr>
          <w:rFonts w:hint="default" w:cs="宋体"/>
          <w:b w:val="0"/>
          <w:bCs w:val="0"/>
          <w:color w:val="333333"/>
          <w:highlight w:val="none"/>
        </w:rPr>
      </w:pPr>
      <w:r>
        <w:rPr>
          <w:rStyle w:val="27"/>
          <w:rFonts w:cs="宋体"/>
          <w:b/>
          <w:bCs/>
          <w:color w:val="333333"/>
          <w:highlight w:val="none"/>
          <w:shd w:val="clear" w:color="auto" w:fill="FFFFFF"/>
        </w:rPr>
        <w:t>六、公告期限</w:t>
      </w:r>
    </w:p>
    <w:p w14:paraId="08D52396">
      <w:pPr>
        <w:pStyle w:val="20"/>
        <w:shd w:val="clear" w:color="auto" w:fill="FFFFFF"/>
        <w:spacing w:before="0" w:beforeAutospacing="0" w:after="0" w:afterAutospacing="0" w:line="480" w:lineRule="atLeast"/>
        <w:ind w:firstLine="480"/>
        <w:jc w:val="both"/>
        <w:textAlignment w:val="baseline"/>
        <w:rPr>
          <w:rFonts w:cs="宋体"/>
          <w:color w:val="333333"/>
          <w:highlight w:val="none"/>
        </w:rPr>
      </w:pPr>
      <w:r>
        <w:rPr>
          <w:rFonts w:hint="eastAsia" w:cs="宋体"/>
          <w:color w:val="333333"/>
          <w:highlight w:val="none"/>
          <w:shd w:val="clear" w:color="auto" w:fill="FFFFFF"/>
        </w:rPr>
        <w:t>自本公告发布之日起3个工作日。</w:t>
      </w:r>
    </w:p>
    <w:p w14:paraId="73C2D814">
      <w:pPr>
        <w:pStyle w:val="5"/>
        <w:widowControl/>
        <w:shd w:val="clear" w:color="auto" w:fill="FFFFFF"/>
        <w:tabs>
          <w:tab w:val="left" w:pos="864"/>
        </w:tabs>
        <w:spacing w:before="150" w:beforeAutospacing="0" w:afterAutospacing="0" w:line="750" w:lineRule="atLeast"/>
        <w:textAlignment w:val="baseline"/>
        <w:rPr>
          <w:rFonts w:hint="default" w:cs="宋体"/>
          <w:b w:val="0"/>
          <w:bCs w:val="0"/>
          <w:color w:val="333333"/>
          <w:highlight w:val="none"/>
        </w:rPr>
      </w:pPr>
      <w:r>
        <w:rPr>
          <w:rStyle w:val="27"/>
          <w:rFonts w:cs="宋体"/>
          <w:b/>
          <w:bCs/>
          <w:color w:val="333333"/>
          <w:highlight w:val="none"/>
          <w:shd w:val="clear" w:color="auto" w:fill="FFFFFF"/>
        </w:rPr>
        <w:t>七、其他补充事宜</w:t>
      </w:r>
    </w:p>
    <w:p w14:paraId="19B1C692">
      <w:pPr>
        <w:pStyle w:val="20"/>
        <w:spacing w:before="0" w:beforeAutospacing="0" w:after="0" w:afterAutospacing="0" w:line="480" w:lineRule="atLeast"/>
        <w:ind w:firstLine="240"/>
        <w:jc w:val="both"/>
        <w:textAlignment w:val="baseline"/>
        <w:rPr>
          <w:rFonts w:hint="eastAsia" w:eastAsia="宋体" w:cs="宋体"/>
          <w:highlight w:val="none"/>
          <w:lang w:eastAsia="zh-CN"/>
        </w:rPr>
      </w:pPr>
      <w:r>
        <w:rPr>
          <w:rFonts w:hint="eastAsia" w:cs="宋体"/>
          <w:color w:val="333333"/>
          <w:highlight w:val="none"/>
          <w:shd w:val="clear" w:color="auto" w:fill="FFFFFF"/>
          <w:lang w:bidi="ar"/>
        </w:rPr>
        <w:t>(1)供应商领取采购文件时，请携带单位介绍信、经办人身份证、经办人本单位证明(养老保险缴纳证明)，以上资料复印件加盖公章</w:t>
      </w:r>
      <w:r>
        <w:rPr>
          <w:rFonts w:hint="eastAsia" w:cs="宋体"/>
          <w:color w:val="333333"/>
          <w:highlight w:val="none"/>
          <w:shd w:val="clear" w:color="auto" w:fill="FFFFFF"/>
          <w:lang w:eastAsia="zh-CN" w:bidi="ar"/>
        </w:rPr>
        <w:t>；</w:t>
      </w:r>
    </w:p>
    <w:p w14:paraId="329E468D">
      <w:pPr>
        <w:pStyle w:val="20"/>
        <w:spacing w:before="0" w:beforeAutospacing="0" w:after="0" w:afterAutospacing="0" w:line="480" w:lineRule="atLeast"/>
        <w:ind w:firstLine="240" w:firstLineChars="100"/>
        <w:jc w:val="both"/>
        <w:textAlignment w:val="baseline"/>
        <w:rPr>
          <w:rFonts w:cs="宋体"/>
          <w:highlight w:val="none"/>
        </w:rPr>
      </w:pPr>
      <w:r>
        <w:rPr>
          <w:rFonts w:hint="eastAsia" w:cs="宋体"/>
          <w:color w:val="333333"/>
          <w:highlight w:val="none"/>
          <w:shd w:val="clear" w:color="auto" w:fill="FFFFFF"/>
        </w:rPr>
        <w:t>（2）请供应商按照《陕西省财政厅关于政府采购供应商注册登记有关事项的通知》中的要求，通过陕西省政府采购网（http://www.ccgp-shaanxi.gov.cn/）注册登记加入陕西省政府采购供应商库；</w:t>
      </w:r>
    </w:p>
    <w:p w14:paraId="7D05514E">
      <w:pPr>
        <w:pStyle w:val="20"/>
        <w:spacing w:before="0" w:beforeAutospacing="0" w:after="0" w:afterAutospacing="0" w:line="480" w:lineRule="atLeast"/>
        <w:ind w:firstLine="240" w:firstLineChars="100"/>
        <w:jc w:val="both"/>
        <w:textAlignment w:val="baseline"/>
        <w:rPr>
          <w:rFonts w:cs="宋体"/>
          <w:color w:val="333333"/>
          <w:highlight w:val="none"/>
          <w:shd w:val="clear" w:color="auto" w:fill="FFFFFF"/>
        </w:rPr>
      </w:pPr>
      <w:r>
        <w:rPr>
          <w:rFonts w:hint="eastAsia" w:cs="宋体"/>
          <w:color w:val="333333"/>
          <w:highlight w:val="none"/>
          <w:shd w:val="clear" w:color="auto" w:fill="FFFFFF"/>
        </w:rPr>
        <w:t>（3）本项目为专门面向中小企业采购。</w:t>
      </w:r>
    </w:p>
    <w:p w14:paraId="500D257B">
      <w:pPr>
        <w:pStyle w:val="5"/>
        <w:widowControl/>
        <w:shd w:val="clear" w:color="auto" w:fill="FFFFFF"/>
        <w:tabs>
          <w:tab w:val="left" w:pos="864"/>
        </w:tabs>
        <w:spacing w:before="150" w:beforeAutospacing="0" w:afterAutospacing="0" w:line="480" w:lineRule="auto"/>
        <w:textAlignment w:val="baseline"/>
        <w:rPr>
          <w:rFonts w:hint="default" w:cs="宋体"/>
          <w:b w:val="0"/>
          <w:bCs w:val="0"/>
          <w:color w:val="333333"/>
          <w:highlight w:val="none"/>
        </w:rPr>
      </w:pPr>
      <w:r>
        <w:rPr>
          <w:rStyle w:val="27"/>
          <w:rFonts w:cs="宋体"/>
          <w:b/>
          <w:bCs/>
          <w:color w:val="333333"/>
          <w:highlight w:val="none"/>
          <w:shd w:val="clear" w:color="auto" w:fill="FFFFFF"/>
        </w:rPr>
        <w:t>八、对本次招标提出询问，请按以下方式联系。</w:t>
      </w:r>
    </w:p>
    <w:p w14:paraId="2363BB2C">
      <w:pPr>
        <w:pStyle w:val="6"/>
        <w:widowControl/>
        <w:spacing w:beforeAutospacing="0" w:afterAutospacing="0" w:line="480" w:lineRule="auto"/>
        <w:textAlignment w:val="baseline"/>
        <w:rPr>
          <w:rFonts w:hint="default" w:cs="宋体"/>
          <w:b w:val="0"/>
          <w:bCs w:val="0"/>
          <w:sz w:val="24"/>
          <w:szCs w:val="24"/>
          <w:highlight w:val="none"/>
        </w:rPr>
      </w:pPr>
      <w:r>
        <w:rPr>
          <w:rFonts w:cs="宋体"/>
          <w:b w:val="0"/>
          <w:bCs w:val="0"/>
          <w:color w:val="333333"/>
          <w:sz w:val="24"/>
          <w:szCs w:val="24"/>
          <w:highlight w:val="none"/>
          <w:shd w:val="clear" w:color="auto" w:fill="FFFFFF"/>
        </w:rPr>
        <w:t>1.采购人信息</w:t>
      </w:r>
    </w:p>
    <w:p w14:paraId="44105882">
      <w:pPr>
        <w:pStyle w:val="20"/>
        <w:spacing w:before="0" w:beforeAutospacing="0" w:after="0" w:afterAutospacing="0" w:line="480" w:lineRule="auto"/>
        <w:ind w:firstLine="480"/>
        <w:jc w:val="both"/>
        <w:textAlignment w:val="baseline"/>
        <w:rPr>
          <w:rFonts w:cs="宋体"/>
          <w:highlight w:val="none"/>
        </w:rPr>
      </w:pPr>
      <w:r>
        <w:rPr>
          <w:rFonts w:hint="eastAsia" w:cs="宋体"/>
          <w:color w:val="333333"/>
          <w:highlight w:val="none"/>
          <w:shd w:val="clear" w:color="auto" w:fill="FFFFFF"/>
        </w:rPr>
        <w:t>名称：秦始皇帝陵博物院</w:t>
      </w:r>
    </w:p>
    <w:p w14:paraId="42203EAE">
      <w:pPr>
        <w:pStyle w:val="20"/>
        <w:spacing w:before="0" w:beforeAutospacing="0" w:after="0" w:afterAutospacing="0" w:line="480" w:lineRule="auto"/>
        <w:ind w:firstLine="480"/>
        <w:jc w:val="both"/>
        <w:textAlignment w:val="baseline"/>
        <w:rPr>
          <w:rFonts w:cs="宋体"/>
          <w:color w:val="333333"/>
          <w:highlight w:val="none"/>
          <w:shd w:val="clear" w:color="auto" w:fill="FFFFFF"/>
        </w:rPr>
      </w:pPr>
      <w:r>
        <w:rPr>
          <w:rFonts w:hint="eastAsia" w:cs="宋体"/>
          <w:color w:val="333333"/>
          <w:highlight w:val="none"/>
          <w:shd w:val="clear" w:color="auto" w:fill="FFFFFF"/>
        </w:rPr>
        <w:t>地址： 西安市临潼区秦陵街办</w:t>
      </w:r>
    </w:p>
    <w:p w14:paraId="6A116FAD">
      <w:pPr>
        <w:pStyle w:val="20"/>
        <w:spacing w:before="0" w:beforeAutospacing="0" w:after="0" w:afterAutospacing="0" w:line="480" w:lineRule="auto"/>
        <w:ind w:firstLine="480"/>
        <w:jc w:val="both"/>
        <w:textAlignment w:val="baseline"/>
        <w:rPr>
          <w:rFonts w:cs="宋体"/>
          <w:highlight w:val="none"/>
        </w:rPr>
      </w:pPr>
      <w:r>
        <w:rPr>
          <w:rFonts w:hint="eastAsia" w:cs="宋体"/>
          <w:color w:val="333333"/>
          <w:highlight w:val="none"/>
          <w:shd w:val="clear" w:color="auto" w:fill="FFFFFF"/>
        </w:rPr>
        <w:t>联系方式：029-81399188</w:t>
      </w:r>
    </w:p>
    <w:p w14:paraId="39F63137">
      <w:pPr>
        <w:pStyle w:val="6"/>
        <w:widowControl/>
        <w:spacing w:beforeAutospacing="0" w:afterAutospacing="0" w:line="480" w:lineRule="auto"/>
        <w:textAlignment w:val="baseline"/>
        <w:rPr>
          <w:rFonts w:hint="default" w:cs="宋体"/>
          <w:b w:val="0"/>
          <w:bCs w:val="0"/>
          <w:sz w:val="24"/>
          <w:szCs w:val="24"/>
          <w:highlight w:val="none"/>
        </w:rPr>
      </w:pPr>
      <w:r>
        <w:rPr>
          <w:rFonts w:cs="宋体"/>
          <w:b w:val="0"/>
          <w:bCs w:val="0"/>
          <w:color w:val="333333"/>
          <w:sz w:val="24"/>
          <w:szCs w:val="24"/>
          <w:highlight w:val="none"/>
          <w:shd w:val="clear" w:color="auto" w:fill="FFFFFF"/>
        </w:rPr>
        <w:t>2.采购代理机构信息</w:t>
      </w:r>
    </w:p>
    <w:p w14:paraId="34CADE01">
      <w:pPr>
        <w:pStyle w:val="20"/>
        <w:spacing w:before="0" w:beforeAutospacing="0" w:after="0" w:afterAutospacing="0" w:line="480" w:lineRule="auto"/>
        <w:ind w:firstLine="480"/>
        <w:jc w:val="both"/>
        <w:textAlignment w:val="baseline"/>
        <w:rPr>
          <w:rFonts w:cs="宋体"/>
          <w:color w:val="333333"/>
          <w:highlight w:val="none"/>
          <w:shd w:val="clear" w:color="auto" w:fill="FFFFFF"/>
        </w:rPr>
      </w:pPr>
      <w:r>
        <w:rPr>
          <w:rFonts w:hint="eastAsia" w:cs="宋体"/>
          <w:color w:val="333333"/>
          <w:highlight w:val="none"/>
          <w:shd w:val="clear" w:color="auto" w:fill="FFFFFF"/>
        </w:rPr>
        <w:t>名称：陕西至诚项目管理集团有限公司</w:t>
      </w:r>
    </w:p>
    <w:p w14:paraId="65B389BA">
      <w:pPr>
        <w:pStyle w:val="20"/>
        <w:spacing w:before="0" w:beforeAutospacing="0" w:after="0" w:afterAutospacing="0" w:line="480" w:lineRule="auto"/>
        <w:ind w:firstLine="480"/>
        <w:jc w:val="both"/>
        <w:textAlignment w:val="baseline"/>
        <w:rPr>
          <w:rFonts w:hint="default" w:eastAsia="宋体" w:cs="宋体"/>
          <w:highlight w:val="none"/>
          <w:lang w:val="en-US" w:eastAsia="zh-CN"/>
        </w:rPr>
      </w:pPr>
      <w:r>
        <w:rPr>
          <w:rFonts w:hint="eastAsia" w:cs="宋体"/>
          <w:color w:val="333333"/>
          <w:highlight w:val="none"/>
          <w:shd w:val="clear" w:color="auto" w:fill="FFFFFF"/>
        </w:rPr>
        <w:t>地址：陕西省西安市经济技术开发区未央路171-1号银池道拉斯财富中心21楼</w:t>
      </w:r>
      <w:r>
        <w:rPr>
          <w:rFonts w:hint="eastAsia" w:cs="宋体"/>
          <w:color w:val="333333"/>
          <w:highlight w:val="none"/>
          <w:shd w:val="clear" w:color="auto" w:fill="FFFFFF"/>
          <w:lang w:eastAsia="zh-CN"/>
        </w:rPr>
        <w:t>03号</w:t>
      </w:r>
    </w:p>
    <w:p w14:paraId="33B79BB5">
      <w:pPr>
        <w:pStyle w:val="20"/>
        <w:spacing w:before="0" w:beforeAutospacing="0" w:after="0" w:afterAutospacing="0" w:line="480" w:lineRule="auto"/>
        <w:ind w:firstLine="480"/>
        <w:jc w:val="both"/>
        <w:textAlignment w:val="baseline"/>
        <w:rPr>
          <w:rFonts w:cs="宋体"/>
          <w:highlight w:val="none"/>
        </w:rPr>
      </w:pPr>
      <w:r>
        <w:rPr>
          <w:rFonts w:hint="eastAsia" w:cs="宋体"/>
          <w:color w:val="333333"/>
          <w:highlight w:val="none"/>
          <w:shd w:val="clear" w:color="auto" w:fill="FFFFFF"/>
        </w:rPr>
        <w:t>联系方式：029-88219779</w:t>
      </w:r>
    </w:p>
    <w:p w14:paraId="25DD4140">
      <w:pPr>
        <w:pStyle w:val="6"/>
        <w:widowControl/>
        <w:spacing w:beforeAutospacing="0" w:afterAutospacing="0" w:line="480" w:lineRule="auto"/>
        <w:textAlignment w:val="baseline"/>
        <w:rPr>
          <w:rFonts w:hint="default" w:cs="宋体"/>
          <w:b w:val="0"/>
          <w:bCs w:val="0"/>
          <w:sz w:val="24"/>
          <w:szCs w:val="24"/>
          <w:highlight w:val="none"/>
        </w:rPr>
      </w:pPr>
      <w:r>
        <w:rPr>
          <w:rFonts w:cs="宋体"/>
          <w:b w:val="0"/>
          <w:bCs w:val="0"/>
          <w:color w:val="333333"/>
          <w:sz w:val="24"/>
          <w:szCs w:val="24"/>
          <w:highlight w:val="none"/>
          <w:shd w:val="clear" w:color="auto" w:fill="FFFFFF"/>
        </w:rPr>
        <w:t>3.项目联系方式</w:t>
      </w:r>
    </w:p>
    <w:p w14:paraId="55FB03E8">
      <w:pPr>
        <w:pStyle w:val="20"/>
        <w:spacing w:before="0" w:beforeAutospacing="0" w:after="0" w:afterAutospacing="0" w:line="480" w:lineRule="auto"/>
        <w:ind w:firstLine="480"/>
        <w:jc w:val="both"/>
        <w:textAlignment w:val="baseline"/>
        <w:rPr>
          <w:rFonts w:cs="宋体"/>
          <w:color w:val="333333"/>
          <w:highlight w:val="none"/>
          <w:shd w:val="clear" w:color="auto" w:fill="FFFFFF"/>
        </w:rPr>
      </w:pPr>
      <w:r>
        <w:rPr>
          <w:rFonts w:hint="eastAsia" w:cs="宋体"/>
          <w:color w:val="333333"/>
          <w:highlight w:val="none"/>
          <w:shd w:val="clear" w:color="auto" w:fill="FFFFFF"/>
        </w:rPr>
        <w:t>项目联系人：倪沛、康乐、王欣玫</w:t>
      </w:r>
    </w:p>
    <w:p w14:paraId="599E3AEE">
      <w:pPr>
        <w:pStyle w:val="20"/>
        <w:spacing w:before="0" w:beforeAutospacing="0" w:after="0" w:afterAutospacing="0" w:line="480" w:lineRule="auto"/>
        <w:ind w:firstLine="480"/>
        <w:jc w:val="both"/>
        <w:textAlignment w:val="baseline"/>
        <w:rPr>
          <w:rFonts w:cs="宋体"/>
          <w:highlight w:val="none"/>
        </w:rPr>
      </w:pPr>
      <w:r>
        <w:rPr>
          <w:rFonts w:hint="eastAsia" w:cs="宋体"/>
          <w:color w:val="333333"/>
          <w:highlight w:val="none"/>
          <w:shd w:val="clear" w:color="auto" w:fill="FFFFFF"/>
        </w:rPr>
        <w:t>电话：</w:t>
      </w:r>
      <w:r>
        <w:rPr>
          <w:rFonts w:hint="eastAsia" w:cs="宋体"/>
          <w:highlight w:val="none"/>
        </w:rPr>
        <w:t>156 1903 9103</w:t>
      </w:r>
    </w:p>
    <w:p w14:paraId="2647B2B3">
      <w:pPr>
        <w:rPr>
          <w:rFonts w:hAnsi="宋体" w:cs="宋体"/>
          <w:b/>
          <w:bCs/>
          <w:kern w:val="2"/>
          <w:sz w:val="36"/>
          <w:szCs w:val="36"/>
          <w:highlight w:val="none"/>
        </w:rPr>
      </w:pPr>
      <w:r>
        <w:rPr>
          <w:rFonts w:hint="eastAsia" w:hAnsi="宋体" w:cs="宋体"/>
          <w:b/>
          <w:bCs/>
          <w:kern w:val="2"/>
          <w:sz w:val="36"/>
          <w:szCs w:val="36"/>
          <w:highlight w:val="none"/>
        </w:rPr>
        <w:br w:type="page"/>
      </w:r>
    </w:p>
    <w:p w14:paraId="279F48A2">
      <w:pPr>
        <w:pStyle w:val="2"/>
        <w:rPr>
          <w:highlight w:val="none"/>
        </w:rPr>
      </w:pPr>
      <w:bookmarkStart w:id="22" w:name="_Toc23042"/>
      <w:r>
        <w:rPr>
          <w:rFonts w:hint="eastAsia"/>
          <w:highlight w:val="none"/>
        </w:rPr>
        <w:t xml:space="preserve">第二章  </w:t>
      </w:r>
      <w:bookmarkEnd w:id="16"/>
      <w:bookmarkEnd w:id="17"/>
      <w:bookmarkStart w:id="23" w:name="OLE_LINK3"/>
      <w:r>
        <w:rPr>
          <w:rFonts w:hint="eastAsia"/>
          <w:highlight w:val="none"/>
        </w:rPr>
        <w:t>供应商须知</w:t>
      </w:r>
      <w:bookmarkEnd w:id="18"/>
      <w:bookmarkEnd w:id="19"/>
      <w:bookmarkEnd w:id="20"/>
      <w:bookmarkEnd w:id="21"/>
      <w:bookmarkEnd w:id="22"/>
      <w:bookmarkEnd w:id="23"/>
    </w:p>
    <w:p w14:paraId="24B22CE5">
      <w:pPr>
        <w:spacing w:line="440" w:lineRule="exact"/>
        <w:ind w:firstLine="3534" w:firstLineChars="1100"/>
        <w:outlineLvl w:val="1"/>
        <w:rPr>
          <w:rFonts w:hAnsi="宋体" w:cs="宋体"/>
          <w:b/>
          <w:bCs/>
          <w:sz w:val="32"/>
          <w:szCs w:val="32"/>
          <w:highlight w:val="none"/>
        </w:rPr>
      </w:pPr>
      <w:bookmarkStart w:id="24" w:name="_Toc8846"/>
      <w:bookmarkStart w:id="25" w:name="_Toc16830"/>
      <w:bookmarkStart w:id="26" w:name="_Toc18299"/>
      <w:bookmarkStart w:id="27" w:name="_Toc30701"/>
      <w:bookmarkStart w:id="28" w:name="_Toc23180"/>
      <w:r>
        <w:rPr>
          <w:rFonts w:hint="eastAsia" w:hAnsi="宋体" w:cs="宋体"/>
          <w:b/>
          <w:bCs/>
          <w:sz w:val="32"/>
          <w:szCs w:val="32"/>
          <w:highlight w:val="none"/>
        </w:rPr>
        <w:t>供应商须知前附表</w:t>
      </w:r>
      <w:bookmarkEnd w:id="24"/>
      <w:bookmarkEnd w:id="25"/>
      <w:bookmarkEnd w:id="26"/>
      <w:bookmarkEnd w:id="27"/>
      <w:bookmarkEnd w:id="28"/>
    </w:p>
    <w:p w14:paraId="62710FF3">
      <w:pPr>
        <w:spacing w:line="440" w:lineRule="exact"/>
        <w:ind w:firstLine="480" w:firstLineChars="200"/>
        <w:rPr>
          <w:rFonts w:hAnsi="宋体" w:cs="宋体"/>
          <w:szCs w:val="24"/>
          <w:highlight w:val="none"/>
        </w:rPr>
      </w:pPr>
      <w:r>
        <w:rPr>
          <w:rFonts w:hint="eastAsia" w:hAnsi="宋体" w:cs="宋体"/>
          <w:szCs w:val="24"/>
          <w:highlight w:val="none"/>
        </w:rPr>
        <w:t>本表是对供应商须知的具体补充和修改，如有矛盾，应以本资料表为准。</w:t>
      </w:r>
    </w:p>
    <w:tbl>
      <w:tblPr>
        <w:tblStyle w:val="2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30E64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267DD76A">
            <w:pPr>
              <w:spacing w:before="156" w:beforeLines="50" w:line="360" w:lineRule="auto"/>
              <w:jc w:val="center"/>
              <w:rPr>
                <w:rFonts w:hAnsi="宋体" w:cs="宋体"/>
                <w:b/>
                <w:szCs w:val="24"/>
                <w:highlight w:val="none"/>
              </w:rPr>
            </w:pPr>
            <w:r>
              <w:rPr>
                <w:rFonts w:hint="eastAsia" w:hAnsi="宋体" w:cs="宋体"/>
                <w:b/>
                <w:szCs w:val="24"/>
                <w:highlight w:val="none"/>
              </w:rPr>
              <w:t>序号</w:t>
            </w:r>
          </w:p>
        </w:tc>
        <w:tc>
          <w:tcPr>
            <w:tcW w:w="951" w:type="dxa"/>
            <w:vAlign w:val="center"/>
          </w:tcPr>
          <w:p w14:paraId="44BDB3D5">
            <w:pPr>
              <w:spacing w:before="156" w:beforeLines="50" w:line="360" w:lineRule="auto"/>
              <w:jc w:val="center"/>
              <w:rPr>
                <w:rFonts w:hAnsi="宋体" w:cs="宋体"/>
                <w:b/>
                <w:szCs w:val="24"/>
                <w:highlight w:val="none"/>
              </w:rPr>
            </w:pPr>
            <w:r>
              <w:rPr>
                <w:rFonts w:hint="eastAsia" w:hAnsi="宋体" w:cs="宋体"/>
                <w:b/>
                <w:szCs w:val="24"/>
                <w:highlight w:val="none"/>
              </w:rPr>
              <w:t>条款号</w:t>
            </w:r>
          </w:p>
        </w:tc>
        <w:tc>
          <w:tcPr>
            <w:tcW w:w="7354" w:type="dxa"/>
          </w:tcPr>
          <w:p w14:paraId="3CA8C04E">
            <w:pPr>
              <w:spacing w:before="156" w:beforeLines="50" w:line="360" w:lineRule="auto"/>
              <w:jc w:val="center"/>
              <w:rPr>
                <w:rFonts w:hAnsi="宋体" w:cs="宋体"/>
                <w:b/>
                <w:szCs w:val="24"/>
                <w:highlight w:val="none"/>
              </w:rPr>
            </w:pPr>
            <w:r>
              <w:rPr>
                <w:rFonts w:hint="eastAsia" w:hAnsi="宋体" w:cs="宋体"/>
                <w:b/>
                <w:szCs w:val="24"/>
                <w:highlight w:val="none"/>
              </w:rPr>
              <w:t xml:space="preserve">编 列 内 容 </w:t>
            </w:r>
          </w:p>
        </w:tc>
      </w:tr>
      <w:tr w14:paraId="28AF4C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0D2E783B">
            <w:pPr>
              <w:spacing w:line="360" w:lineRule="auto"/>
              <w:jc w:val="center"/>
              <w:rPr>
                <w:rFonts w:hAnsi="宋体" w:cs="宋体"/>
                <w:szCs w:val="24"/>
                <w:highlight w:val="none"/>
              </w:rPr>
            </w:pPr>
            <w:r>
              <w:rPr>
                <w:rFonts w:hint="eastAsia" w:hAnsi="宋体" w:cs="宋体"/>
                <w:szCs w:val="24"/>
                <w:highlight w:val="none"/>
              </w:rPr>
              <w:t>1</w:t>
            </w:r>
          </w:p>
        </w:tc>
        <w:tc>
          <w:tcPr>
            <w:tcW w:w="951" w:type="dxa"/>
            <w:vAlign w:val="center"/>
          </w:tcPr>
          <w:p w14:paraId="4AC72874">
            <w:pPr>
              <w:spacing w:line="360" w:lineRule="auto"/>
              <w:jc w:val="center"/>
              <w:rPr>
                <w:rFonts w:hAnsi="宋体" w:cs="宋体"/>
                <w:szCs w:val="24"/>
                <w:highlight w:val="none"/>
              </w:rPr>
            </w:pPr>
            <w:r>
              <w:rPr>
                <w:rFonts w:hint="eastAsia" w:hAnsi="宋体" w:cs="宋体"/>
                <w:szCs w:val="24"/>
                <w:highlight w:val="none"/>
              </w:rPr>
              <w:t>2.3</w:t>
            </w:r>
          </w:p>
        </w:tc>
        <w:tc>
          <w:tcPr>
            <w:tcW w:w="7354" w:type="dxa"/>
          </w:tcPr>
          <w:p w14:paraId="5567CCBF">
            <w:pPr>
              <w:spacing w:line="360" w:lineRule="auto"/>
              <w:rPr>
                <w:rFonts w:hAnsi="宋体" w:cs="宋体"/>
                <w:szCs w:val="24"/>
                <w:highlight w:val="none"/>
              </w:rPr>
            </w:pPr>
            <w:r>
              <w:rPr>
                <w:rFonts w:hint="eastAsia" w:hAnsi="宋体" w:cs="宋体"/>
                <w:szCs w:val="24"/>
                <w:highlight w:val="none"/>
              </w:rPr>
              <w:t>采购代理机构：陕西至诚项目管理集团有限公司</w:t>
            </w:r>
          </w:p>
          <w:p w14:paraId="0A2696BA">
            <w:pPr>
              <w:pStyle w:val="20"/>
              <w:spacing w:before="0" w:beforeAutospacing="0" w:after="0" w:afterAutospacing="0" w:line="360" w:lineRule="auto"/>
              <w:jc w:val="both"/>
              <w:rPr>
                <w:rFonts w:hint="default" w:eastAsia="宋体" w:cs="宋体"/>
                <w:highlight w:val="none"/>
                <w:lang w:val="en-US" w:eastAsia="zh-CN"/>
              </w:rPr>
            </w:pPr>
            <w:r>
              <w:rPr>
                <w:rFonts w:hint="eastAsia" w:cs="宋体"/>
                <w:highlight w:val="none"/>
              </w:rPr>
              <w:t>地        址：</w:t>
            </w:r>
            <w:r>
              <w:rPr>
                <w:rFonts w:hint="eastAsia" w:cs="宋体"/>
                <w:highlight w:val="none"/>
                <w:shd w:val="clear" w:color="auto" w:fill="FFFFFF"/>
              </w:rPr>
              <w:t>陕西省西安市经济技术开发区未央路171-1号银池道拉斯财富中心21楼</w:t>
            </w:r>
            <w:r>
              <w:rPr>
                <w:rFonts w:hint="eastAsia" w:cs="宋体"/>
                <w:highlight w:val="none"/>
                <w:shd w:val="clear" w:color="auto" w:fill="FFFFFF"/>
                <w:lang w:val="en-US" w:eastAsia="zh-CN"/>
              </w:rPr>
              <w:t>03号</w:t>
            </w:r>
          </w:p>
          <w:p w14:paraId="05712129">
            <w:pPr>
              <w:spacing w:line="360" w:lineRule="auto"/>
              <w:rPr>
                <w:rFonts w:hAnsi="宋体" w:cs="宋体"/>
                <w:szCs w:val="24"/>
                <w:highlight w:val="none"/>
              </w:rPr>
            </w:pPr>
            <w:r>
              <w:rPr>
                <w:rFonts w:hint="eastAsia" w:hAnsi="宋体" w:cs="宋体"/>
                <w:szCs w:val="24"/>
                <w:highlight w:val="none"/>
              </w:rPr>
              <w:t>邮        编：710021</w:t>
            </w:r>
          </w:p>
          <w:p w14:paraId="6011CF39">
            <w:pPr>
              <w:spacing w:line="360" w:lineRule="auto"/>
              <w:rPr>
                <w:rFonts w:hAnsi="宋体" w:cs="宋体"/>
                <w:szCs w:val="24"/>
                <w:highlight w:val="none"/>
              </w:rPr>
            </w:pPr>
            <w:r>
              <w:rPr>
                <w:rFonts w:hint="eastAsia" w:hAnsi="宋体" w:cs="宋体"/>
                <w:szCs w:val="24"/>
                <w:highlight w:val="none"/>
              </w:rPr>
              <w:t>电        话：156 1903 9103</w:t>
            </w:r>
          </w:p>
          <w:p w14:paraId="2647B9CA">
            <w:pPr>
              <w:spacing w:line="360" w:lineRule="auto"/>
              <w:rPr>
                <w:rFonts w:hAnsi="宋体" w:cs="宋体"/>
                <w:szCs w:val="24"/>
                <w:highlight w:val="none"/>
              </w:rPr>
            </w:pPr>
            <w:r>
              <w:rPr>
                <w:rFonts w:hint="eastAsia" w:hAnsi="宋体" w:cs="宋体"/>
                <w:szCs w:val="24"/>
                <w:highlight w:val="none"/>
              </w:rPr>
              <w:t>传        真：/</w:t>
            </w:r>
          </w:p>
        </w:tc>
      </w:tr>
      <w:tr w14:paraId="2CA38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vAlign w:val="center"/>
          </w:tcPr>
          <w:p w14:paraId="6813EDD4">
            <w:pPr>
              <w:spacing w:line="360" w:lineRule="auto"/>
              <w:jc w:val="center"/>
              <w:rPr>
                <w:rFonts w:hAnsi="宋体" w:cs="宋体"/>
                <w:szCs w:val="24"/>
                <w:highlight w:val="none"/>
              </w:rPr>
            </w:pPr>
            <w:r>
              <w:rPr>
                <w:rFonts w:hint="eastAsia" w:hAnsi="宋体" w:cs="宋体"/>
                <w:szCs w:val="24"/>
                <w:highlight w:val="none"/>
              </w:rPr>
              <w:t>2</w:t>
            </w:r>
          </w:p>
        </w:tc>
        <w:tc>
          <w:tcPr>
            <w:tcW w:w="951" w:type="dxa"/>
            <w:vAlign w:val="center"/>
          </w:tcPr>
          <w:p w14:paraId="5F97BDFF">
            <w:pPr>
              <w:spacing w:line="360" w:lineRule="auto"/>
              <w:jc w:val="center"/>
              <w:rPr>
                <w:rFonts w:hAnsi="宋体" w:cs="宋体"/>
                <w:szCs w:val="24"/>
                <w:highlight w:val="none"/>
              </w:rPr>
            </w:pPr>
            <w:r>
              <w:rPr>
                <w:rFonts w:hint="eastAsia" w:hAnsi="宋体" w:cs="宋体"/>
                <w:szCs w:val="24"/>
                <w:highlight w:val="none"/>
              </w:rPr>
              <w:t>3.6</w:t>
            </w:r>
          </w:p>
        </w:tc>
        <w:tc>
          <w:tcPr>
            <w:tcW w:w="7354" w:type="dxa"/>
            <w:vAlign w:val="center"/>
          </w:tcPr>
          <w:p w14:paraId="5B60D3A0">
            <w:pPr>
              <w:spacing w:line="360" w:lineRule="auto"/>
              <w:rPr>
                <w:rFonts w:hAnsi="宋体" w:cs="宋体"/>
                <w:szCs w:val="24"/>
                <w:highlight w:val="none"/>
              </w:rPr>
            </w:pPr>
            <w:r>
              <w:rPr>
                <w:rFonts w:hint="eastAsia" w:hAnsi="宋体" w:cs="宋体"/>
                <w:szCs w:val="24"/>
                <w:highlight w:val="none"/>
              </w:rPr>
              <w:t>本项目不接受联合体磋商。</w:t>
            </w:r>
          </w:p>
        </w:tc>
      </w:tr>
      <w:tr w14:paraId="3C727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vAlign w:val="center"/>
          </w:tcPr>
          <w:p w14:paraId="17B99B82">
            <w:pPr>
              <w:spacing w:line="360" w:lineRule="auto"/>
              <w:jc w:val="center"/>
              <w:rPr>
                <w:rFonts w:hAnsi="宋体" w:cs="宋体"/>
                <w:szCs w:val="24"/>
                <w:highlight w:val="none"/>
              </w:rPr>
            </w:pPr>
            <w:r>
              <w:rPr>
                <w:rFonts w:hint="eastAsia" w:hAnsi="宋体" w:cs="宋体"/>
                <w:szCs w:val="24"/>
                <w:highlight w:val="none"/>
              </w:rPr>
              <w:t>3</w:t>
            </w:r>
          </w:p>
        </w:tc>
        <w:tc>
          <w:tcPr>
            <w:tcW w:w="951" w:type="dxa"/>
            <w:vAlign w:val="center"/>
          </w:tcPr>
          <w:p w14:paraId="468F81C0">
            <w:pPr>
              <w:spacing w:line="360" w:lineRule="auto"/>
              <w:jc w:val="center"/>
              <w:rPr>
                <w:rFonts w:hAnsi="宋体" w:cs="宋体"/>
                <w:szCs w:val="24"/>
                <w:highlight w:val="none"/>
              </w:rPr>
            </w:pPr>
            <w:r>
              <w:rPr>
                <w:rFonts w:hint="eastAsia" w:hAnsi="宋体" w:cs="宋体"/>
                <w:szCs w:val="24"/>
                <w:highlight w:val="none"/>
              </w:rPr>
              <w:t>9.2</w:t>
            </w:r>
          </w:p>
        </w:tc>
        <w:tc>
          <w:tcPr>
            <w:tcW w:w="7354" w:type="dxa"/>
            <w:vAlign w:val="center"/>
          </w:tcPr>
          <w:p w14:paraId="0A716D15">
            <w:pPr>
              <w:spacing w:line="360" w:lineRule="auto"/>
              <w:rPr>
                <w:rFonts w:hAnsi="宋体" w:cs="宋体"/>
                <w:szCs w:val="24"/>
                <w:highlight w:val="none"/>
              </w:rPr>
            </w:pPr>
            <w:r>
              <w:rPr>
                <w:rFonts w:hint="eastAsia" w:hAnsi="宋体" w:cs="宋体"/>
                <w:szCs w:val="24"/>
                <w:highlight w:val="none"/>
              </w:rPr>
              <w:t>不允许提供备选方案。</w:t>
            </w:r>
          </w:p>
        </w:tc>
      </w:tr>
      <w:tr w14:paraId="5ADD17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vAlign w:val="center"/>
          </w:tcPr>
          <w:p w14:paraId="0EA43B12">
            <w:pPr>
              <w:spacing w:line="360" w:lineRule="auto"/>
              <w:jc w:val="center"/>
              <w:rPr>
                <w:rFonts w:hAnsi="宋体" w:cs="宋体"/>
                <w:szCs w:val="24"/>
                <w:highlight w:val="none"/>
              </w:rPr>
            </w:pPr>
            <w:r>
              <w:rPr>
                <w:rFonts w:hint="eastAsia" w:hAnsi="宋体" w:cs="宋体"/>
                <w:szCs w:val="24"/>
                <w:highlight w:val="none"/>
              </w:rPr>
              <w:t>4</w:t>
            </w:r>
          </w:p>
        </w:tc>
        <w:tc>
          <w:tcPr>
            <w:tcW w:w="951" w:type="dxa"/>
            <w:vAlign w:val="center"/>
          </w:tcPr>
          <w:p w14:paraId="4D7AC894">
            <w:pPr>
              <w:spacing w:line="360" w:lineRule="auto"/>
              <w:jc w:val="center"/>
              <w:rPr>
                <w:rFonts w:hAnsi="宋体" w:cs="宋体"/>
                <w:szCs w:val="24"/>
                <w:highlight w:val="none"/>
              </w:rPr>
            </w:pPr>
            <w:r>
              <w:rPr>
                <w:rFonts w:hint="eastAsia" w:hAnsi="宋体" w:cs="宋体"/>
                <w:szCs w:val="24"/>
                <w:highlight w:val="none"/>
              </w:rPr>
              <w:t>9.3</w:t>
            </w:r>
          </w:p>
        </w:tc>
        <w:tc>
          <w:tcPr>
            <w:tcW w:w="7354" w:type="dxa"/>
            <w:vAlign w:val="center"/>
          </w:tcPr>
          <w:p w14:paraId="7A6DA197">
            <w:pPr>
              <w:spacing w:line="360" w:lineRule="auto"/>
              <w:ind w:firstLine="480" w:firstLineChars="200"/>
              <w:rPr>
                <w:rFonts w:hAnsi="宋体" w:cs="宋体"/>
                <w:szCs w:val="24"/>
                <w:highlight w:val="none"/>
              </w:rPr>
            </w:pPr>
            <w:r>
              <w:rPr>
                <w:rFonts w:hint="eastAsia" w:hAnsi="宋体" w:cs="宋体"/>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79C36C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6ECE8317">
            <w:pPr>
              <w:spacing w:line="360" w:lineRule="auto"/>
              <w:jc w:val="center"/>
              <w:rPr>
                <w:rFonts w:hAnsi="宋体" w:cs="宋体"/>
                <w:szCs w:val="24"/>
                <w:highlight w:val="none"/>
              </w:rPr>
            </w:pPr>
            <w:r>
              <w:rPr>
                <w:rFonts w:hint="eastAsia" w:hAnsi="宋体" w:cs="宋体"/>
                <w:szCs w:val="24"/>
                <w:highlight w:val="none"/>
              </w:rPr>
              <w:t>5</w:t>
            </w:r>
          </w:p>
        </w:tc>
        <w:tc>
          <w:tcPr>
            <w:tcW w:w="951" w:type="dxa"/>
            <w:vAlign w:val="center"/>
          </w:tcPr>
          <w:p w14:paraId="03880B96">
            <w:pPr>
              <w:spacing w:line="360" w:lineRule="auto"/>
              <w:jc w:val="center"/>
              <w:rPr>
                <w:rFonts w:hAnsi="宋体" w:cs="宋体"/>
                <w:szCs w:val="24"/>
                <w:highlight w:val="none"/>
              </w:rPr>
            </w:pPr>
            <w:r>
              <w:rPr>
                <w:rFonts w:hint="eastAsia" w:hAnsi="宋体" w:cs="宋体"/>
                <w:szCs w:val="24"/>
                <w:highlight w:val="none"/>
              </w:rPr>
              <w:t>11.1</w:t>
            </w:r>
          </w:p>
        </w:tc>
        <w:tc>
          <w:tcPr>
            <w:tcW w:w="7354" w:type="dxa"/>
          </w:tcPr>
          <w:p w14:paraId="15312148">
            <w:pPr>
              <w:spacing w:line="360" w:lineRule="auto"/>
              <w:ind w:firstLine="480"/>
              <w:rPr>
                <w:rFonts w:hAnsi="宋体" w:cs="宋体"/>
                <w:szCs w:val="24"/>
                <w:highlight w:val="none"/>
              </w:rPr>
            </w:pPr>
            <w:r>
              <w:rPr>
                <w:rFonts w:hint="eastAsia" w:hAnsi="宋体" w:cs="宋体"/>
                <w:szCs w:val="24"/>
                <w:highlight w:val="none"/>
              </w:rPr>
              <w:t>磋商报价：是供应商为完成本项目要求的全部服务内容最终价格的体现，包括但不限于人工费、设备使用费、办公费、服务费、交通费、招标代理服务费、税金等其他一切相关费用。</w:t>
            </w:r>
          </w:p>
          <w:p w14:paraId="18D68BF1">
            <w:pPr>
              <w:spacing w:line="360" w:lineRule="auto"/>
              <w:ind w:firstLine="480"/>
              <w:rPr>
                <w:rFonts w:hAnsi="宋体" w:cs="宋体"/>
                <w:szCs w:val="24"/>
                <w:highlight w:val="none"/>
              </w:rPr>
            </w:pPr>
            <w:r>
              <w:rPr>
                <w:rFonts w:hint="eastAsia" w:hAnsi="宋体" w:cs="宋体"/>
                <w:szCs w:val="24"/>
                <w:highlight w:val="none"/>
              </w:rPr>
              <w:t>供应商所报的价格应考虑到可能发生的所有与完成本项目相关服务及履行合同义务有关的一切费用，任何有选择的报价将不予接受，按无效磋商处理。</w:t>
            </w:r>
          </w:p>
        </w:tc>
      </w:tr>
      <w:tr w14:paraId="62BB2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vAlign w:val="center"/>
          </w:tcPr>
          <w:p w14:paraId="592BFCD0">
            <w:pPr>
              <w:spacing w:line="360" w:lineRule="auto"/>
              <w:jc w:val="center"/>
              <w:rPr>
                <w:rFonts w:hAnsi="宋体" w:cs="宋体"/>
                <w:szCs w:val="24"/>
                <w:highlight w:val="none"/>
              </w:rPr>
            </w:pPr>
            <w:r>
              <w:rPr>
                <w:rFonts w:hint="eastAsia" w:hAnsi="宋体" w:cs="宋体"/>
                <w:szCs w:val="24"/>
                <w:highlight w:val="none"/>
              </w:rPr>
              <w:t>6</w:t>
            </w:r>
          </w:p>
        </w:tc>
        <w:tc>
          <w:tcPr>
            <w:tcW w:w="951" w:type="dxa"/>
            <w:vAlign w:val="center"/>
          </w:tcPr>
          <w:p w14:paraId="078E8F9B">
            <w:pPr>
              <w:spacing w:line="360" w:lineRule="auto"/>
              <w:jc w:val="center"/>
              <w:rPr>
                <w:rFonts w:hAnsi="宋体" w:cs="宋体"/>
                <w:szCs w:val="24"/>
                <w:highlight w:val="none"/>
              </w:rPr>
            </w:pPr>
            <w:r>
              <w:rPr>
                <w:rFonts w:hint="eastAsia" w:hAnsi="宋体" w:cs="宋体"/>
                <w:szCs w:val="24"/>
                <w:highlight w:val="none"/>
              </w:rPr>
              <w:t>12.1</w:t>
            </w:r>
          </w:p>
        </w:tc>
        <w:tc>
          <w:tcPr>
            <w:tcW w:w="7354" w:type="dxa"/>
          </w:tcPr>
          <w:p w14:paraId="0327F133">
            <w:pPr>
              <w:spacing w:line="360" w:lineRule="auto"/>
              <w:rPr>
                <w:rFonts w:hAnsi="宋体" w:cs="宋体"/>
                <w:szCs w:val="24"/>
                <w:highlight w:val="none"/>
              </w:rPr>
            </w:pPr>
            <w:r>
              <w:rPr>
                <w:rFonts w:hint="eastAsia" w:hAnsi="宋体" w:cs="宋体"/>
                <w:szCs w:val="24"/>
                <w:highlight w:val="none"/>
              </w:rPr>
              <w:t>特定资格证明文件：</w:t>
            </w:r>
          </w:p>
          <w:p w14:paraId="2E5CD45F">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（1）具有独立承担民事责任能力的法人、其他组织或自然人，并出具合法有效的统一社会信用代码的营业执照或事业单位法人证书等国家规定的相关证明，自然人参与的提供其身份证明；</w:t>
            </w:r>
          </w:p>
          <w:p w14:paraId="3A4C05C0">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（2）提供法定代表人授权书(附法定代表人、被授权人身份证复印件及授权代表本单位证明(养老保险缴纳证明)，(法定代表人直接参加投标，须提供法定代表人身份证明及身份证复印件)；</w:t>
            </w:r>
            <w:r>
              <w:rPr>
                <w:rFonts w:ascii="宋体" w:hAnsi="宋体" w:eastAsia="宋体" w:cs="宋体"/>
                <w:sz w:val="24"/>
                <w:szCs w:val="24"/>
                <w:highlight w:val="none"/>
                <w:lang w:eastAsia="zh-CN"/>
              </w:rPr>
              <w:br w:type="textWrapping"/>
            </w:r>
            <w:r>
              <w:rPr>
                <w:rFonts w:ascii="宋体" w:hAnsi="宋体" w:eastAsia="宋体" w:cs="宋体"/>
                <w:sz w:val="24"/>
                <w:szCs w:val="24"/>
                <w:highlight w:val="none"/>
                <w:lang w:eastAsia="zh-CN"/>
              </w:rPr>
              <w:t xml:space="preserve">  </w:t>
            </w:r>
            <w:r>
              <w:rPr>
                <w:rFonts w:ascii="宋体" w:hAnsi="宋体" w:eastAsia="宋体" w:cs="宋体"/>
                <w:sz w:val="24"/>
                <w:szCs w:val="24"/>
                <w:highlight w:val="none"/>
              </w:rPr>
              <w:t>（3）财务状况报告：提供2025年度经审计的财务报告（包括“四表⼀注”，即资产负债表、利润表、现⾦流量表、所有者权益变动表及其附注，符合《中⼩企业划型标准规定》的⼩型企业按照《⼩企业会计准则》执⾏。成⽴时间⾄提交投标⽂件截⽌时间不⾜⼀年的可提供成⽴后任意时段的资产负债表），审计报告须具有注册会计师⾏业统⼀监管平台（http://acc.mof.gov.cn）赋予的验证码；或提供其开标前三个⽉内基本开户银⾏出具的资信证明；</w:t>
            </w:r>
          </w:p>
          <w:p w14:paraId="11855AF0">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（4）税收缴纳证明：</w:t>
            </w:r>
            <w:r>
              <w:rPr>
                <w:rFonts w:ascii="宋体" w:hAnsi="宋体" w:eastAsia="宋体" w:cs="宋体"/>
                <w:sz w:val="24"/>
                <w:szCs w:val="24"/>
                <w:highlight w:val="none"/>
                <w:lang w:eastAsia="zh-CN"/>
              </w:rPr>
              <w:t>供应商</w:t>
            </w:r>
            <w:r>
              <w:rPr>
                <w:rFonts w:ascii="宋体" w:hAnsi="宋体" w:eastAsia="宋体" w:cs="宋体"/>
                <w:sz w:val="24"/>
                <w:szCs w:val="24"/>
                <w:highlight w:val="none"/>
              </w:rPr>
              <w:t>须提供</w:t>
            </w:r>
            <w:r>
              <w:rPr>
                <w:rFonts w:ascii="宋体" w:hAnsi="宋体" w:eastAsia="宋体" w:cs="宋体"/>
                <w:sz w:val="24"/>
                <w:szCs w:val="24"/>
                <w:highlight w:val="none"/>
                <w:lang w:eastAsia="zh-CN"/>
              </w:rPr>
              <w:t>响应</w:t>
            </w:r>
            <w:r>
              <w:rPr>
                <w:rFonts w:ascii="宋体" w:hAnsi="宋体" w:eastAsia="宋体" w:cs="宋体"/>
                <w:sz w:val="24"/>
                <w:szCs w:val="24"/>
                <w:highlight w:val="none"/>
              </w:rPr>
              <w:t>截止时间前12个月内任意1个月的纳税证明或完税证明（任意税种），依法免税的单位应提供相关证明材料；</w:t>
            </w:r>
          </w:p>
          <w:p w14:paraId="43FE67E7">
            <w:pPr>
              <w:pStyle w:val="48"/>
              <w:spacing w:line="360" w:lineRule="auto"/>
              <w:ind w:firstLine="480" w:firstLineChars="200"/>
              <w:outlineLvl w:val="3"/>
              <w:rPr>
                <w:rFonts w:hint="default" w:ascii="宋体" w:hAnsi="宋体" w:eastAsia="宋体" w:cs="宋体"/>
                <w:sz w:val="24"/>
                <w:szCs w:val="24"/>
                <w:highlight w:val="none"/>
                <w:lang w:eastAsia="zh-CN"/>
              </w:rPr>
            </w:pPr>
            <w:r>
              <w:rPr>
                <w:rFonts w:ascii="宋体" w:hAnsi="宋体" w:eastAsia="宋体" w:cs="宋体"/>
                <w:sz w:val="24"/>
                <w:szCs w:val="24"/>
                <w:highlight w:val="none"/>
              </w:rPr>
              <w:t>（5）社会保障资金缴纳证明：</w:t>
            </w:r>
            <w:r>
              <w:rPr>
                <w:rFonts w:ascii="宋体" w:hAnsi="宋体" w:eastAsia="宋体" w:cs="宋体"/>
                <w:sz w:val="24"/>
                <w:szCs w:val="24"/>
                <w:highlight w:val="none"/>
                <w:lang w:eastAsia="zh-CN"/>
              </w:rPr>
              <w:t>供应商</w:t>
            </w:r>
            <w:r>
              <w:rPr>
                <w:rFonts w:ascii="宋体" w:hAnsi="宋体" w:eastAsia="宋体" w:cs="宋体"/>
                <w:sz w:val="24"/>
                <w:szCs w:val="24"/>
                <w:highlight w:val="none"/>
              </w:rPr>
              <w:t>须提供</w:t>
            </w:r>
            <w:r>
              <w:rPr>
                <w:rFonts w:ascii="宋体" w:hAnsi="宋体" w:eastAsia="宋体" w:cs="宋体"/>
                <w:sz w:val="24"/>
                <w:szCs w:val="24"/>
                <w:highlight w:val="none"/>
                <w:lang w:eastAsia="zh-CN"/>
              </w:rPr>
              <w:t>响应</w:t>
            </w:r>
            <w:r>
              <w:rPr>
                <w:rFonts w:ascii="宋体" w:hAnsi="宋体" w:eastAsia="宋体" w:cs="宋体"/>
                <w:sz w:val="24"/>
                <w:szCs w:val="24"/>
                <w:highlight w:val="none"/>
              </w:rPr>
              <w:t>截止时间前12个月内任意1个月的社会保障资金缴纳记录（专用收据或社会保险缴纳清单），复印件加盖投标人公章。依法免税或不需要缴纳社会保障资金的投标人，应提供相应文件证明其依法免税或不需要缴纳社会保障资金</w:t>
            </w:r>
            <w:r>
              <w:rPr>
                <w:rFonts w:ascii="宋体" w:hAnsi="宋体" w:eastAsia="宋体" w:cs="宋体"/>
                <w:sz w:val="24"/>
                <w:szCs w:val="24"/>
                <w:highlight w:val="none"/>
                <w:lang w:eastAsia="zh-CN"/>
              </w:rPr>
              <w:t>；</w:t>
            </w:r>
          </w:p>
          <w:p w14:paraId="11E4E409">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6</w:t>
            </w:r>
            <w:r>
              <w:rPr>
                <w:rFonts w:ascii="宋体" w:hAnsi="宋体" w:eastAsia="宋体" w:cs="宋体"/>
                <w:sz w:val="24"/>
                <w:szCs w:val="24"/>
                <w:highlight w:val="none"/>
              </w:rPr>
              <w:t>）提供具有履行本合同所必需的设备和专业技术能力的说明及承诺书；</w:t>
            </w:r>
          </w:p>
          <w:p w14:paraId="150CDBF4">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7</w:t>
            </w:r>
            <w:r>
              <w:rPr>
                <w:rFonts w:ascii="宋体" w:hAnsi="宋体" w:eastAsia="宋体" w:cs="宋体"/>
                <w:sz w:val="24"/>
                <w:szCs w:val="24"/>
                <w:highlight w:val="none"/>
              </w:rPr>
              <w:t>）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295ED956">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8</w:t>
            </w:r>
            <w:r>
              <w:rPr>
                <w:rFonts w:ascii="宋体" w:hAnsi="宋体" w:eastAsia="宋体" w:cs="宋体"/>
                <w:sz w:val="24"/>
                <w:szCs w:val="24"/>
                <w:highlight w:val="none"/>
              </w:rPr>
              <w:t>）参加政府采购活动前3年内，在经营活动中没有重大违法记录的书面声明；</w:t>
            </w:r>
          </w:p>
          <w:p w14:paraId="36C48CD6">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9</w:t>
            </w:r>
            <w:r>
              <w:rPr>
                <w:rFonts w:ascii="宋体" w:hAnsi="宋体" w:eastAsia="宋体" w:cs="宋体"/>
                <w:sz w:val="24"/>
                <w:szCs w:val="24"/>
                <w:highlight w:val="none"/>
              </w:rPr>
              <w:t>）控股管理关系：提供直接控股和管理关系清单。若与其他供应商存在单位负责人为同一人或者存在直接控股、管理关系的，则投标无效；</w:t>
            </w:r>
          </w:p>
          <w:p w14:paraId="2D5BCA5B">
            <w:pPr>
              <w:pStyle w:val="48"/>
              <w:spacing w:line="360" w:lineRule="auto"/>
              <w:ind w:firstLine="480" w:firstLineChars="200"/>
              <w:outlineLvl w:val="3"/>
              <w:rPr>
                <w:rFonts w:hint="default" w:ascii="宋体" w:hAnsi="宋体" w:eastAsia="宋体" w:cs="宋体"/>
                <w:sz w:val="24"/>
                <w:szCs w:val="24"/>
                <w:highlight w:val="none"/>
                <w:lang w:eastAsia="zh-CN"/>
              </w:rPr>
            </w:pPr>
            <w:r>
              <w:rPr>
                <w:rFonts w:ascii="宋体" w:hAnsi="宋体" w:eastAsia="宋体" w:cs="宋体"/>
                <w:sz w:val="24"/>
                <w:szCs w:val="24"/>
                <w:highlight w:val="none"/>
                <w:lang w:eastAsia="zh-CN"/>
              </w:rPr>
              <w:t>（10）本项目为专门面向中小企业采购；</w:t>
            </w:r>
          </w:p>
          <w:p w14:paraId="356ECC04">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lang w:eastAsia="zh-CN"/>
              </w:rPr>
              <w:t>（11）</w:t>
            </w:r>
            <w:r>
              <w:rPr>
                <w:rFonts w:ascii="宋体" w:hAnsi="宋体" w:eastAsia="宋体" w:cs="宋体"/>
                <w:sz w:val="24"/>
                <w:szCs w:val="24"/>
                <w:highlight w:val="none"/>
              </w:rPr>
              <w:t>本项目不接受联合体</w:t>
            </w:r>
            <w:r>
              <w:rPr>
                <w:rFonts w:ascii="宋体" w:hAnsi="宋体" w:eastAsia="宋体" w:cs="宋体"/>
                <w:sz w:val="24"/>
                <w:szCs w:val="24"/>
                <w:highlight w:val="none"/>
                <w:lang w:eastAsia="zh-CN"/>
              </w:rPr>
              <w:t>磋商</w:t>
            </w:r>
            <w:r>
              <w:rPr>
                <w:rFonts w:ascii="宋体" w:hAnsi="宋体" w:eastAsia="宋体" w:cs="宋体"/>
                <w:sz w:val="24"/>
                <w:szCs w:val="24"/>
                <w:highlight w:val="none"/>
              </w:rPr>
              <w:t>（提供承诺书）。</w:t>
            </w:r>
          </w:p>
          <w:p w14:paraId="76958FD0">
            <w:pPr>
              <w:spacing w:line="360" w:lineRule="auto"/>
              <w:ind w:firstLine="482" w:firstLineChars="200"/>
              <w:rPr>
                <w:rFonts w:hAnsi="宋体" w:cs="宋体"/>
                <w:szCs w:val="24"/>
                <w:highlight w:val="none"/>
              </w:rPr>
            </w:pPr>
            <w:r>
              <w:rPr>
                <w:rFonts w:hint="eastAsia" w:hAnsi="宋体" w:cs="宋体"/>
                <w:b/>
                <w:bCs/>
                <w:szCs w:val="24"/>
                <w:highlight w:val="none"/>
              </w:rPr>
              <w:t>以上为必备资质，缺一项或某项达不到要求，按无效磋商处理。</w:t>
            </w:r>
          </w:p>
        </w:tc>
      </w:tr>
      <w:tr w14:paraId="7BC51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vAlign w:val="center"/>
          </w:tcPr>
          <w:p w14:paraId="3FEE5312">
            <w:pPr>
              <w:spacing w:line="360" w:lineRule="auto"/>
              <w:jc w:val="center"/>
              <w:rPr>
                <w:rFonts w:hAnsi="宋体" w:cs="宋体"/>
                <w:szCs w:val="24"/>
                <w:highlight w:val="none"/>
              </w:rPr>
            </w:pPr>
            <w:r>
              <w:rPr>
                <w:rFonts w:hint="eastAsia" w:hAnsi="宋体" w:cs="宋体"/>
                <w:szCs w:val="24"/>
                <w:highlight w:val="none"/>
              </w:rPr>
              <w:t>7</w:t>
            </w:r>
          </w:p>
        </w:tc>
        <w:tc>
          <w:tcPr>
            <w:tcW w:w="951" w:type="dxa"/>
            <w:vAlign w:val="center"/>
          </w:tcPr>
          <w:p w14:paraId="34F5B15B">
            <w:pPr>
              <w:spacing w:line="360" w:lineRule="auto"/>
              <w:jc w:val="center"/>
              <w:rPr>
                <w:rFonts w:hAnsi="宋体" w:cs="宋体"/>
                <w:szCs w:val="24"/>
                <w:highlight w:val="none"/>
              </w:rPr>
            </w:pPr>
            <w:r>
              <w:rPr>
                <w:rFonts w:hint="eastAsia" w:hAnsi="宋体" w:cs="宋体"/>
                <w:szCs w:val="24"/>
                <w:highlight w:val="none"/>
              </w:rPr>
              <w:t>14.4</w:t>
            </w:r>
          </w:p>
        </w:tc>
        <w:tc>
          <w:tcPr>
            <w:tcW w:w="7354" w:type="dxa"/>
          </w:tcPr>
          <w:p w14:paraId="50A1C567">
            <w:pPr>
              <w:spacing w:line="360" w:lineRule="auto"/>
              <w:ind w:firstLine="480"/>
              <w:rPr>
                <w:rFonts w:hAnsi="宋体" w:cs="宋体"/>
                <w:b/>
                <w:bCs/>
                <w:szCs w:val="24"/>
                <w:highlight w:val="none"/>
              </w:rPr>
            </w:pPr>
            <w:r>
              <w:rPr>
                <w:rFonts w:hint="eastAsia" w:hAnsi="宋体" w:cs="宋体"/>
                <w:b/>
                <w:bCs/>
                <w:szCs w:val="24"/>
                <w:highlight w:val="none"/>
              </w:rPr>
              <w:t>磋商保证金：无（本项目不收取保证金，本文件中涉及的保证金相关事项均不适用）</w:t>
            </w:r>
          </w:p>
          <w:p w14:paraId="691ED5FC">
            <w:pPr>
              <w:spacing w:line="360" w:lineRule="auto"/>
              <w:ind w:firstLine="480"/>
              <w:rPr>
                <w:rFonts w:hAnsi="宋体" w:cs="宋体"/>
                <w:szCs w:val="24"/>
                <w:highlight w:val="none"/>
              </w:rPr>
            </w:pPr>
            <w:r>
              <w:rPr>
                <w:rFonts w:hint="eastAsia" w:hAnsi="宋体" w:cs="宋体"/>
                <w:szCs w:val="24"/>
                <w:highlight w:val="none"/>
              </w:rPr>
              <w:t>磋商保证金的有效期与磋商有效期一致。</w:t>
            </w:r>
            <w:r>
              <w:rPr>
                <w:rFonts w:hint="eastAsia" w:hAnsi="宋体" w:cs="宋体"/>
                <w:szCs w:val="22"/>
                <w:highlight w:val="none"/>
              </w:rPr>
              <w:t>担保机构出具的保函的有效期为磋商有效期延长一个月。</w:t>
            </w:r>
          </w:p>
          <w:p w14:paraId="5F040F05">
            <w:pPr>
              <w:spacing w:line="360" w:lineRule="auto"/>
              <w:ind w:firstLine="480"/>
              <w:rPr>
                <w:rFonts w:hAnsi="宋体" w:cs="宋体"/>
                <w:szCs w:val="24"/>
                <w:highlight w:val="none"/>
              </w:rPr>
            </w:pPr>
            <w:r>
              <w:rPr>
                <w:rFonts w:hint="eastAsia" w:hAnsi="宋体" w:cs="宋体"/>
                <w:szCs w:val="24"/>
                <w:highlight w:val="none"/>
              </w:rPr>
              <w:t>磋商保证金的缴纳形式：转账、电汇、担保机构保函。</w:t>
            </w:r>
          </w:p>
          <w:p w14:paraId="39C110ED">
            <w:pPr>
              <w:spacing w:line="360" w:lineRule="auto"/>
              <w:ind w:firstLine="480"/>
              <w:rPr>
                <w:rFonts w:hAnsi="宋体" w:cs="宋体"/>
                <w:szCs w:val="24"/>
                <w:highlight w:val="none"/>
              </w:rPr>
            </w:pPr>
            <w:r>
              <w:rPr>
                <w:rFonts w:hint="eastAsia" w:hAnsi="宋体" w:cs="宋体"/>
                <w:szCs w:val="24"/>
                <w:highlight w:val="none"/>
              </w:rPr>
              <w:t>供应商以银行转账、电汇形式交纳保证金的，须从基本账户转出，并且在磋商响应文件递交截止前到达采购代理机构指定账户（</w:t>
            </w:r>
            <w:r>
              <w:rPr>
                <w:rFonts w:hint="eastAsia" w:hAnsi="宋体" w:cs="宋体"/>
                <w:b/>
                <w:szCs w:val="24"/>
                <w:highlight w:val="none"/>
              </w:rPr>
              <w:t>转账时请注明项目编号</w:t>
            </w:r>
            <w:r>
              <w:rPr>
                <w:rFonts w:hint="eastAsia" w:hAnsi="宋体" w:cs="宋体"/>
                <w:szCs w:val="24"/>
                <w:highlight w:val="none"/>
              </w:rPr>
              <w:t>）。磋商保证金到达采购代理机构指定账户后，供应商须与陕西至诚项目管理集团有限公司财务部联系确认到账后（联系电话029-88219779），将磋商保证金缴纳凭证复印件粘贴于磋商响应文件规定处。</w:t>
            </w:r>
          </w:p>
          <w:p w14:paraId="3EB33355">
            <w:pPr>
              <w:spacing w:line="360" w:lineRule="auto"/>
              <w:ind w:firstLine="480"/>
              <w:rPr>
                <w:rFonts w:hAnsi="宋体" w:cs="宋体"/>
                <w:szCs w:val="24"/>
                <w:highlight w:val="none"/>
              </w:rPr>
            </w:pPr>
            <w:r>
              <w:rPr>
                <w:rFonts w:hint="eastAsia" w:hAnsi="宋体" w:cs="宋体"/>
                <w:szCs w:val="24"/>
                <w:highlight w:val="none"/>
              </w:rPr>
              <w:t>供应商以保函形式缴纳磋商保证金的，须在磋商响应文件递交截止时间前将担保机构保函</w:t>
            </w:r>
            <w:r>
              <w:rPr>
                <w:rFonts w:hint="eastAsia" w:hAnsi="宋体" w:cs="宋体"/>
                <w:b/>
                <w:bCs/>
                <w:szCs w:val="24"/>
                <w:highlight w:val="none"/>
              </w:rPr>
              <w:t>正本原件</w:t>
            </w:r>
            <w:r>
              <w:rPr>
                <w:rFonts w:hint="eastAsia" w:hAnsi="宋体" w:cs="宋体"/>
                <w:szCs w:val="24"/>
                <w:highlight w:val="none"/>
              </w:rPr>
              <w:t>提交至采购代理机构备案，并将保函正本复印件附在磋商响应文件规定处。</w:t>
            </w:r>
          </w:p>
        </w:tc>
      </w:tr>
      <w:tr w14:paraId="7322F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534B9670">
            <w:pPr>
              <w:spacing w:line="360" w:lineRule="auto"/>
              <w:jc w:val="center"/>
              <w:rPr>
                <w:rFonts w:hAnsi="宋体" w:cs="宋体"/>
                <w:szCs w:val="24"/>
                <w:highlight w:val="none"/>
              </w:rPr>
            </w:pPr>
            <w:r>
              <w:rPr>
                <w:rFonts w:hint="eastAsia" w:hAnsi="宋体" w:cs="宋体"/>
                <w:szCs w:val="24"/>
                <w:highlight w:val="none"/>
              </w:rPr>
              <w:t>8</w:t>
            </w:r>
          </w:p>
        </w:tc>
        <w:tc>
          <w:tcPr>
            <w:tcW w:w="951" w:type="dxa"/>
            <w:vAlign w:val="center"/>
          </w:tcPr>
          <w:p w14:paraId="15D72FF7">
            <w:pPr>
              <w:spacing w:line="360" w:lineRule="auto"/>
              <w:jc w:val="center"/>
              <w:rPr>
                <w:rFonts w:hAnsi="宋体" w:cs="宋体"/>
                <w:szCs w:val="24"/>
                <w:highlight w:val="none"/>
              </w:rPr>
            </w:pPr>
            <w:r>
              <w:rPr>
                <w:rFonts w:hint="eastAsia" w:hAnsi="宋体" w:cs="宋体"/>
                <w:szCs w:val="24"/>
                <w:highlight w:val="none"/>
              </w:rPr>
              <w:t>15.1</w:t>
            </w:r>
          </w:p>
        </w:tc>
        <w:tc>
          <w:tcPr>
            <w:tcW w:w="7354" w:type="dxa"/>
            <w:vAlign w:val="center"/>
          </w:tcPr>
          <w:p w14:paraId="7B57D212">
            <w:pPr>
              <w:spacing w:line="360" w:lineRule="auto"/>
              <w:rPr>
                <w:rFonts w:hAnsi="宋体" w:cs="宋体"/>
                <w:highlight w:val="none"/>
              </w:rPr>
            </w:pPr>
            <w:r>
              <w:rPr>
                <w:rFonts w:hint="eastAsia" w:hAnsi="宋体" w:cs="宋体"/>
                <w:szCs w:val="24"/>
                <w:highlight w:val="none"/>
              </w:rPr>
              <w:t>磋商有效期:提交磋商响应文件的截止之日起90天。</w:t>
            </w:r>
          </w:p>
        </w:tc>
      </w:tr>
      <w:tr w14:paraId="0EAB3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1F77E016">
            <w:pPr>
              <w:spacing w:line="360" w:lineRule="auto"/>
              <w:jc w:val="center"/>
              <w:rPr>
                <w:rFonts w:hAnsi="宋体" w:cs="宋体"/>
                <w:szCs w:val="24"/>
                <w:highlight w:val="none"/>
              </w:rPr>
            </w:pPr>
            <w:r>
              <w:rPr>
                <w:rFonts w:hint="eastAsia" w:hAnsi="宋体" w:cs="宋体"/>
                <w:szCs w:val="24"/>
                <w:highlight w:val="none"/>
              </w:rPr>
              <w:t>9</w:t>
            </w:r>
          </w:p>
        </w:tc>
        <w:tc>
          <w:tcPr>
            <w:tcW w:w="951" w:type="dxa"/>
            <w:vAlign w:val="center"/>
          </w:tcPr>
          <w:p w14:paraId="54DC5BDF">
            <w:pPr>
              <w:spacing w:after="156" w:afterLines="50" w:line="360" w:lineRule="auto"/>
              <w:jc w:val="center"/>
              <w:rPr>
                <w:rFonts w:hAnsi="宋体" w:cs="宋体"/>
                <w:szCs w:val="24"/>
                <w:highlight w:val="none"/>
              </w:rPr>
            </w:pPr>
            <w:r>
              <w:rPr>
                <w:rFonts w:hint="eastAsia" w:hAnsi="宋体" w:cs="宋体"/>
                <w:szCs w:val="24"/>
                <w:highlight w:val="none"/>
              </w:rPr>
              <w:t>16.1</w:t>
            </w:r>
          </w:p>
        </w:tc>
        <w:tc>
          <w:tcPr>
            <w:tcW w:w="7354" w:type="dxa"/>
            <w:vAlign w:val="center"/>
          </w:tcPr>
          <w:p w14:paraId="24BD567A">
            <w:pPr>
              <w:spacing w:line="360" w:lineRule="auto"/>
              <w:rPr>
                <w:rFonts w:hAnsi="宋体" w:cs="宋体"/>
                <w:szCs w:val="24"/>
                <w:highlight w:val="none"/>
              </w:rPr>
            </w:pPr>
            <w:r>
              <w:rPr>
                <w:rFonts w:hint="eastAsia" w:hAnsi="宋体" w:cs="宋体"/>
                <w:szCs w:val="24"/>
                <w:highlight w:val="none"/>
              </w:rPr>
              <w:t>正本的份数：壹份；副本的份数：贰份；报价一览表：壹份；电子版（U盘）：壹份（需在盘面上标注供应商全称、项目名称、编号）。</w:t>
            </w:r>
          </w:p>
        </w:tc>
      </w:tr>
      <w:tr w14:paraId="285DD3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5AA9CF36">
            <w:pPr>
              <w:spacing w:line="360" w:lineRule="auto"/>
              <w:jc w:val="center"/>
              <w:rPr>
                <w:rFonts w:hAnsi="宋体" w:cs="宋体"/>
                <w:szCs w:val="24"/>
                <w:highlight w:val="none"/>
              </w:rPr>
            </w:pPr>
            <w:r>
              <w:rPr>
                <w:rFonts w:hint="eastAsia" w:hAnsi="宋体" w:cs="宋体"/>
                <w:szCs w:val="24"/>
                <w:highlight w:val="none"/>
              </w:rPr>
              <w:t>10</w:t>
            </w:r>
          </w:p>
        </w:tc>
        <w:tc>
          <w:tcPr>
            <w:tcW w:w="951" w:type="dxa"/>
            <w:vAlign w:val="center"/>
          </w:tcPr>
          <w:p w14:paraId="3F7F25F5">
            <w:pPr>
              <w:spacing w:after="156" w:afterLines="50" w:line="360" w:lineRule="auto"/>
              <w:jc w:val="center"/>
              <w:rPr>
                <w:rFonts w:hAnsi="宋体" w:cs="宋体"/>
                <w:szCs w:val="24"/>
                <w:highlight w:val="none"/>
              </w:rPr>
            </w:pPr>
            <w:r>
              <w:rPr>
                <w:rFonts w:hint="eastAsia" w:hAnsi="宋体" w:cs="宋体"/>
                <w:szCs w:val="24"/>
                <w:highlight w:val="none"/>
              </w:rPr>
              <w:t>17.2</w:t>
            </w:r>
          </w:p>
        </w:tc>
        <w:tc>
          <w:tcPr>
            <w:tcW w:w="7354" w:type="dxa"/>
            <w:vAlign w:val="center"/>
          </w:tcPr>
          <w:p w14:paraId="0BDFEB98">
            <w:pPr>
              <w:spacing w:line="360" w:lineRule="auto"/>
              <w:rPr>
                <w:rFonts w:hAnsi="宋体" w:cs="宋体"/>
                <w:szCs w:val="24"/>
                <w:highlight w:val="none"/>
              </w:rPr>
            </w:pPr>
            <w:r>
              <w:rPr>
                <w:rFonts w:hint="eastAsia" w:hAnsi="宋体" w:cs="宋体"/>
                <w:szCs w:val="24"/>
                <w:highlight w:val="none"/>
              </w:rPr>
              <w:t>竞争性磋商响应文件正本、电子版本、报价一览表；副本密封装在单独的封袋中（封袋不得有破损），且在封袋正面标明“正本、电子版本、报价一览表”“副本”字样。封袋应加贴封条，并在封线处加盖供应商公章，封袋正面要粘贴供应商全称、项目名称、编号等标识。</w:t>
            </w:r>
          </w:p>
        </w:tc>
      </w:tr>
      <w:tr w14:paraId="62B25D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32899DF1">
            <w:pPr>
              <w:spacing w:after="156" w:afterLines="50" w:line="360" w:lineRule="auto"/>
              <w:jc w:val="center"/>
              <w:rPr>
                <w:rFonts w:hAnsi="宋体" w:cs="宋体"/>
                <w:szCs w:val="24"/>
                <w:highlight w:val="none"/>
              </w:rPr>
            </w:pPr>
            <w:r>
              <w:rPr>
                <w:rFonts w:hint="eastAsia" w:hAnsi="宋体" w:cs="宋体"/>
                <w:szCs w:val="24"/>
                <w:highlight w:val="none"/>
              </w:rPr>
              <w:t>11</w:t>
            </w:r>
          </w:p>
        </w:tc>
        <w:tc>
          <w:tcPr>
            <w:tcW w:w="951" w:type="dxa"/>
            <w:vAlign w:val="center"/>
          </w:tcPr>
          <w:p w14:paraId="647CF898">
            <w:pPr>
              <w:spacing w:after="156" w:afterLines="50" w:line="360" w:lineRule="auto"/>
              <w:jc w:val="center"/>
              <w:rPr>
                <w:rFonts w:hAnsi="宋体" w:cs="宋体"/>
                <w:szCs w:val="24"/>
                <w:highlight w:val="none"/>
              </w:rPr>
            </w:pPr>
            <w:r>
              <w:rPr>
                <w:rFonts w:hint="eastAsia" w:hAnsi="宋体" w:cs="宋体"/>
                <w:szCs w:val="24"/>
                <w:highlight w:val="none"/>
              </w:rPr>
              <w:t>18.1</w:t>
            </w:r>
          </w:p>
        </w:tc>
        <w:tc>
          <w:tcPr>
            <w:tcW w:w="7354" w:type="dxa"/>
          </w:tcPr>
          <w:p w14:paraId="2959DB74">
            <w:pPr>
              <w:spacing w:line="360" w:lineRule="auto"/>
              <w:rPr>
                <w:rFonts w:hAnsi="宋体" w:cs="宋体"/>
                <w:szCs w:val="24"/>
                <w:highlight w:val="none"/>
              </w:rPr>
            </w:pPr>
            <w:r>
              <w:rPr>
                <w:rFonts w:hint="eastAsia" w:hAnsi="宋体" w:cs="宋体"/>
                <w:szCs w:val="24"/>
                <w:highlight w:val="none"/>
              </w:rPr>
              <w:t>磋商响应文件递交截止时间：详见竞争性磋商公告</w:t>
            </w:r>
          </w:p>
          <w:p w14:paraId="7744AAC2">
            <w:pPr>
              <w:pStyle w:val="20"/>
              <w:shd w:val="clear" w:color="auto" w:fill="FFFFFF"/>
              <w:spacing w:before="0" w:beforeAutospacing="0" w:after="0" w:afterAutospacing="0" w:line="480" w:lineRule="atLeast"/>
              <w:jc w:val="both"/>
              <w:textAlignment w:val="baseline"/>
              <w:rPr>
                <w:rFonts w:cs="宋体"/>
                <w:highlight w:val="none"/>
              </w:rPr>
            </w:pPr>
            <w:r>
              <w:rPr>
                <w:rFonts w:hint="eastAsia" w:cs="宋体"/>
                <w:highlight w:val="none"/>
              </w:rPr>
              <w:t>磋商响应文件递交地址：详见竞争性磋商公告</w:t>
            </w:r>
          </w:p>
          <w:p w14:paraId="2057C878">
            <w:pPr>
              <w:spacing w:line="360" w:lineRule="auto"/>
              <w:rPr>
                <w:rFonts w:hAnsi="宋体" w:cs="宋体"/>
                <w:szCs w:val="24"/>
                <w:highlight w:val="none"/>
              </w:rPr>
            </w:pPr>
            <w:r>
              <w:rPr>
                <w:rFonts w:hint="eastAsia" w:hAnsi="宋体" w:cs="宋体"/>
                <w:szCs w:val="24"/>
                <w:highlight w:val="none"/>
              </w:rPr>
              <w:t>磋商响应文件接收人：陕西至诚项目管理集团有限公司</w:t>
            </w:r>
          </w:p>
        </w:tc>
      </w:tr>
      <w:tr w14:paraId="67AD1D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vAlign w:val="center"/>
          </w:tcPr>
          <w:p w14:paraId="6FCB934F">
            <w:pPr>
              <w:spacing w:after="156" w:afterLines="50" w:line="360" w:lineRule="auto"/>
              <w:jc w:val="center"/>
              <w:rPr>
                <w:rFonts w:hAnsi="宋体" w:cs="宋体"/>
                <w:szCs w:val="24"/>
                <w:highlight w:val="none"/>
              </w:rPr>
            </w:pPr>
            <w:r>
              <w:rPr>
                <w:rFonts w:hint="eastAsia" w:hAnsi="宋体" w:cs="宋体"/>
                <w:szCs w:val="24"/>
                <w:highlight w:val="none"/>
              </w:rPr>
              <w:t>12</w:t>
            </w:r>
          </w:p>
        </w:tc>
        <w:tc>
          <w:tcPr>
            <w:tcW w:w="951" w:type="dxa"/>
            <w:vAlign w:val="center"/>
          </w:tcPr>
          <w:p w14:paraId="6FDF41F2">
            <w:pPr>
              <w:spacing w:after="156" w:afterLines="50" w:line="360" w:lineRule="auto"/>
              <w:jc w:val="center"/>
              <w:rPr>
                <w:rFonts w:hAnsi="宋体" w:cs="宋体"/>
                <w:szCs w:val="24"/>
                <w:highlight w:val="none"/>
              </w:rPr>
            </w:pPr>
            <w:r>
              <w:rPr>
                <w:rFonts w:hint="eastAsia" w:hAnsi="宋体" w:cs="宋体"/>
                <w:szCs w:val="24"/>
                <w:highlight w:val="none"/>
              </w:rPr>
              <w:t>21.1</w:t>
            </w:r>
          </w:p>
        </w:tc>
        <w:tc>
          <w:tcPr>
            <w:tcW w:w="7354" w:type="dxa"/>
            <w:vAlign w:val="center"/>
          </w:tcPr>
          <w:p w14:paraId="62F1D1AE">
            <w:pPr>
              <w:spacing w:line="360" w:lineRule="auto"/>
              <w:rPr>
                <w:rFonts w:hAnsi="宋体" w:cs="宋体"/>
                <w:szCs w:val="24"/>
                <w:highlight w:val="none"/>
              </w:rPr>
            </w:pPr>
            <w:r>
              <w:rPr>
                <w:rFonts w:hint="eastAsia" w:hAnsi="宋体" w:cs="宋体"/>
                <w:szCs w:val="24"/>
                <w:highlight w:val="none"/>
              </w:rPr>
              <w:t>磋商时间：详见竞争性磋商公告</w:t>
            </w:r>
          </w:p>
          <w:p w14:paraId="7205E849">
            <w:pPr>
              <w:spacing w:line="360" w:lineRule="auto"/>
              <w:jc w:val="left"/>
              <w:rPr>
                <w:rFonts w:hAnsi="宋体" w:cs="宋体"/>
                <w:szCs w:val="24"/>
                <w:highlight w:val="none"/>
              </w:rPr>
            </w:pPr>
            <w:r>
              <w:rPr>
                <w:rFonts w:hint="eastAsia" w:hAnsi="宋体" w:cs="宋体"/>
                <w:szCs w:val="24"/>
                <w:highlight w:val="none"/>
              </w:rPr>
              <w:t xml:space="preserve">磋商地点：详见竞争性磋商公告  </w:t>
            </w:r>
          </w:p>
        </w:tc>
      </w:tr>
      <w:tr w14:paraId="76A9C7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7" w:hRule="atLeast"/>
          <w:jc w:val="center"/>
        </w:trPr>
        <w:tc>
          <w:tcPr>
            <w:tcW w:w="592" w:type="dxa"/>
            <w:vAlign w:val="center"/>
          </w:tcPr>
          <w:p w14:paraId="775DF14E">
            <w:pPr>
              <w:spacing w:after="156" w:afterLines="50" w:line="360" w:lineRule="auto"/>
              <w:jc w:val="center"/>
              <w:rPr>
                <w:rFonts w:hAnsi="宋体" w:cs="宋体"/>
                <w:szCs w:val="24"/>
                <w:highlight w:val="none"/>
              </w:rPr>
            </w:pPr>
            <w:r>
              <w:rPr>
                <w:rFonts w:hint="eastAsia" w:hAnsi="宋体" w:cs="宋体"/>
                <w:szCs w:val="24"/>
                <w:highlight w:val="none"/>
              </w:rPr>
              <w:t>13</w:t>
            </w:r>
          </w:p>
        </w:tc>
        <w:tc>
          <w:tcPr>
            <w:tcW w:w="951" w:type="dxa"/>
            <w:vAlign w:val="center"/>
          </w:tcPr>
          <w:p w14:paraId="69FF2C61">
            <w:pPr>
              <w:spacing w:after="156" w:afterLines="50" w:line="360" w:lineRule="auto"/>
              <w:jc w:val="center"/>
              <w:rPr>
                <w:rFonts w:hAnsi="宋体" w:cs="宋体"/>
                <w:szCs w:val="24"/>
                <w:highlight w:val="none"/>
              </w:rPr>
            </w:pPr>
            <w:r>
              <w:rPr>
                <w:rFonts w:hint="eastAsia" w:hAnsi="宋体" w:cs="宋体"/>
                <w:szCs w:val="24"/>
                <w:highlight w:val="none"/>
              </w:rPr>
              <w:t>24.1</w:t>
            </w:r>
          </w:p>
        </w:tc>
        <w:tc>
          <w:tcPr>
            <w:tcW w:w="7354" w:type="dxa"/>
            <w:vAlign w:val="center"/>
          </w:tcPr>
          <w:p w14:paraId="7D566691">
            <w:pPr>
              <w:spacing w:after="156" w:afterLines="50" w:line="360" w:lineRule="auto"/>
              <w:jc w:val="left"/>
              <w:rPr>
                <w:rFonts w:hAnsi="宋体" w:cs="宋体"/>
                <w:szCs w:val="24"/>
                <w:highlight w:val="none"/>
              </w:rPr>
            </w:pPr>
            <w:r>
              <w:rPr>
                <w:rFonts w:hint="eastAsia" w:hAnsi="宋体" w:cs="宋体"/>
                <w:b/>
                <w:bCs/>
                <w:szCs w:val="24"/>
                <w:highlight w:val="none"/>
              </w:rPr>
              <w:t>评审方法：综合评分法（详见第三章）</w:t>
            </w:r>
          </w:p>
        </w:tc>
      </w:tr>
      <w:tr w14:paraId="108F9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6A4454CA">
            <w:pPr>
              <w:spacing w:after="156" w:afterLines="50" w:line="360" w:lineRule="auto"/>
              <w:jc w:val="center"/>
              <w:rPr>
                <w:rFonts w:hAnsi="宋体" w:cs="宋体"/>
                <w:szCs w:val="24"/>
                <w:highlight w:val="none"/>
              </w:rPr>
            </w:pPr>
            <w:r>
              <w:rPr>
                <w:rFonts w:hint="eastAsia" w:hAnsi="宋体" w:cs="宋体"/>
                <w:szCs w:val="24"/>
                <w:highlight w:val="none"/>
              </w:rPr>
              <w:t>14</w:t>
            </w:r>
          </w:p>
        </w:tc>
        <w:tc>
          <w:tcPr>
            <w:tcW w:w="951" w:type="dxa"/>
            <w:vAlign w:val="center"/>
          </w:tcPr>
          <w:p w14:paraId="5A75CB15">
            <w:pPr>
              <w:spacing w:after="156" w:afterLines="50" w:line="360" w:lineRule="auto"/>
              <w:jc w:val="center"/>
              <w:rPr>
                <w:rFonts w:hAnsi="宋体" w:cs="宋体"/>
                <w:szCs w:val="24"/>
                <w:highlight w:val="none"/>
              </w:rPr>
            </w:pPr>
            <w:r>
              <w:rPr>
                <w:rFonts w:hint="eastAsia" w:hAnsi="宋体" w:cs="宋体"/>
                <w:szCs w:val="24"/>
                <w:highlight w:val="none"/>
              </w:rPr>
              <w:t>29</w:t>
            </w:r>
          </w:p>
        </w:tc>
        <w:tc>
          <w:tcPr>
            <w:tcW w:w="7354" w:type="dxa"/>
            <w:vAlign w:val="center"/>
          </w:tcPr>
          <w:p w14:paraId="73FCCE93">
            <w:pPr>
              <w:spacing w:line="360" w:lineRule="auto"/>
              <w:rPr>
                <w:rFonts w:hAnsi="宋体" w:cs="宋体"/>
                <w:szCs w:val="24"/>
                <w:highlight w:val="none"/>
              </w:rPr>
            </w:pPr>
            <w:r>
              <w:rPr>
                <w:rFonts w:hint="eastAsia" w:hAnsi="宋体" w:cs="宋体"/>
                <w:szCs w:val="24"/>
                <w:highlight w:val="none"/>
              </w:rPr>
              <w:t>磋商代理服务费：</w:t>
            </w:r>
          </w:p>
          <w:p w14:paraId="448DD776">
            <w:pPr>
              <w:spacing w:line="360" w:lineRule="auto"/>
              <w:ind w:firstLine="480" w:firstLineChars="200"/>
              <w:rPr>
                <w:rFonts w:hAnsi="宋体" w:cs="宋体"/>
                <w:szCs w:val="24"/>
                <w:highlight w:val="none"/>
              </w:rPr>
            </w:pPr>
            <w:r>
              <w:rPr>
                <w:rFonts w:hint="eastAsia" w:hAnsi="宋体" w:cs="宋体"/>
                <w:szCs w:val="24"/>
                <w:highlight w:val="none"/>
              </w:rPr>
              <w:t>29.1招标服务费以中标金额为基数，参照《秦始皇帝陵博物院政府采购管理办法》30万元以下项目，代理服务费由成交供应商支付，取费标准为：20万（含）--25万（不含）的项目代理服务费为4500元，25万（含）--30万（含）的项目代理服务费为5000元，不再区分采购次数。本项目定额收取人民币：5000.00元整（大写：伍仟元整）。29.2成交单位在领取成交通知书前，须向采购代理机构一次性支付代理服务费。</w:t>
            </w:r>
          </w:p>
        </w:tc>
      </w:tr>
      <w:tr w14:paraId="54D1D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70ECEF68">
            <w:pPr>
              <w:spacing w:after="156" w:afterLines="50" w:line="360" w:lineRule="auto"/>
              <w:jc w:val="center"/>
              <w:rPr>
                <w:rFonts w:hAnsi="宋体" w:cs="宋体"/>
                <w:szCs w:val="24"/>
                <w:highlight w:val="none"/>
              </w:rPr>
            </w:pPr>
            <w:r>
              <w:rPr>
                <w:rFonts w:hint="eastAsia" w:hAnsi="宋体" w:cs="宋体"/>
                <w:szCs w:val="24"/>
                <w:highlight w:val="none"/>
              </w:rPr>
              <w:t>15</w:t>
            </w:r>
          </w:p>
        </w:tc>
        <w:tc>
          <w:tcPr>
            <w:tcW w:w="951" w:type="dxa"/>
            <w:vAlign w:val="center"/>
          </w:tcPr>
          <w:p w14:paraId="4CA960E4">
            <w:pPr>
              <w:spacing w:line="360" w:lineRule="auto"/>
              <w:jc w:val="center"/>
              <w:rPr>
                <w:rFonts w:hAnsi="宋体" w:cs="宋体"/>
                <w:szCs w:val="24"/>
                <w:highlight w:val="none"/>
              </w:rPr>
            </w:pPr>
            <w:r>
              <w:rPr>
                <w:rFonts w:hint="eastAsia" w:hAnsi="宋体" w:cs="宋体"/>
                <w:szCs w:val="24"/>
                <w:highlight w:val="none"/>
              </w:rPr>
              <w:t>踏勘</w:t>
            </w:r>
          </w:p>
          <w:p w14:paraId="18F6EB43">
            <w:pPr>
              <w:spacing w:line="360" w:lineRule="auto"/>
              <w:jc w:val="center"/>
              <w:rPr>
                <w:rFonts w:hAnsi="宋体" w:cs="宋体"/>
                <w:szCs w:val="24"/>
                <w:highlight w:val="none"/>
              </w:rPr>
            </w:pPr>
            <w:r>
              <w:rPr>
                <w:rFonts w:hint="eastAsia" w:hAnsi="宋体" w:cs="宋体"/>
                <w:szCs w:val="24"/>
                <w:highlight w:val="none"/>
              </w:rPr>
              <w:t>现场</w:t>
            </w:r>
          </w:p>
        </w:tc>
        <w:tc>
          <w:tcPr>
            <w:tcW w:w="7354" w:type="dxa"/>
            <w:vAlign w:val="center"/>
          </w:tcPr>
          <w:p w14:paraId="53AC3A69">
            <w:pPr>
              <w:spacing w:line="360" w:lineRule="auto"/>
              <w:rPr>
                <w:rFonts w:hAnsi="宋体" w:cs="宋体"/>
                <w:szCs w:val="24"/>
                <w:highlight w:val="none"/>
              </w:rPr>
            </w:pPr>
            <w:r>
              <w:rPr>
                <w:rFonts w:hint="eastAsia" w:hAnsi="宋体" w:cs="宋体"/>
                <w:szCs w:val="24"/>
                <w:highlight w:val="none"/>
              </w:rPr>
              <w:t>1）招标代理机构不组织统一踏勘，各投标人自行踏勘，相关费用及安全由投标人自行承担，踏勘时遵守相关规定，不得扰民。</w:t>
            </w:r>
          </w:p>
          <w:p w14:paraId="1149BC84">
            <w:pPr>
              <w:spacing w:line="360" w:lineRule="auto"/>
              <w:rPr>
                <w:rFonts w:hAnsi="宋体" w:cs="宋体"/>
                <w:szCs w:val="24"/>
                <w:highlight w:val="none"/>
              </w:rPr>
            </w:pPr>
            <w:r>
              <w:rPr>
                <w:rFonts w:hint="eastAsia" w:hAnsi="宋体" w:cs="宋体"/>
                <w:szCs w:val="24"/>
                <w:highlight w:val="none"/>
              </w:rPr>
              <w:t>2）踏勘内容包含：完成本次招标所需要的现场情况及周围环境等资料。</w:t>
            </w:r>
          </w:p>
        </w:tc>
      </w:tr>
      <w:tr w14:paraId="34E2A8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20FD3C7">
            <w:pPr>
              <w:spacing w:after="156" w:afterLines="50" w:line="360" w:lineRule="auto"/>
              <w:jc w:val="center"/>
              <w:rPr>
                <w:rFonts w:hAnsi="宋体" w:cs="宋体"/>
                <w:szCs w:val="24"/>
                <w:highlight w:val="none"/>
              </w:rPr>
            </w:pPr>
            <w:r>
              <w:rPr>
                <w:rFonts w:hint="eastAsia" w:hAnsi="宋体" w:cs="宋体"/>
                <w:szCs w:val="24"/>
                <w:highlight w:val="none"/>
              </w:rPr>
              <w:t>16</w:t>
            </w:r>
          </w:p>
        </w:tc>
        <w:tc>
          <w:tcPr>
            <w:tcW w:w="951" w:type="dxa"/>
            <w:vAlign w:val="center"/>
          </w:tcPr>
          <w:p w14:paraId="043C3B16">
            <w:pPr>
              <w:jc w:val="center"/>
              <w:rPr>
                <w:rFonts w:hAnsi="宋体" w:cs="宋体"/>
                <w:b/>
                <w:bCs/>
                <w:szCs w:val="24"/>
                <w:highlight w:val="none"/>
              </w:rPr>
            </w:pPr>
            <w:r>
              <w:rPr>
                <w:rFonts w:hint="eastAsia" w:hAnsi="宋体" w:cs="宋体"/>
                <w:b/>
                <w:bCs/>
                <w:szCs w:val="24"/>
                <w:highlight w:val="none"/>
              </w:rPr>
              <w:t>银行</w:t>
            </w:r>
          </w:p>
          <w:p w14:paraId="15B35A8A">
            <w:pPr>
              <w:jc w:val="center"/>
              <w:rPr>
                <w:rFonts w:hAnsi="宋体" w:cs="宋体"/>
                <w:b/>
                <w:bCs/>
                <w:szCs w:val="24"/>
                <w:highlight w:val="none"/>
              </w:rPr>
            </w:pPr>
            <w:r>
              <w:rPr>
                <w:rFonts w:hint="eastAsia" w:hAnsi="宋体" w:cs="宋体"/>
                <w:b/>
                <w:bCs/>
                <w:szCs w:val="24"/>
                <w:highlight w:val="none"/>
              </w:rPr>
              <w:t>账户</w:t>
            </w:r>
          </w:p>
          <w:p w14:paraId="1CA525AB">
            <w:pPr>
              <w:jc w:val="center"/>
              <w:rPr>
                <w:rFonts w:hAnsi="宋体" w:cs="宋体"/>
                <w:szCs w:val="24"/>
                <w:highlight w:val="none"/>
              </w:rPr>
            </w:pPr>
            <w:r>
              <w:rPr>
                <w:rFonts w:hint="eastAsia" w:hAnsi="宋体" w:cs="宋体"/>
                <w:b/>
                <w:bCs/>
                <w:szCs w:val="24"/>
                <w:highlight w:val="none"/>
              </w:rPr>
              <w:t>信息</w:t>
            </w:r>
          </w:p>
        </w:tc>
        <w:tc>
          <w:tcPr>
            <w:tcW w:w="7354" w:type="dxa"/>
            <w:vAlign w:val="center"/>
          </w:tcPr>
          <w:p w14:paraId="06A2DA2E">
            <w:pPr>
              <w:spacing w:line="520" w:lineRule="exact"/>
              <w:rPr>
                <w:rFonts w:hAnsi="宋体" w:cs="宋体"/>
                <w:b/>
                <w:bCs/>
                <w:szCs w:val="24"/>
                <w:highlight w:val="none"/>
              </w:rPr>
            </w:pPr>
            <w:r>
              <w:rPr>
                <w:rFonts w:hint="eastAsia" w:hAnsi="宋体" w:cs="宋体"/>
                <w:b/>
                <w:bCs/>
                <w:szCs w:val="24"/>
                <w:highlight w:val="none"/>
              </w:rPr>
              <w:t>1、代理服务费账户：</w:t>
            </w:r>
          </w:p>
          <w:p w14:paraId="3098CE02">
            <w:pPr>
              <w:spacing w:line="360" w:lineRule="auto"/>
              <w:ind w:firstLine="482" w:firstLineChars="200"/>
              <w:rPr>
                <w:rFonts w:hAnsi="宋体" w:cs="宋体"/>
                <w:b/>
                <w:bCs/>
                <w:szCs w:val="24"/>
                <w:highlight w:val="none"/>
              </w:rPr>
            </w:pPr>
            <w:r>
              <w:rPr>
                <w:rFonts w:hint="eastAsia" w:hAnsi="宋体" w:cs="宋体"/>
                <w:b/>
                <w:bCs/>
                <w:szCs w:val="24"/>
                <w:highlight w:val="none"/>
              </w:rPr>
              <w:t>①采购代理机构开户名称: 陕西至诚项目管理集团有限公司</w:t>
            </w:r>
          </w:p>
          <w:p w14:paraId="7123FE83">
            <w:pPr>
              <w:spacing w:line="360" w:lineRule="auto"/>
              <w:ind w:firstLine="482" w:firstLineChars="200"/>
              <w:rPr>
                <w:rFonts w:hAnsi="宋体" w:cs="宋体"/>
                <w:b/>
                <w:bCs/>
                <w:szCs w:val="24"/>
                <w:highlight w:val="none"/>
              </w:rPr>
            </w:pPr>
            <w:r>
              <w:rPr>
                <w:rFonts w:hint="eastAsia" w:hAnsi="宋体" w:cs="宋体"/>
                <w:b/>
                <w:bCs/>
                <w:szCs w:val="24"/>
                <w:highlight w:val="none"/>
              </w:rPr>
              <w:t>②开户行名称：中国建设银行股份有限公司西安高新技术产业开发区支行</w:t>
            </w:r>
          </w:p>
          <w:p w14:paraId="0CE7D4FD">
            <w:pPr>
              <w:pStyle w:val="10"/>
              <w:rPr>
                <w:rFonts w:ascii="宋体" w:hAnsi="宋体" w:cs="宋体"/>
                <w:szCs w:val="24"/>
                <w:highlight w:val="none"/>
              </w:rPr>
            </w:pPr>
            <w:r>
              <w:rPr>
                <w:rFonts w:hint="eastAsia" w:ascii="宋体" w:hAnsi="宋体" w:cs="宋体"/>
                <w:b/>
                <w:bCs/>
                <w:sz w:val="24"/>
                <w:szCs w:val="24"/>
                <w:highlight w:val="none"/>
              </w:rPr>
              <w:t>2、账号：61050192090000002152</w:t>
            </w:r>
          </w:p>
        </w:tc>
      </w:tr>
      <w:tr w14:paraId="4C329E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67597B3">
            <w:pPr>
              <w:spacing w:after="156" w:afterLines="50" w:line="360" w:lineRule="auto"/>
              <w:jc w:val="center"/>
              <w:rPr>
                <w:rFonts w:hAnsi="宋体" w:cs="宋体"/>
                <w:szCs w:val="24"/>
                <w:highlight w:val="none"/>
              </w:rPr>
            </w:pPr>
            <w:r>
              <w:rPr>
                <w:rFonts w:hint="eastAsia" w:hAnsi="宋体" w:cs="宋体"/>
                <w:szCs w:val="24"/>
                <w:highlight w:val="none"/>
              </w:rPr>
              <w:t>17</w:t>
            </w:r>
          </w:p>
        </w:tc>
        <w:tc>
          <w:tcPr>
            <w:tcW w:w="951" w:type="dxa"/>
            <w:vAlign w:val="center"/>
          </w:tcPr>
          <w:p w14:paraId="1849B7AC">
            <w:pPr>
              <w:widowControl/>
              <w:spacing w:line="360" w:lineRule="auto"/>
              <w:jc w:val="center"/>
              <w:rPr>
                <w:rFonts w:hAnsi="宋体" w:cs="宋体"/>
                <w:b/>
                <w:bCs/>
                <w:szCs w:val="24"/>
                <w:highlight w:val="none"/>
              </w:rPr>
            </w:pPr>
            <w:r>
              <w:rPr>
                <w:rFonts w:hint="eastAsia" w:hAnsi="宋体" w:cs="宋体"/>
                <w:b/>
                <w:bCs/>
                <w:szCs w:val="24"/>
                <w:highlight w:val="none"/>
              </w:rPr>
              <w:t>项目</w:t>
            </w:r>
          </w:p>
          <w:p w14:paraId="5F180EE2">
            <w:pPr>
              <w:widowControl/>
              <w:spacing w:line="360" w:lineRule="auto"/>
              <w:jc w:val="center"/>
              <w:rPr>
                <w:rFonts w:hAnsi="宋体" w:cs="宋体"/>
                <w:b/>
                <w:bCs/>
                <w:szCs w:val="24"/>
                <w:highlight w:val="none"/>
              </w:rPr>
            </w:pPr>
            <w:r>
              <w:rPr>
                <w:rFonts w:hint="eastAsia" w:hAnsi="宋体" w:cs="宋体"/>
                <w:b/>
                <w:bCs/>
                <w:szCs w:val="24"/>
                <w:highlight w:val="none"/>
              </w:rPr>
              <w:t>性质</w:t>
            </w:r>
          </w:p>
        </w:tc>
        <w:tc>
          <w:tcPr>
            <w:tcW w:w="7354" w:type="dxa"/>
            <w:vAlign w:val="center"/>
          </w:tcPr>
          <w:p w14:paraId="38FFE64B">
            <w:pPr>
              <w:spacing w:line="500" w:lineRule="exact"/>
              <w:rPr>
                <w:rFonts w:hAnsi="宋体" w:cs="宋体"/>
                <w:b/>
                <w:bCs/>
                <w:szCs w:val="24"/>
                <w:highlight w:val="none"/>
              </w:rPr>
            </w:pPr>
            <w:r>
              <w:rPr>
                <w:rFonts w:hint="eastAsia" w:hAnsi="宋体" w:cs="宋体"/>
                <w:b/>
                <w:bCs/>
                <w:szCs w:val="24"/>
                <w:highlight w:val="none"/>
              </w:rPr>
              <w:t>供应商须提供中小企业声明函；</w:t>
            </w:r>
          </w:p>
        </w:tc>
      </w:tr>
      <w:tr w14:paraId="120B8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4CEB9A90">
            <w:pPr>
              <w:spacing w:after="156" w:afterLines="50" w:line="360" w:lineRule="auto"/>
              <w:jc w:val="center"/>
              <w:rPr>
                <w:rFonts w:hAnsi="宋体" w:cs="宋体"/>
                <w:szCs w:val="24"/>
                <w:highlight w:val="none"/>
              </w:rPr>
            </w:pPr>
            <w:r>
              <w:rPr>
                <w:rFonts w:hint="eastAsia" w:hAnsi="宋体" w:cs="宋体"/>
                <w:szCs w:val="24"/>
                <w:highlight w:val="none"/>
              </w:rPr>
              <w:t>18</w:t>
            </w:r>
          </w:p>
        </w:tc>
        <w:tc>
          <w:tcPr>
            <w:tcW w:w="951" w:type="dxa"/>
            <w:vAlign w:val="center"/>
          </w:tcPr>
          <w:p w14:paraId="05955B36">
            <w:pPr>
              <w:widowControl/>
              <w:spacing w:line="360" w:lineRule="auto"/>
              <w:jc w:val="center"/>
              <w:rPr>
                <w:rFonts w:hAnsi="宋体" w:cs="宋体"/>
                <w:b/>
                <w:bCs/>
                <w:szCs w:val="24"/>
                <w:highlight w:val="none"/>
              </w:rPr>
            </w:pPr>
            <w:r>
              <w:rPr>
                <w:rFonts w:hint="eastAsia" w:hAnsi="宋体" w:cs="宋体"/>
                <w:b/>
                <w:bCs/>
                <w:szCs w:val="24"/>
                <w:highlight w:val="none"/>
              </w:rPr>
              <w:t>项目所属行业</w:t>
            </w:r>
          </w:p>
        </w:tc>
        <w:tc>
          <w:tcPr>
            <w:tcW w:w="7354" w:type="dxa"/>
            <w:vAlign w:val="center"/>
          </w:tcPr>
          <w:p w14:paraId="4DD8D260">
            <w:pPr>
              <w:spacing w:line="500" w:lineRule="exact"/>
              <w:rPr>
                <w:rFonts w:hAnsi="宋体" w:cs="宋体"/>
                <w:b/>
                <w:bCs/>
                <w:szCs w:val="24"/>
                <w:highlight w:val="none"/>
              </w:rPr>
            </w:pPr>
            <w:r>
              <w:rPr>
                <w:rFonts w:hint="eastAsia" w:hAnsi="宋体" w:cs="宋体"/>
                <w:b/>
                <w:bCs/>
                <w:szCs w:val="24"/>
                <w:highlight w:val="none"/>
              </w:rPr>
              <w:t>信息传输业</w:t>
            </w:r>
          </w:p>
        </w:tc>
      </w:tr>
      <w:tr w14:paraId="58B8E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5FAEE6FA">
            <w:pPr>
              <w:spacing w:after="156" w:afterLines="50" w:line="360" w:lineRule="auto"/>
              <w:jc w:val="center"/>
              <w:rPr>
                <w:rFonts w:hAnsi="宋体" w:cs="宋体"/>
                <w:szCs w:val="24"/>
                <w:highlight w:val="none"/>
              </w:rPr>
            </w:pPr>
            <w:r>
              <w:rPr>
                <w:rFonts w:hint="eastAsia" w:hAnsi="宋体" w:cs="宋体"/>
                <w:szCs w:val="24"/>
                <w:highlight w:val="none"/>
              </w:rPr>
              <w:t>19</w:t>
            </w:r>
          </w:p>
        </w:tc>
        <w:tc>
          <w:tcPr>
            <w:tcW w:w="951" w:type="dxa"/>
            <w:vAlign w:val="center"/>
          </w:tcPr>
          <w:p w14:paraId="53DFF92F">
            <w:pPr>
              <w:widowControl/>
              <w:spacing w:line="360" w:lineRule="auto"/>
              <w:jc w:val="center"/>
              <w:rPr>
                <w:rFonts w:hAnsi="宋体" w:cs="宋体"/>
                <w:b/>
                <w:bCs/>
                <w:szCs w:val="24"/>
                <w:highlight w:val="none"/>
              </w:rPr>
            </w:pPr>
            <w:r>
              <w:rPr>
                <w:rFonts w:hint="eastAsia" w:hAnsi="宋体" w:cs="宋体"/>
                <w:kern w:val="2"/>
                <w:szCs w:val="24"/>
                <w:highlight w:val="none"/>
              </w:rPr>
              <w:t>其他</w:t>
            </w:r>
          </w:p>
        </w:tc>
        <w:tc>
          <w:tcPr>
            <w:tcW w:w="7354" w:type="dxa"/>
            <w:vAlign w:val="center"/>
          </w:tcPr>
          <w:p w14:paraId="52675D49">
            <w:pPr>
              <w:spacing w:line="360" w:lineRule="auto"/>
              <w:ind w:firstLine="480" w:firstLineChars="200"/>
              <w:rPr>
                <w:rFonts w:hAnsi="宋体" w:cs="宋体"/>
                <w:szCs w:val="32"/>
                <w:highlight w:val="none"/>
              </w:rPr>
            </w:pPr>
            <w:r>
              <w:rPr>
                <w:rFonts w:hint="eastAsia" w:hAnsi="宋体" w:cs="宋体"/>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 【2020】15 号）等有关规定，按照市场主导、财政引导、银企自愿、风险自担的原则，中标（成交）供应商可根据自身资金需求，登录陕西省政府采购信用融资平台</w:t>
            </w:r>
          </w:p>
          <w:p w14:paraId="627291DC">
            <w:pPr>
              <w:spacing w:line="360" w:lineRule="auto"/>
              <w:rPr>
                <w:rFonts w:hAnsi="宋体" w:cs="宋体"/>
                <w:szCs w:val="32"/>
                <w:highlight w:val="none"/>
              </w:rPr>
            </w:pPr>
            <w:r>
              <w:rPr>
                <w:rFonts w:hint="eastAsia" w:hAnsi="宋体" w:cs="宋体"/>
                <w:szCs w:val="32"/>
                <w:highlight w:val="none"/>
              </w:rPr>
              <w:t>(http://www.ccgp-shaanxi.gov.cn/zcdservice/zcd/shan xi/）在线申请，依法参加政府采购信用融资活动。</w:t>
            </w:r>
          </w:p>
          <w:p w14:paraId="605284AE">
            <w:pPr>
              <w:spacing w:line="500" w:lineRule="exact"/>
              <w:ind w:firstLine="480" w:firstLineChars="200"/>
              <w:rPr>
                <w:rFonts w:hAnsi="宋体" w:cs="宋体"/>
                <w:b/>
                <w:bCs/>
                <w:szCs w:val="24"/>
                <w:highlight w:val="none"/>
              </w:rPr>
            </w:pPr>
            <w:r>
              <w:rPr>
                <w:rFonts w:hint="eastAsia" w:hAnsi="宋体" w:cs="宋体"/>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55962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4867B857">
            <w:pPr>
              <w:widowControl/>
              <w:spacing w:line="360" w:lineRule="auto"/>
              <w:jc w:val="center"/>
              <w:rPr>
                <w:rFonts w:hAnsi="宋体" w:cs="宋体"/>
                <w:b/>
                <w:bCs/>
                <w:szCs w:val="24"/>
                <w:highlight w:val="none"/>
              </w:rPr>
            </w:pPr>
            <w:r>
              <w:rPr>
                <w:rFonts w:hint="eastAsia" w:hAnsi="宋体" w:cs="宋体"/>
                <w:b/>
                <w:bCs/>
                <w:szCs w:val="24"/>
                <w:highlight w:val="none"/>
              </w:rPr>
              <w:t>20</w:t>
            </w:r>
          </w:p>
        </w:tc>
        <w:tc>
          <w:tcPr>
            <w:tcW w:w="951" w:type="dxa"/>
            <w:vAlign w:val="center"/>
          </w:tcPr>
          <w:p w14:paraId="4E17CD6D">
            <w:pPr>
              <w:widowControl/>
              <w:spacing w:line="360" w:lineRule="auto"/>
              <w:jc w:val="center"/>
              <w:rPr>
                <w:rFonts w:hAnsi="宋体" w:cs="宋体"/>
                <w:b/>
                <w:bCs/>
                <w:szCs w:val="24"/>
                <w:highlight w:val="none"/>
              </w:rPr>
            </w:pPr>
            <w:r>
              <w:rPr>
                <w:rFonts w:hint="eastAsia" w:hAnsi="宋体" w:cs="宋体"/>
                <w:b/>
                <w:bCs/>
                <w:szCs w:val="24"/>
                <w:highlight w:val="none"/>
              </w:rPr>
              <w:t>备注</w:t>
            </w:r>
          </w:p>
        </w:tc>
        <w:tc>
          <w:tcPr>
            <w:tcW w:w="7354" w:type="dxa"/>
            <w:vAlign w:val="center"/>
          </w:tcPr>
          <w:p w14:paraId="0230B70D">
            <w:pPr>
              <w:spacing w:line="500" w:lineRule="exact"/>
              <w:ind w:firstLine="482" w:firstLineChars="200"/>
              <w:rPr>
                <w:rFonts w:hAnsi="宋体" w:cs="宋体"/>
                <w:b/>
                <w:bCs/>
                <w:szCs w:val="24"/>
                <w:highlight w:val="none"/>
              </w:rPr>
            </w:pPr>
            <w:r>
              <w:rPr>
                <w:rFonts w:hint="eastAsia" w:hAnsi="宋体" w:cs="宋体"/>
                <w:b/>
                <w:bCs/>
                <w:szCs w:val="24"/>
                <w:highlight w:val="none"/>
              </w:rPr>
              <w:t>供应商注册登记提醒：</w:t>
            </w:r>
          </w:p>
          <w:p w14:paraId="21EB2925">
            <w:pPr>
              <w:spacing w:line="500" w:lineRule="exact"/>
              <w:ind w:firstLine="482" w:firstLineChars="200"/>
              <w:rPr>
                <w:rFonts w:hAnsi="宋体" w:cs="宋体"/>
                <w:szCs w:val="24"/>
                <w:highlight w:val="none"/>
              </w:rPr>
            </w:pPr>
            <w:r>
              <w:rPr>
                <w:rFonts w:hint="eastAsia" w:hAnsi="宋体" w:cs="宋体"/>
                <w:b/>
                <w:bCs/>
                <w:szCs w:val="24"/>
                <w:highlight w:val="none"/>
              </w:rPr>
              <w:t>根据陕西省财政厅关于政府采购供应商注册登记有关事项的通知，如所投本项目的供应商未在陕西省政府采购网（</w:t>
            </w:r>
            <w:r>
              <w:rPr>
                <w:highlight w:val="none"/>
              </w:rPr>
              <w:fldChar w:fldCharType="begin"/>
            </w:r>
            <w:r>
              <w:rPr>
                <w:highlight w:val="none"/>
              </w:rPr>
              <w:instrText xml:space="preserve"> HYPERLINK "http://www.ccgp-shaanxi.gov.cn/information/informationDetail.do?informationguid=8a85be3567ed23460167ed36804d0009" </w:instrText>
            </w:r>
            <w:r>
              <w:rPr>
                <w:highlight w:val="none"/>
              </w:rPr>
              <w:fldChar w:fldCharType="separate"/>
            </w:r>
            <w:r>
              <w:rPr>
                <w:rFonts w:hint="eastAsia" w:hAnsi="宋体" w:cs="宋体"/>
                <w:b/>
                <w:bCs/>
                <w:szCs w:val="24"/>
                <w:highlight w:val="none"/>
              </w:rPr>
              <w:t>http://www.ccgp-shaanxi.gov.cn/information/informationDetail.do?informationguid=8a85be3567ed23460167ed36804d0009</w:t>
            </w:r>
            <w:r>
              <w:rPr>
                <w:rFonts w:hint="eastAsia" w:hAnsi="宋体" w:cs="宋体"/>
                <w:b/>
                <w:bCs/>
                <w:szCs w:val="24"/>
                <w:highlight w:val="none"/>
              </w:rPr>
              <w:fldChar w:fldCharType="end"/>
            </w:r>
            <w:r>
              <w:rPr>
                <w:rFonts w:hint="eastAsia" w:hAnsi="宋体" w:cs="宋体"/>
                <w:b/>
                <w:bCs/>
                <w:szCs w:val="24"/>
                <w:highlight w:val="none"/>
              </w:rPr>
              <w:t>）注册登记加入陕西省政府采购供应商库的，应按要求及时办理注册登记，并接受财政部门监督管理。</w:t>
            </w:r>
          </w:p>
        </w:tc>
      </w:tr>
      <w:bookmarkEnd w:id="9"/>
      <w:bookmarkEnd w:id="10"/>
      <w:bookmarkEnd w:id="11"/>
    </w:tbl>
    <w:p w14:paraId="7C293454">
      <w:pPr>
        <w:spacing w:before="156" w:beforeLines="50" w:after="156" w:afterLines="50"/>
        <w:jc w:val="center"/>
        <w:outlineLvl w:val="2"/>
        <w:rPr>
          <w:rFonts w:hAnsi="宋体" w:cs="宋体"/>
          <w:sz w:val="32"/>
          <w:szCs w:val="32"/>
          <w:highlight w:val="none"/>
        </w:rPr>
      </w:pPr>
      <w:bookmarkStart w:id="29" w:name="_Toc363473972"/>
      <w:bookmarkStart w:id="30" w:name="_Toc403077639"/>
      <w:bookmarkStart w:id="31" w:name="_Toc363474017"/>
      <w:r>
        <w:rPr>
          <w:rFonts w:hint="eastAsia" w:hAnsi="宋体" w:cs="宋体"/>
          <w:b/>
          <w:sz w:val="32"/>
          <w:szCs w:val="32"/>
          <w:highlight w:val="none"/>
        </w:rPr>
        <w:br w:type="page"/>
      </w:r>
      <w:bookmarkStart w:id="32" w:name="_Toc27537"/>
      <w:bookmarkStart w:id="33" w:name="_Toc3623"/>
      <w:bookmarkStart w:id="34" w:name="_Toc4670"/>
      <w:bookmarkStart w:id="35" w:name="_Toc10550"/>
      <w:r>
        <w:rPr>
          <w:rFonts w:hint="eastAsia" w:hAnsi="宋体" w:cs="宋体"/>
          <w:b/>
          <w:sz w:val="32"/>
          <w:szCs w:val="32"/>
          <w:highlight w:val="none"/>
        </w:rPr>
        <w:t>一.总  则</w:t>
      </w:r>
      <w:bookmarkEnd w:id="29"/>
      <w:bookmarkEnd w:id="30"/>
      <w:bookmarkEnd w:id="31"/>
      <w:bookmarkEnd w:id="32"/>
      <w:bookmarkEnd w:id="33"/>
      <w:bookmarkEnd w:id="34"/>
      <w:bookmarkEnd w:id="35"/>
    </w:p>
    <w:p w14:paraId="53C96763">
      <w:pPr>
        <w:spacing w:line="360" w:lineRule="auto"/>
        <w:rPr>
          <w:rFonts w:hAnsi="宋体" w:cs="宋体"/>
          <w:b/>
          <w:szCs w:val="24"/>
          <w:highlight w:val="none"/>
        </w:rPr>
      </w:pPr>
      <w:r>
        <w:rPr>
          <w:rFonts w:hint="eastAsia" w:hAnsi="宋体" w:cs="宋体"/>
          <w:b/>
          <w:szCs w:val="24"/>
          <w:highlight w:val="none"/>
        </w:rPr>
        <w:t>1.资金来源</w:t>
      </w:r>
    </w:p>
    <w:p w14:paraId="709017F4">
      <w:pPr>
        <w:spacing w:line="360" w:lineRule="auto"/>
        <w:ind w:firstLine="480" w:firstLineChars="200"/>
        <w:rPr>
          <w:rFonts w:hAnsi="宋体" w:cs="宋体"/>
          <w:szCs w:val="24"/>
          <w:highlight w:val="none"/>
        </w:rPr>
      </w:pPr>
      <w:r>
        <w:rPr>
          <w:rFonts w:hint="eastAsia" w:hAnsi="宋体" w:cs="宋体"/>
          <w:szCs w:val="24"/>
          <w:highlight w:val="none"/>
        </w:rPr>
        <w:t>1.1本次竞争性磋商所签合同使用就业补助专项资金支付，资金已落实到位。</w:t>
      </w:r>
    </w:p>
    <w:p w14:paraId="62F3E76C">
      <w:pPr>
        <w:numPr>
          <w:ilvl w:val="0"/>
          <w:numId w:val="2"/>
        </w:numPr>
        <w:spacing w:line="500" w:lineRule="exact"/>
        <w:rPr>
          <w:rFonts w:hAnsi="宋体" w:cs="宋体"/>
          <w:b/>
          <w:szCs w:val="24"/>
          <w:highlight w:val="none"/>
        </w:rPr>
      </w:pPr>
      <w:bookmarkStart w:id="36" w:name="_Toc403077640"/>
      <w:bookmarkStart w:id="37" w:name="_Toc363473973"/>
      <w:bookmarkStart w:id="38" w:name="_Toc363474018"/>
      <w:r>
        <w:rPr>
          <w:rFonts w:hint="eastAsia" w:hAnsi="宋体" w:cs="宋体"/>
          <w:b/>
          <w:szCs w:val="24"/>
          <w:highlight w:val="none"/>
        </w:rPr>
        <w:t>名词解释</w:t>
      </w:r>
    </w:p>
    <w:p w14:paraId="4201F6C5">
      <w:pPr>
        <w:tabs>
          <w:tab w:val="left" w:pos="7665"/>
        </w:tabs>
        <w:spacing w:line="360" w:lineRule="auto"/>
        <w:ind w:firstLine="480" w:firstLineChars="200"/>
        <w:rPr>
          <w:rFonts w:hAnsi="宋体" w:cs="宋体"/>
          <w:szCs w:val="22"/>
          <w:highlight w:val="none"/>
        </w:rPr>
      </w:pPr>
      <w:r>
        <w:rPr>
          <w:rFonts w:hint="eastAsia" w:hAnsi="宋体" w:cs="宋体"/>
          <w:szCs w:val="22"/>
          <w:highlight w:val="none"/>
        </w:rPr>
        <w:t>2.1采购人：秦始皇帝陵博物院</w:t>
      </w:r>
    </w:p>
    <w:p w14:paraId="6064C9EB">
      <w:pPr>
        <w:tabs>
          <w:tab w:val="left" w:pos="7665"/>
        </w:tabs>
        <w:spacing w:line="360" w:lineRule="auto"/>
        <w:ind w:firstLine="480" w:firstLineChars="200"/>
        <w:rPr>
          <w:rFonts w:hAnsi="宋体" w:cs="宋体"/>
          <w:szCs w:val="22"/>
          <w:highlight w:val="none"/>
        </w:rPr>
      </w:pPr>
      <w:r>
        <w:rPr>
          <w:rFonts w:hint="eastAsia" w:hAnsi="宋体" w:cs="宋体"/>
          <w:szCs w:val="22"/>
          <w:highlight w:val="none"/>
        </w:rPr>
        <w:t>2.2监督机构：同级人民政府财政部门</w:t>
      </w:r>
    </w:p>
    <w:p w14:paraId="15A31ADC">
      <w:pPr>
        <w:tabs>
          <w:tab w:val="left" w:pos="7665"/>
        </w:tabs>
        <w:spacing w:line="360" w:lineRule="auto"/>
        <w:ind w:firstLine="480" w:firstLineChars="200"/>
        <w:rPr>
          <w:rFonts w:hAnsi="宋体" w:cs="宋体"/>
          <w:highlight w:val="none"/>
        </w:rPr>
      </w:pPr>
      <w:r>
        <w:rPr>
          <w:rFonts w:hint="eastAsia" w:hAnsi="宋体" w:cs="宋体"/>
          <w:szCs w:val="22"/>
          <w:highlight w:val="none"/>
        </w:rPr>
        <w:t>2.3采购代理机构：陕西至诚项目管理集团有限公司</w:t>
      </w:r>
    </w:p>
    <w:p w14:paraId="2D4A1F46">
      <w:pPr>
        <w:tabs>
          <w:tab w:val="left" w:pos="7665"/>
        </w:tabs>
        <w:spacing w:line="360" w:lineRule="auto"/>
        <w:ind w:firstLine="480" w:firstLineChars="200"/>
        <w:rPr>
          <w:rFonts w:hAnsi="宋体" w:cs="宋体"/>
          <w:highlight w:val="none"/>
        </w:rPr>
      </w:pPr>
      <w:r>
        <w:rPr>
          <w:rFonts w:hint="eastAsia" w:hAnsi="宋体" w:cs="宋体"/>
          <w:highlight w:val="none"/>
        </w:rPr>
        <w:t>2.4供应商：是指响应和符合竞争性磋商文件规定资格条件且参与竞争性磋商的法人、其他组织或者自然人。</w:t>
      </w:r>
    </w:p>
    <w:p w14:paraId="0F9E807F">
      <w:pPr>
        <w:adjustRightInd w:val="0"/>
        <w:snapToGrid w:val="0"/>
        <w:spacing w:line="360" w:lineRule="auto"/>
        <w:ind w:firstLine="480" w:firstLineChars="200"/>
        <w:rPr>
          <w:rFonts w:hAnsi="宋体" w:cs="宋体"/>
          <w:highlight w:val="none"/>
        </w:rPr>
      </w:pPr>
      <w:r>
        <w:rPr>
          <w:rFonts w:hint="eastAsia" w:hAnsi="宋体" w:cs="宋体"/>
          <w:highlight w:val="none"/>
        </w:rPr>
        <w:t>2.5产品是指本竞争性磋商文件中第四章所述所有产品。</w:t>
      </w:r>
    </w:p>
    <w:p w14:paraId="4EB4473A">
      <w:pPr>
        <w:adjustRightInd w:val="0"/>
        <w:snapToGrid w:val="0"/>
        <w:spacing w:line="360" w:lineRule="auto"/>
        <w:ind w:firstLine="480" w:firstLineChars="200"/>
        <w:rPr>
          <w:rFonts w:hAnsi="宋体" w:cs="宋体"/>
          <w:highlight w:val="none"/>
        </w:rPr>
      </w:pPr>
      <w:r>
        <w:rPr>
          <w:rFonts w:hint="eastAsia" w:hAnsi="宋体" w:cs="宋体"/>
          <w:highlight w:val="none"/>
        </w:rPr>
        <w:t>2.6服务是指供应商为满足竞争性磋商文件要求而提供的服务。</w:t>
      </w:r>
    </w:p>
    <w:p w14:paraId="751D53A9">
      <w:pPr>
        <w:adjustRightInd w:val="0"/>
        <w:snapToGrid w:val="0"/>
        <w:spacing w:line="360" w:lineRule="auto"/>
        <w:ind w:firstLine="480" w:firstLineChars="200"/>
        <w:rPr>
          <w:rFonts w:hAnsi="宋体" w:cs="宋体"/>
          <w:highlight w:val="none"/>
        </w:rPr>
      </w:pPr>
      <w:r>
        <w:rPr>
          <w:rFonts w:hint="eastAsia" w:hAnsi="宋体" w:cs="宋体"/>
          <w:highlight w:val="none"/>
        </w:rPr>
        <w:t>2.7节能产品或者环保产品是指依据国家确定的认证机构出具的、处于有效期之内的具有节能产品、环境标志产品认证证书的产品。</w:t>
      </w:r>
    </w:p>
    <w:p w14:paraId="011F6133">
      <w:pPr>
        <w:adjustRightInd w:val="0"/>
        <w:snapToGrid w:val="0"/>
        <w:spacing w:line="360" w:lineRule="auto"/>
        <w:ind w:firstLine="480" w:firstLineChars="200"/>
        <w:rPr>
          <w:rFonts w:hAnsi="宋体" w:cs="宋体"/>
          <w:highlight w:val="none"/>
        </w:rPr>
      </w:pPr>
      <w:r>
        <w:rPr>
          <w:rFonts w:hint="eastAsia" w:hAnsi="宋体" w:cs="宋体"/>
          <w:highlight w:val="none"/>
        </w:rPr>
        <w:t>2.8进口产品是指通过中国海关报关验放进入中国境内且产自关境外的产品，详见《关于政府采购进口产品管理有关问题的通知》(财库[2007]119号)。</w:t>
      </w:r>
    </w:p>
    <w:p w14:paraId="2BE09D19">
      <w:pPr>
        <w:adjustRightInd w:val="0"/>
        <w:snapToGrid w:val="0"/>
        <w:spacing w:line="360" w:lineRule="auto"/>
        <w:ind w:firstLine="480" w:firstLineChars="200"/>
        <w:rPr>
          <w:rFonts w:hAnsi="宋体" w:cs="宋体"/>
          <w:highlight w:val="none"/>
        </w:rPr>
      </w:pPr>
      <w:r>
        <w:rPr>
          <w:rFonts w:hint="eastAsia" w:hAnsi="宋体" w:cs="宋体"/>
          <w:highlight w:val="none"/>
        </w:rPr>
        <w:t>2.9中小企业是指符合《工业和信息化部、国家统计局、国家发展和改革委员会、财政部关于印发中小企业划型标准规定的通知》（工信部联企业[2011]300号）规定的对中小企业的划分标准的企业。</w:t>
      </w:r>
    </w:p>
    <w:p w14:paraId="62F78B11">
      <w:pPr>
        <w:adjustRightInd w:val="0"/>
        <w:snapToGrid w:val="0"/>
        <w:spacing w:line="360" w:lineRule="auto"/>
        <w:ind w:firstLine="480" w:firstLineChars="200"/>
        <w:rPr>
          <w:rFonts w:hAnsi="宋体" w:cs="宋体"/>
          <w:highlight w:val="none"/>
        </w:rPr>
      </w:pPr>
      <w:r>
        <w:rPr>
          <w:rFonts w:hint="eastAsia" w:hAnsi="宋体" w:cs="宋体"/>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D9EFF5A">
      <w:pPr>
        <w:adjustRightInd w:val="0"/>
        <w:snapToGrid w:val="0"/>
        <w:spacing w:line="360" w:lineRule="auto"/>
        <w:ind w:firstLine="480" w:firstLineChars="200"/>
        <w:rPr>
          <w:rFonts w:hAnsi="宋体" w:cs="宋体"/>
          <w:highlight w:val="none"/>
        </w:rPr>
      </w:pPr>
      <w:r>
        <w:rPr>
          <w:rFonts w:hint="eastAsia" w:hAnsi="宋体" w:cs="宋体"/>
          <w:highlight w:val="none"/>
        </w:rPr>
        <w:t>2.11残疾人福利性单位是指符合《三部门联合发布关于促进残疾人就业政府采购政策的通知》财库〔2017〕141号规定的对残疾人福利性单位划分标准的单位。</w:t>
      </w:r>
    </w:p>
    <w:p w14:paraId="67B6FEB4">
      <w:pPr>
        <w:spacing w:line="500" w:lineRule="exact"/>
        <w:rPr>
          <w:rFonts w:hAnsi="宋体" w:cs="宋体"/>
          <w:b/>
          <w:szCs w:val="24"/>
          <w:highlight w:val="none"/>
        </w:rPr>
      </w:pPr>
      <w:r>
        <w:rPr>
          <w:rFonts w:hint="eastAsia" w:hAnsi="宋体" w:cs="宋体"/>
          <w:b/>
          <w:szCs w:val="24"/>
          <w:highlight w:val="none"/>
        </w:rPr>
        <w:t>3.合格的供应商</w:t>
      </w:r>
    </w:p>
    <w:p w14:paraId="72562584">
      <w:pPr>
        <w:tabs>
          <w:tab w:val="left" w:pos="851"/>
        </w:tabs>
        <w:spacing w:line="500" w:lineRule="exact"/>
        <w:ind w:firstLine="480" w:firstLineChars="200"/>
        <w:rPr>
          <w:rFonts w:hAnsi="宋体" w:cs="宋体"/>
          <w:szCs w:val="24"/>
          <w:highlight w:val="none"/>
        </w:rPr>
      </w:pPr>
      <w:r>
        <w:rPr>
          <w:rFonts w:hint="eastAsia" w:hAnsi="宋体" w:cs="宋体"/>
          <w:szCs w:val="24"/>
          <w:highlight w:val="none"/>
        </w:rPr>
        <w:t>3.1《</w:t>
      </w:r>
      <w:r>
        <w:rPr>
          <w:highlight w:val="none"/>
        </w:rPr>
        <w:fldChar w:fldCharType="begin"/>
      </w:r>
      <w:r>
        <w:rPr>
          <w:highlight w:val="none"/>
        </w:rPr>
        <w:instrText xml:space="preserve"> HYPERLINK "https://www.ccgp-shaanxi.gov.cn/freecms/site/shaanxi/ggxx/info/oldweb/4028807e62394cf101623bd796a20016.html" \t "https://www.ccgp-shaanxi.gov.cn/cms-sx/site/shanxi/zcfg/_blank" </w:instrText>
      </w:r>
      <w:r>
        <w:rPr>
          <w:highlight w:val="none"/>
        </w:rPr>
        <w:fldChar w:fldCharType="separate"/>
      </w:r>
      <w:r>
        <w:rPr>
          <w:rFonts w:hint="eastAsia" w:hAnsi="宋体" w:cs="宋体"/>
          <w:szCs w:val="24"/>
          <w:highlight w:val="none"/>
        </w:rPr>
        <w:t>中华人民共和国政府采购法</w:t>
      </w:r>
      <w:r>
        <w:rPr>
          <w:rFonts w:hint="eastAsia" w:hAnsi="宋体" w:cs="宋体"/>
          <w:szCs w:val="24"/>
          <w:highlight w:val="none"/>
        </w:rPr>
        <w:fldChar w:fldCharType="end"/>
      </w:r>
      <w:r>
        <w:rPr>
          <w:rFonts w:hint="eastAsia" w:hAnsi="宋体" w:cs="宋体"/>
          <w:szCs w:val="24"/>
          <w:highlight w:val="none"/>
        </w:rPr>
        <w:t>》第二十二条第一款规定的供应商基本资格条件:</w:t>
      </w:r>
    </w:p>
    <w:p w14:paraId="6DEA28E5">
      <w:pPr>
        <w:spacing w:line="500" w:lineRule="exact"/>
        <w:ind w:firstLine="480" w:firstLineChars="200"/>
        <w:rPr>
          <w:rFonts w:hAnsi="宋体" w:cs="宋体"/>
          <w:szCs w:val="24"/>
          <w:highlight w:val="none"/>
        </w:rPr>
      </w:pPr>
      <w:r>
        <w:rPr>
          <w:rFonts w:hint="eastAsia" w:hAnsi="宋体" w:cs="宋体"/>
          <w:szCs w:val="24"/>
          <w:highlight w:val="none"/>
        </w:rPr>
        <w:t xml:space="preserve">    1）具有独立承担民事责任的能力；</w:t>
      </w:r>
    </w:p>
    <w:p w14:paraId="4B2FC16B">
      <w:pPr>
        <w:spacing w:line="500" w:lineRule="exact"/>
        <w:ind w:firstLine="480" w:firstLineChars="200"/>
        <w:rPr>
          <w:rFonts w:hAnsi="宋体" w:cs="宋体"/>
          <w:szCs w:val="24"/>
          <w:highlight w:val="none"/>
        </w:rPr>
      </w:pPr>
      <w:r>
        <w:rPr>
          <w:rFonts w:hint="eastAsia" w:hAnsi="宋体" w:cs="宋体"/>
          <w:szCs w:val="24"/>
          <w:highlight w:val="none"/>
        </w:rPr>
        <w:t xml:space="preserve">    2）具有良好的商业信誉和健全的财务会计制度；</w:t>
      </w:r>
    </w:p>
    <w:p w14:paraId="021BF2D4">
      <w:pPr>
        <w:spacing w:line="500" w:lineRule="exact"/>
        <w:ind w:firstLine="480" w:firstLineChars="200"/>
        <w:rPr>
          <w:rFonts w:hAnsi="宋体" w:cs="宋体"/>
          <w:szCs w:val="24"/>
          <w:highlight w:val="none"/>
        </w:rPr>
      </w:pPr>
      <w:r>
        <w:rPr>
          <w:rFonts w:hint="eastAsia" w:hAnsi="宋体" w:cs="宋体"/>
          <w:szCs w:val="24"/>
          <w:highlight w:val="none"/>
        </w:rPr>
        <w:t xml:space="preserve">    3）具有履行合同所必需的设备和专业技术能力；</w:t>
      </w:r>
    </w:p>
    <w:p w14:paraId="053F5109">
      <w:pPr>
        <w:spacing w:line="500" w:lineRule="exact"/>
        <w:ind w:firstLine="480" w:firstLineChars="200"/>
        <w:rPr>
          <w:rFonts w:hAnsi="宋体" w:cs="宋体"/>
          <w:szCs w:val="24"/>
          <w:highlight w:val="none"/>
        </w:rPr>
      </w:pPr>
      <w:r>
        <w:rPr>
          <w:rFonts w:hint="eastAsia" w:hAnsi="宋体" w:cs="宋体"/>
          <w:szCs w:val="24"/>
          <w:highlight w:val="none"/>
        </w:rPr>
        <w:t xml:space="preserve">    4）有依法缴纳税收和社会保障资金的良好记录；</w:t>
      </w:r>
    </w:p>
    <w:p w14:paraId="69148B94">
      <w:pPr>
        <w:spacing w:line="500" w:lineRule="exact"/>
        <w:ind w:firstLine="480" w:firstLineChars="200"/>
        <w:rPr>
          <w:rFonts w:hAnsi="宋体" w:cs="宋体"/>
          <w:szCs w:val="24"/>
          <w:highlight w:val="none"/>
        </w:rPr>
      </w:pPr>
      <w:r>
        <w:rPr>
          <w:rFonts w:hint="eastAsia" w:hAnsi="宋体" w:cs="宋体"/>
          <w:szCs w:val="24"/>
          <w:highlight w:val="none"/>
        </w:rPr>
        <w:t xml:space="preserve">    5）参加政府采购活动前三年内，在经营活动中没有重大违法记录；</w:t>
      </w:r>
    </w:p>
    <w:p w14:paraId="543B9E46">
      <w:pPr>
        <w:spacing w:line="500" w:lineRule="exact"/>
        <w:ind w:firstLine="480" w:firstLineChars="200"/>
        <w:rPr>
          <w:rFonts w:hAnsi="宋体" w:cs="宋体"/>
          <w:szCs w:val="24"/>
          <w:highlight w:val="none"/>
        </w:rPr>
      </w:pPr>
      <w:r>
        <w:rPr>
          <w:rFonts w:hint="eastAsia" w:hAnsi="宋体" w:cs="宋体"/>
          <w:szCs w:val="24"/>
          <w:highlight w:val="none"/>
        </w:rPr>
        <w:t xml:space="preserve">    6）法律、行政法规规定的其他条件。</w:t>
      </w:r>
    </w:p>
    <w:p w14:paraId="0E33B51B">
      <w:pPr>
        <w:spacing w:line="500" w:lineRule="exact"/>
        <w:ind w:firstLine="482" w:firstLineChars="200"/>
        <w:rPr>
          <w:rFonts w:hAnsi="宋体" w:cs="宋体"/>
          <w:b/>
          <w:bCs/>
          <w:szCs w:val="24"/>
          <w:highlight w:val="none"/>
        </w:rPr>
      </w:pPr>
      <w:r>
        <w:rPr>
          <w:rFonts w:hint="eastAsia" w:hAnsi="宋体" w:cs="宋体"/>
          <w:b/>
          <w:bCs/>
          <w:szCs w:val="24"/>
          <w:highlight w:val="none"/>
        </w:rPr>
        <w:t>3.2根据本次采购项目的特殊要求，规定的供应商特殊条件（见供应商须知前附表）。</w:t>
      </w:r>
    </w:p>
    <w:p w14:paraId="70B77FD5">
      <w:pPr>
        <w:spacing w:line="500" w:lineRule="exact"/>
        <w:ind w:firstLine="482" w:firstLineChars="200"/>
        <w:rPr>
          <w:rFonts w:hAnsi="宋体" w:cs="宋体"/>
          <w:szCs w:val="24"/>
          <w:highlight w:val="none"/>
        </w:rPr>
      </w:pPr>
      <w:r>
        <w:rPr>
          <w:rFonts w:hint="eastAsia" w:hAnsi="宋体" w:cs="宋体"/>
          <w:b/>
          <w:bCs/>
          <w:szCs w:val="24"/>
          <w:highlight w:val="none"/>
        </w:rPr>
        <w:t>3.3法定代表人为同一人的两个及两个以上的法人，母公司、全资子公司及其控股公司，都不得在同一项目（分包的按包）的采购中同时参与磋商，否则均为无效磋商。</w:t>
      </w:r>
    </w:p>
    <w:p w14:paraId="4AB002F8">
      <w:pPr>
        <w:spacing w:line="500" w:lineRule="exact"/>
        <w:ind w:firstLine="480" w:firstLineChars="200"/>
        <w:rPr>
          <w:rFonts w:hAnsi="宋体" w:cs="宋体"/>
          <w:szCs w:val="24"/>
          <w:highlight w:val="none"/>
        </w:rPr>
      </w:pPr>
      <w:r>
        <w:rPr>
          <w:rFonts w:hint="eastAsia" w:hAnsi="宋体" w:cs="宋体"/>
          <w:szCs w:val="24"/>
          <w:highlight w:val="none"/>
        </w:rPr>
        <w:t>3.4供应商必须在陕西至诚项目管理集团有限公司购买</w:t>
      </w:r>
      <w:r>
        <w:rPr>
          <w:rFonts w:hint="eastAsia" w:hAnsi="宋体" w:cs="宋体"/>
          <w:highlight w:val="none"/>
        </w:rPr>
        <w:t>竞争性磋商文件</w:t>
      </w:r>
      <w:r>
        <w:rPr>
          <w:rFonts w:hint="eastAsia" w:hAnsi="宋体" w:cs="宋体"/>
          <w:szCs w:val="24"/>
          <w:highlight w:val="none"/>
        </w:rPr>
        <w:t>，方可参加磋商。</w:t>
      </w:r>
      <w:r>
        <w:rPr>
          <w:rFonts w:hint="eastAsia" w:hAnsi="宋体" w:cs="宋体"/>
          <w:highlight w:val="none"/>
        </w:rPr>
        <w:t>竞争性</w:t>
      </w:r>
      <w:r>
        <w:rPr>
          <w:rFonts w:hint="eastAsia" w:hAnsi="宋体" w:cs="宋体"/>
          <w:szCs w:val="24"/>
          <w:highlight w:val="none"/>
        </w:rPr>
        <w:t>磋商文件售后不退。</w:t>
      </w:r>
    </w:p>
    <w:p w14:paraId="5D6EAFD8">
      <w:pPr>
        <w:spacing w:line="500" w:lineRule="exact"/>
        <w:ind w:firstLine="480" w:firstLineChars="200"/>
        <w:rPr>
          <w:rFonts w:hAnsi="宋体" w:cs="宋体"/>
          <w:szCs w:val="24"/>
          <w:highlight w:val="none"/>
        </w:rPr>
      </w:pPr>
      <w:r>
        <w:rPr>
          <w:rFonts w:hint="eastAsia" w:hAnsi="宋体" w:cs="宋体"/>
          <w:szCs w:val="24"/>
          <w:highlight w:val="none"/>
        </w:rPr>
        <w:t>3.5本项目不接受联合体磋商。</w:t>
      </w:r>
    </w:p>
    <w:p w14:paraId="7A5CE3CE">
      <w:pPr>
        <w:spacing w:line="500" w:lineRule="exact"/>
        <w:ind w:firstLine="480" w:firstLineChars="200"/>
        <w:rPr>
          <w:rFonts w:hAnsi="宋体" w:cs="宋体"/>
          <w:szCs w:val="24"/>
          <w:highlight w:val="none"/>
        </w:rPr>
      </w:pPr>
      <w:r>
        <w:rPr>
          <w:rFonts w:hint="eastAsia" w:hAnsi="宋体" w:cs="宋体"/>
          <w:szCs w:val="24"/>
          <w:highlight w:val="none"/>
        </w:rPr>
        <w:t>3.6磋商费用自理。不论磋商的结果如何，供应商均应自行承担所有与参加磋商有关的费用。</w:t>
      </w:r>
    </w:p>
    <w:p w14:paraId="589C5D15">
      <w:pPr>
        <w:tabs>
          <w:tab w:val="left" w:pos="747"/>
        </w:tabs>
        <w:snapToGrid w:val="0"/>
        <w:spacing w:line="500" w:lineRule="exact"/>
        <w:rPr>
          <w:rFonts w:hAnsi="宋体" w:cs="宋体"/>
          <w:b/>
          <w:bCs/>
          <w:highlight w:val="none"/>
        </w:rPr>
      </w:pPr>
      <w:r>
        <w:rPr>
          <w:rFonts w:hint="eastAsia" w:hAnsi="宋体" w:cs="宋体"/>
          <w:b/>
          <w:bCs/>
          <w:highlight w:val="none"/>
        </w:rPr>
        <w:t>4.</w:t>
      </w:r>
      <w:r>
        <w:rPr>
          <w:rFonts w:hint="eastAsia" w:hAnsi="宋体" w:cs="宋体"/>
          <w:b/>
          <w:szCs w:val="24"/>
          <w:highlight w:val="none"/>
        </w:rPr>
        <w:t>.竞争性磋商产品（含服务）的合格性和合法性</w:t>
      </w:r>
    </w:p>
    <w:p w14:paraId="01ABC33A">
      <w:pPr>
        <w:tabs>
          <w:tab w:val="left" w:pos="747"/>
        </w:tabs>
        <w:snapToGrid w:val="0"/>
        <w:spacing w:line="500" w:lineRule="exact"/>
        <w:ind w:firstLine="480" w:firstLineChars="200"/>
        <w:rPr>
          <w:rFonts w:hAnsi="宋体" w:cs="宋体"/>
          <w:highlight w:val="none"/>
        </w:rPr>
      </w:pPr>
      <w:r>
        <w:rPr>
          <w:rFonts w:hint="eastAsia" w:hAnsi="宋体" w:cs="宋体"/>
          <w:szCs w:val="24"/>
          <w:highlight w:val="none"/>
        </w:rPr>
        <w:t>4.1竞争性磋商产品（含服务）应满足竞争性磋商文件的要求并应符合国家法律法规、行业管理部门要求的其他强制性标准。</w:t>
      </w:r>
      <w:r>
        <w:rPr>
          <w:rFonts w:hint="eastAsia" w:hAnsi="宋体" w:cs="宋体"/>
          <w:highlight w:val="none"/>
        </w:rPr>
        <w:t>并满足竞争性磋商文件规定的质量、价格、有效期、售后服务及供应商须承担的运输、配送、技术支持和竞争性磋商文件规定的其他伴随服务等要求。</w:t>
      </w:r>
    </w:p>
    <w:p w14:paraId="356D3E52">
      <w:pPr>
        <w:tabs>
          <w:tab w:val="left" w:pos="747"/>
        </w:tabs>
        <w:snapToGrid w:val="0"/>
        <w:spacing w:line="500" w:lineRule="exact"/>
        <w:ind w:firstLine="480" w:firstLineChars="200"/>
        <w:rPr>
          <w:rFonts w:hAnsi="宋体" w:cs="宋体"/>
          <w:szCs w:val="24"/>
          <w:highlight w:val="none"/>
        </w:rPr>
      </w:pPr>
      <w:r>
        <w:rPr>
          <w:rFonts w:hint="eastAsia" w:hAnsi="宋体" w:cs="宋体"/>
          <w:highlight w:val="none"/>
        </w:rPr>
        <w:t>4.2采购人有权拒绝接受任何不合格的产品和服务，由此产生的费用及相关后果均由供应商自行承担。</w:t>
      </w:r>
    </w:p>
    <w:p w14:paraId="3AFC96C0">
      <w:pPr>
        <w:spacing w:line="360" w:lineRule="auto"/>
        <w:rPr>
          <w:rFonts w:hAnsi="宋体" w:cs="宋体"/>
          <w:b/>
          <w:szCs w:val="24"/>
          <w:highlight w:val="none"/>
        </w:rPr>
      </w:pPr>
      <w:r>
        <w:rPr>
          <w:rFonts w:hint="eastAsia" w:hAnsi="宋体" w:cs="宋体"/>
          <w:b/>
          <w:szCs w:val="24"/>
          <w:highlight w:val="none"/>
        </w:rPr>
        <w:t>5.竞争性磋商响应文件内容的真实性</w:t>
      </w:r>
    </w:p>
    <w:p w14:paraId="07300EC2">
      <w:pPr>
        <w:spacing w:line="360" w:lineRule="auto"/>
        <w:ind w:firstLine="480" w:firstLineChars="200"/>
        <w:rPr>
          <w:rFonts w:hAnsi="宋体" w:cs="宋体"/>
          <w:szCs w:val="24"/>
          <w:highlight w:val="none"/>
        </w:rPr>
      </w:pPr>
      <w:r>
        <w:rPr>
          <w:rFonts w:hint="eastAsia" w:hAnsi="宋体" w:cs="宋体"/>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59B2D522">
      <w:pPr>
        <w:keepNext/>
        <w:keepLines/>
        <w:spacing w:before="312" w:beforeLines="100" w:after="156" w:afterLines="50" w:line="360" w:lineRule="auto"/>
        <w:jc w:val="center"/>
        <w:outlineLvl w:val="2"/>
        <w:rPr>
          <w:rFonts w:hAnsi="宋体" w:cs="宋体"/>
          <w:b/>
          <w:sz w:val="32"/>
          <w:szCs w:val="32"/>
          <w:highlight w:val="none"/>
        </w:rPr>
      </w:pPr>
      <w:bookmarkStart w:id="39" w:name="_Toc30698"/>
      <w:bookmarkStart w:id="40" w:name="_Toc27903"/>
      <w:bookmarkStart w:id="41" w:name="_Toc31742"/>
      <w:bookmarkStart w:id="42" w:name="_Toc3884"/>
      <w:r>
        <w:rPr>
          <w:rFonts w:hint="eastAsia" w:hAnsi="宋体" w:cs="宋体"/>
          <w:b/>
          <w:sz w:val="32"/>
          <w:szCs w:val="32"/>
          <w:highlight w:val="none"/>
        </w:rPr>
        <w:t>二.竞争性磋商文件</w:t>
      </w:r>
      <w:bookmarkEnd w:id="36"/>
      <w:bookmarkEnd w:id="37"/>
      <w:bookmarkEnd w:id="38"/>
      <w:bookmarkEnd w:id="39"/>
      <w:bookmarkEnd w:id="40"/>
      <w:bookmarkEnd w:id="41"/>
      <w:bookmarkEnd w:id="42"/>
    </w:p>
    <w:p w14:paraId="3CA75D15">
      <w:pPr>
        <w:spacing w:line="360" w:lineRule="auto"/>
        <w:rPr>
          <w:rFonts w:hAnsi="宋体" w:cs="宋体"/>
          <w:b/>
          <w:szCs w:val="24"/>
          <w:highlight w:val="none"/>
        </w:rPr>
      </w:pPr>
      <w:r>
        <w:rPr>
          <w:rFonts w:hint="eastAsia" w:hAnsi="宋体" w:cs="宋体"/>
          <w:b/>
          <w:szCs w:val="24"/>
          <w:highlight w:val="none"/>
        </w:rPr>
        <w:t>6.竞争性磋商文件构成</w:t>
      </w:r>
    </w:p>
    <w:p w14:paraId="7BAABF66">
      <w:pPr>
        <w:spacing w:line="360" w:lineRule="auto"/>
        <w:ind w:firstLine="480" w:firstLineChars="200"/>
        <w:rPr>
          <w:rFonts w:hAnsi="宋体" w:cs="宋体"/>
          <w:szCs w:val="24"/>
          <w:highlight w:val="none"/>
        </w:rPr>
      </w:pPr>
      <w:r>
        <w:rPr>
          <w:rFonts w:hint="eastAsia" w:hAnsi="宋体" w:cs="宋体"/>
          <w:szCs w:val="24"/>
          <w:highlight w:val="none"/>
        </w:rPr>
        <w:t>6.1 竞争性磋商文件规定了要求提供的产品和服务，磋商程序和合同条件在竞争性磋商文件中均有说明。竞争性磋商文件共六章，内容如下：</w:t>
      </w:r>
    </w:p>
    <w:p w14:paraId="607DA4EA">
      <w:pPr>
        <w:spacing w:line="360" w:lineRule="auto"/>
        <w:ind w:firstLine="480" w:firstLineChars="200"/>
        <w:rPr>
          <w:rFonts w:hAnsi="宋体" w:cs="宋体"/>
          <w:szCs w:val="24"/>
          <w:highlight w:val="none"/>
        </w:rPr>
      </w:pPr>
      <w:r>
        <w:rPr>
          <w:rFonts w:hint="eastAsia" w:hAnsi="宋体" w:cs="宋体"/>
          <w:szCs w:val="24"/>
          <w:highlight w:val="none"/>
        </w:rPr>
        <w:t>第一章 竞争性磋商公告</w:t>
      </w:r>
    </w:p>
    <w:p w14:paraId="4F2C7E66">
      <w:pPr>
        <w:spacing w:line="360" w:lineRule="auto"/>
        <w:ind w:firstLine="480" w:firstLineChars="200"/>
        <w:rPr>
          <w:rFonts w:hAnsi="宋体" w:cs="宋体"/>
          <w:szCs w:val="24"/>
          <w:highlight w:val="none"/>
        </w:rPr>
      </w:pPr>
      <w:r>
        <w:rPr>
          <w:rFonts w:hint="eastAsia" w:hAnsi="宋体" w:cs="宋体"/>
          <w:szCs w:val="24"/>
          <w:highlight w:val="none"/>
        </w:rPr>
        <w:t>第二章 供应商须知</w:t>
      </w:r>
    </w:p>
    <w:p w14:paraId="78F9DD47">
      <w:pPr>
        <w:spacing w:line="360" w:lineRule="auto"/>
        <w:ind w:firstLine="480" w:firstLineChars="200"/>
        <w:rPr>
          <w:rFonts w:hAnsi="宋体" w:cs="宋体"/>
          <w:szCs w:val="24"/>
          <w:highlight w:val="none"/>
        </w:rPr>
      </w:pPr>
      <w:r>
        <w:rPr>
          <w:rFonts w:hint="eastAsia" w:hAnsi="宋体" w:cs="宋体"/>
          <w:szCs w:val="24"/>
          <w:highlight w:val="none"/>
        </w:rPr>
        <w:t xml:space="preserve">第三章 评审方法    </w:t>
      </w:r>
    </w:p>
    <w:p w14:paraId="24AADEE9">
      <w:pPr>
        <w:spacing w:line="360" w:lineRule="auto"/>
        <w:ind w:firstLine="480" w:firstLineChars="200"/>
        <w:rPr>
          <w:rFonts w:hAnsi="宋体" w:cs="宋体"/>
          <w:szCs w:val="24"/>
          <w:highlight w:val="none"/>
        </w:rPr>
      </w:pPr>
      <w:r>
        <w:rPr>
          <w:rFonts w:hint="eastAsia" w:hAnsi="宋体" w:cs="宋体"/>
          <w:szCs w:val="24"/>
          <w:highlight w:val="none"/>
        </w:rPr>
        <w:t>第四章 合同条款及格式</w:t>
      </w:r>
    </w:p>
    <w:p w14:paraId="4A365CB2">
      <w:pPr>
        <w:spacing w:line="360" w:lineRule="auto"/>
        <w:ind w:firstLine="480" w:firstLineChars="200"/>
        <w:rPr>
          <w:rFonts w:hAnsi="宋体" w:cs="宋体"/>
          <w:szCs w:val="24"/>
          <w:highlight w:val="none"/>
        </w:rPr>
      </w:pPr>
      <w:r>
        <w:rPr>
          <w:rFonts w:hint="eastAsia" w:hAnsi="宋体" w:cs="宋体"/>
          <w:szCs w:val="24"/>
          <w:highlight w:val="none"/>
        </w:rPr>
        <w:t>第五章 磋商内容及技术要求</w:t>
      </w:r>
    </w:p>
    <w:p w14:paraId="228F0084">
      <w:pPr>
        <w:spacing w:line="360" w:lineRule="auto"/>
        <w:ind w:firstLine="480" w:firstLineChars="200"/>
        <w:rPr>
          <w:rFonts w:hAnsi="宋体" w:cs="宋体"/>
          <w:szCs w:val="24"/>
          <w:highlight w:val="none"/>
        </w:rPr>
      </w:pPr>
      <w:r>
        <w:rPr>
          <w:rFonts w:hint="eastAsia" w:hAnsi="宋体" w:cs="宋体"/>
          <w:szCs w:val="24"/>
          <w:highlight w:val="none"/>
        </w:rPr>
        <w:t xml:space="preserve">第六章 竞争性磋商响应文件构成及格式  </w:t>
      </w:r>
    </w:p>
    <w:p w14:paraId="63139859">
      <w:pPr>
        <w:spacing w:line="360" w:lineRule="auto"/>
        <w:ind w:firstLine="480" w:firstLineChars="200"/>
        <w:rPr>
          <w:rFonts w:hAnsi="宋体" w:cs="宋体"/>
          <w:szCs w:val="24"/>
          <w:highlight w:val="none"/>
        </w:rPr>
      </w:pPr>
      <w:r>
        <w:rPr>
          <w:rFonts w:hint="eastAsia" w:hAnsi="宋体" w:cs="宋体"/>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01C88AB8">
      <w:pPr>
        <w:spacing w:line="500" w:lineRule="exact"/>
        <w:ind w:firstLine="480" w:firstLineChars="200"/>
        <w:rPr>
          <w:rFonts w:hAnsi="宋体" w:cs="宋体"/>
          <w:szCs w:val="24"/>
          <w:highlight w:val="none"/>
        </w:rPr>
      </w:pPr>
      <w:r>
        <w:rPr>
          <w:rFonts w:hint="eastAsia" w:hAnsi="宋体" w:cs="宋体"/>
          <w:szCs w:val="24"/>
          <w:highlight w:val="none"/>
        </w:rPr>
        <w:t>6.3本竞争性磋商文件的解释权归陕西至诚项目管理集团有限公司，如发现竞争性磋商响应文件内容与现行法律法规不相符的情况，以现行法律法规为准。</w:t>
      </w:r>
    </w:p>
    <w:p w14:paraId="057E560A">
      <w:pPr>
        <w:spacing w:line="360" w:lineRule="auto"/>
        <w:rPr>
          <w:rFonts w:hAnsi="宋体" w:cs="宋体"/>
          <w:b/>
          <w:szCs w:val="24"/>
          <w:highlight w:val="none"/>
        </w:rPr>
      </w:pPr>
      <w:r>
        <w:rPr>
          <w:rFonts w:hint="eastAsia" w:hAnsi="宋体" w:cs="宋体"/>
          <w:b/>
          <w:szCs w:val="24"/>
          <w:highlight w:val="none"/>
        </w:rPr>
        <w:t>7.竞争性磋商文件的修改和澄清</w:t>
      </w:r>
    </w:p>
    <w:p w14:paraId="5AB78304">
      <w:pPr>
        <w:spacing w:line="360" w:lineRule="auto"/>
        <w:ind w:firstLine="480" w:firstLineChars="200"/>
        <w:rPr>
          <w:rFonts w:hAnsi="宋体" w:cs="宋体"/>
          <w:szCs w:val="24"/>
          <w:highlight w:val="none"/>
        </w:rPr>
      </w:pPr>
      <w:r>
        <w:rPr>
          <w:rFonts w:hint="eastAsia" w:hAnsi="宋体" w:cs="宋体"/>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4D2A28EE">
      <w:pPr>
        <w:spacing w:line="360" w:lineRule="auto"/>
        <w:ind w:firstLine="480" w:firstLineChars="200"/>
        <w:rPr>
          <w:rFonts w:hAnsi="宋体" w:cs="宋体"/>
          <w:szCs w:val="24"/>
          <w:highlight w:val="none"/>
        </w:rPr>
      </w:pPr>
      <w:r>
        <w:rPr>
          <w:rFonts w:hint="eastAsia" w:hAnsi="宋体" w:cs="宋体"/>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65710002">
      <w:pPr>
        <w:spacing w:line="360" w:lineRule="auto"/>
        <w:ind w:firstLine="480" w:firstLineChars="200"/>
        <w:rPr>
          <w:rFonts w:hAnsi="宋体" w:cs="宋体"/>
          <w:szCs w:val="24"/>
          <w:highlight w:val="none"/>
        </w:rPr>
      </w:pPr>
      <w:r>
        <w:rPr>
          <w:rFonts w:hint="eastAsia" w:hAnsi="宋体" w:cs="宋体"/>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3B1A4CDB">
      <w:pPr>
        <w:spacing w:line="360" w:lineRule="auto"/>
        <w:ind w:firstLine="480" w:firstLineChars="200"/>
        <w:rPr>
          <w:rFonts w:hAnsi="宋体" w:cs="宋体"/>
          <w:szCs w:val="24"/>
          <w:highlight w:val="none"/>
        </w:rPr>
      </w:pPr>
      <w:r>
        <w:rPr>
          <w:rFonts w:hint="eastAsia" w:hAnsi="宋体" w:cs="宋体"/>
          <w:szCs w:val="24"/>
          <w:highlight w:val="none"/>
        </w:rPr>
        <w:t>7.4供应商在收到上述通知后，应立即向采购代理机构回函确认。</w:t>
      </w:r>
    </w:p>
    <w:p w14:paraId="7B033842">
      <w:pPr>
        <w:keepNext/>
        <w:keepLines/>
        <w:spacing w:before="312" w:beforeLines="100" w:after="156" w:afterLines="50" w:line="360" w:lineRule="auto"/>
        <w:jc w:val="center"/>
        <w:outlineLvl w:val="2"/>
        <w:rPr>
          <w:rFonts w:hAnsi="宋体" w:cs="宋体"/>
          <w:b/>
          <w:sz w:val="32"/>
          <w:szCs w:val="32"/>
          <w:highlight w:val="none"/>
        </w:rPr>
      </w:pPr>
      <w:bookmarkStart w:id="43" w:name="_Toc403077641"/>
      <w:bookmarkStart w:id="44" w:name="_Toc28227"/>
      <w:bookmarkStart w:id="45" w:name="_Toc13771"/>
      <w:bookmarkStart w:id="46" w:name="_Toc363474019"/>
      <w:bookmarkStart w:id="47" w:name="_Toc24324"/>
      <w:bookmarkStart w:id="48" w:name="_Toc26653"/>
      <w:bookmarkStart w:id="49" w:name="_Toc363473974"/>
      <w:r>
        <w:rPr>
          <w:rFonts w:hint="eastAsia" w:hAnsi="宋体" w:cs="宋体"/>
          <w:b/>
          <w:sz w:val="32"/>
          <w:szCs w:val="32"/>
          <w:highlight w:val="none"/>
        </w:rPr>
        <w:t>三.磋商响应文件的编制</w:t>
      </w:r>
      <w:bookmarkEnd w:id="43"/>
      <w:bookmarkEnd w:id="44"/>
      <w:bookmarkEnd w:id="45"/>
      <w:bookmarkEnd w:id="46"/>
      <w:bookmarkEnd w:id="47"/>
      <w:bookmarkEnd w:id="48"/>
      <w:bookmarkEnd w:id="49"/>
    </w:p>
    <w:p w14:paraId="45923FDA">
      <w:pPr>
        <w:spacing w:line="360" w:lineRule="auto"/>
        <w:rPr>
          <w:rFonts w:hAnsi="宋体" w:cs="宋体"/>
          <w:b/>
          <w:szCs w:val="24"/>
          <w:highlight w:val="none"/>
        </w:rPr>
      </w:pPr>
      <w:r>
        <w:rPr>
          <w:rFonts w:hint="eastAsia" w:hAnsi="宋体" w:cs="宋体"/>
          <w:b/>
          <w:szCs w:val="24"/>
          <w:highlight w:val="none"/>
        </w:rPr>
        <w:t>8. 磋商语言和磋商货币</w:t>
      </w:r>
    </w:p>
    <w:p w14:paraId="16A85C0C">
      <w:pPr>
        <w:spacing w:line="360" w:lineRule="auto"/>
        <w:ind w:firstLine="480" w:firstLineChars="200"/>
        <w:rPr>
          <w:rFonts w:hAnsi="宋体" w:cs="宋体"/>
          <w:b/>
          <w:szCs w:val="24"/>
          <w:highlight w:val="none"/>
        </w:rPr>
      </w:pPr>
      <w:r>
        <w:rPr>
          <w:rFonts w:hint="eastAsia" w:hAnsi="宋体" w:cs="宋体"/>
          <w:szCs w:val="24"/>
          <w:highlight w:val="none"/>
        </w:rPr>
        <w:t>8.1供应商提交的竞争性磋商响应文件以及供应商与采购代理机构就有关磋商的所有来往函电均应使用中文。</w:t>
      </w:r>
    </w:p>
    <w:p w14:paraId="53E007A2">
      <w:pPr>
        <w:spacing w:line="360" w:lineRule="auto"/>
        <w:ind w:firstLine="480" w:firstLineChars="200"/>
        <w:rPr>
          <w:rFonts w:hAnsi="宋体" w:cs="宋体"/>
          <w:szCs w:val="24"/>
          <w:highlight w:val="none"/>
        </w:rPr>
      </w:pPr>
      <w:r>
        <w:rPr>
          <w:rFonts w:hint="eastAsia" w:hAnsi="宋体" w:cs="宋体"/>
          <w:szCs w:val="24"/>
          <w:highlight w:val="none"/>
        </w:rPr>
        <w:t>8.2磋商应以人民币报价。任何包含非人民币报价的磋商将按无效磋商处理。</w:t>
      </w:r>
    </w:p>
    <w:p w14:paraId="5491B26F">
      <w:pPr>
        <w:spacing w:line="360" w:lineRule="auto"/>
        <w:rPr>
          <w:rFonts w:hAnsi="宋体" w:cs="宋体"/>
          <w:b/>
          <w:szCs w:val="24"/>
          <w:highlight w:val="none"/>
        </w:rPr>
      </w:pPr>
      <w:r>
        <w:rPr>
          <w:rFonts w:hint="eastAsia" w:hAnsi="宋体" w:cs="宋体"/>
          <w:b/>
          <w:szCs w:val="24"/>
          <w:highlight w:val="none"/>
        </w:rPr>
        <w:t>9.竞争性磋商响应文件的构成</w:t>
      </w:r>
    </w:p>
    <w:p w14:paraId="74772B55">
      <w:pPr>
        <w:spacing w:line="360" w:lineRule="auto"/>
        <w:ind w:firstLine="480" w:firstLineChars="200"/>
        <w:rPr>
          <w:rFonts w:hAnsi="宋体" w:cs="宋体"/>
          <w:szCs w:val="24"/>
          <w:highlight w:val="none"/>
        </w:rPr>
      </w:pPr>
      <w:r>
        <w:rPr>
          <w:rFonts w:hint="eastAsia" w:hAnsi="宋体" w:cs="宋体"/>
          <w:szCs w:val="24"/>
          <w:highlight w:val="none"/>
        </w:rPr>
        <w:t>9.1 供应商提交的竞争性磋商响应文件应包含下列部分的内容：</w:t>
      </w:r>
    </w:p>
    <w:p w14:paraId="1AC64202">
      <w:pPr>
        <w:spacing w:line="360" w:lineRule="auto"/>
        <w:ind w:firstLine="480" w:firstLineChars="200"/>
        <w:rPr>
          <w:rFonts w:hAnsi="宋体" w:cs="宋体"/>
          <w:szCs w:val="24"/>
          <w:highlight w:val="none"/>
        </w:rPr>
      </w:pPr>
      <w:r>
        <w:rPr>
          <w:rFonts w:hint="eastAsia" w:hAnsi="宋体" w:cs="宋体"/>
          <w:szCs w:val="24"/>
          <w:highlight w:val="none"/>
        </w:rPr>
        <w:t>（1）按照供应商须知的要求和竞争性磋商文件规定格式填写的竞争性磋商响应函、磋商报价表、法定代表人授权委托书。</w:t>
      </w:r>
    </w:p>
    <w:p w14:paraId="42DF1062">
      <w:pPr>
        <w:spacing w:line="360" w:lineRule="auto"/>
        <w:ind w:firstLine="480" w:firstLineChars="200"/>
        <w:rPr>
          <w:rFonts w:hAnsi="宋体" w:cs="宋体"/>
          <w:szCs w:val="24"/>
          <w:highlight w:val="none"/>
        </w:rPr>
      </w:pPr>
      <w:r>
        <w:rPr>
          <w:rFonts w:hint="eastAsia" w:hAnsi="宋体" w:cs="宋体"/>
          <w:szCs w:val="24"/>
          <w:highlight w:val="none"/>
        </w:rPr>
        <w:t>（2）按照竞争性磋商文件的要求编制的磋商方案说明。</w:t>
      </w:r>
    </w:p>
    <w:p w14:paraId="02844849">
      <w:pPr>
        <w:spacing w:line="360" w:lineRule="auto"/>
        <w:ind w:firstLine="480" w:firstLineChars="200"/>
        <w:rPr>
          <w:rFonts w:hAnsi="宋体" w:cs="宋体"/>
          <w:szCs w:val="24"/>
          <w:highlight w:val="none"/>
        </w:rPr>
      </w:pPr>
      <w:r>
        <w:rPr>
          <w:rFonts w:hint="eastAsia" w:hAnsi="宋体" w:cs="宋体"/>
          <w:szCs w:val="24"/>
          <w:highlight w:val="none"/>
        </w:rPr>
        <w:t>（3）按照竞争性磋商文件供应商须知前附表的要求提交的资格证明文件；</w:t>
      </w:r>
    </w:p>
    <w:p w14:paraId="27D5D357">
      <w:pPr>
        <w:spacing w:line="360" w:lineRule="auto"/>
        <w:ind w:firstLine="480" w:firstLineChars="200"/>
        <w:rPr>
          <w:rFonts w:hAnsi="宋体" w:cs="宋体"/>
          <w:szCs w:val="24"/>
          <w:highlight w:val="none"/>
        </w:rPr>
      </w:pPr>
      <w:r>
        <w:rPr>
          <w:rFonts w:hint="eastAsia" w:hAnsi="宋体" w:cs="宋体"/>
          <w:szCs w:val="24"/>
          <w:highlight w:val="none"/>
        </w:rPr>
        <w:t>（4）按照本须知第14条要求提交的磋商保证金。</w:t>
      </w:r>
    </w:p>
    <w:p w14:paraId="51197AA3">
      <w:pPr>
        <w:spacing w:line="360" w:lineRule="auto"/>
        <w:ind w:firstLine="480" w:firstLineChars="200"/>
        <w:rPr>
          <w:rFonts w:hAnsi="宋体" w:cs="宋体"/>
          <w:szCs w:val="24"/>
          <w:highlight w:val="none"/>
        </w:rPr>
      </w:pPr>
      <w:r>
        <w:rPr>
          <w:rFonts w:hint="eastAsia" w:hAnsi="宋体" w:cs="宋体"/>
          <w:szCs w:val="24"/>
          <w:highlight w:val="none"/>
        </w:rPr>
        <w:t>（5）竞争磋商文件中要求的其他证明文件。</w:t>
      </w:r>
    </w:p>
    <w:p w14:paraId="59829B60">
      <w:pPr>
        <w:spacing w:line="360" w:lineRule="auto"/>
        <w:ind w:firstLine="480" w:firstLineChars="200"/>
        <w:rPr>
          <w:rFonts w:hAnsi="宋体" w:cs="宋体"/>
          <w:szCs w:val="24"/>
          <w:highlight w:val="none"/>
        </w:rPr>
      </w:pPr>
      <w:r>
        <w:rPr>
          <w:rFonts w:hint="eastAsia" w:hAnsi="宋体" w:cs="宋体"/>
          <w:szCs w:val="24"/>
          <w:highlight w:val="none"/>
        </w:rPr>
        <w:t>9.2 如果在竞争性磋商文件中没有允许提供备选方案，则每个供应商只允许提交一个磋商方案，否则，其磋商将按照无效磋商处理。</w:t>
      </w:r>
    </w:p>
    <w:p w14:paraId="028F9BC1">
      <w:pPr>
        <w:spacing w:line="360" w:lineRule="auto"/>
        <w:ind w:firstLine="480" w:firstLineChars="200"/>
        <w:rPr>
          <w:rFonts w:hAnsi="宋体" w:cs="宋体"/>
          <w:szCs w:val="24"/>
          <w:highlight w:val="none"/>
        </w:rPr>
      </w:pPr>
      <w:r>
        <w:rPr>
          <w:rFonts w:hint="eastAsia" w:hAnsi="宋体" w:cs="宋体"/>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5A56E17A">
      <w:pPr>
        <w:spacing w:line="360" w:lineRule="auto"/>
        <w:rPr>
          <w:rFonts w:hAnsi="宋体" w:cs="宋体"/>
          <w:b/>
          <w:szCs w:val="24"/>
          <w:highlight w:val="none"/>
        </w:rPr>
      </w:pPr>
      <w:r>
        <w:rPr>
          <w:rFonts w:hint="eastAsia" w:hAnsi="宋体" w:cs="宋体"/>
          <w:b/>
          <w:szCs w:val="24"/>
          <w:highlight w:val="none"/>
        </w:rPr>
        <w:t xml:space="preserve">10.竞争性磋商响应文件格式 </w:t>
      </w:r>
    </w:p>
    <w:p w14:paraId="5214DF29">
      <w:pPr>
        <w:spacing w:line="360" w:lineRule="auto"/>
        <w:ind w:firstLine="480" w:firstLineChars="200"/>
        <w:rPr>
          <w:rFonts w:hAnsi="宋体" w:cs="宋体"/>
          <w:szCs w:val="24"/>
          <w:highlight w:val="none"/>
        </w:rPr>
      </w:pPr>
      <w:r>
        <w:rPr>
          <w:rFonts w:hint="eastAsia" w:hAnsi="宋体" w:cs="宋体"/>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05C21093">
      <w:pPr>
        <w:spacing w:line="360" w:lineRule="auto"/>
        <w:ind w:firstLine="480" w:firstLineChars="200"/>
        <w:rPr>
          <w:rFonts w:hAnsi="宋体" w:cs="宋体"/>
          <w:b/>
          <w:bCs/>
          <w:szCs w:val="24"/>
          <w:highlight w:val="none"/>
        </w:rPr>
      </w:pPr>
      <w:r>
        <w:rPr>
          <w:rFonts w:hint="eastAsia" w:hAnsi="宋体" w:cs="宋体"/>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0102815E">
      <w:pPr>
        <w:spacing w:line="360" w:lineRule="auto"/>
        <w:rPr>
          <w:rFonts w:hAnsi="宋体" w:cs="宋体"/>
          <w:b/>
          <w:szCs w:val="24"/>
          <w:highlight w:val="none"/>
        </w:rPr>
      </w:pPr>
      <w:r>
        <w:rPr>
          <w:rFonts w:hint="eastAsia" w:hAnsi="宋体" w:cs="宋体"/>
          <w:b/>
          <w:szCs w:val="24"/>
          <w:highlight w:val="none"/>
        </w:rPr>
        <w:t>11.磋商报价</w:t>
      </w:r>
    </w:p>
    <w:p w14:paraId="58299BD5">
      <w:pPr>
        <w:spacing w:line="360" w:lineRule="auto"/>
        <w:ind w:firstLine="480"/>
        <w:rPr>
          <w:rFonts w:hAnsi="宋体" w:cs="宋体"/>
          <w:szCs w:val="24"/>
          <w:highlight w:val="none"/>
        </w:rPr>
      </w:pPr>
      <w:r>
        <w:rPr>
          <w:rFonts w:hint="eastAsia" w:hAnsi="宋体" w:cs="宋体"/>
          <w:szCs w:val="24"/>
          <w:highlight w:val="none"/>
        </w:rPr>
        <w:t>11.1磋商报价：磋商报价是供应商为完成本项目要求的全部服务内容最终价格的体现，包括但不限于人工费、设备使用费、办公费、服务费、交通费、招标代理服务费、税金等其他一切相关费用。</w:t>
      </w:r>
    </w:p>
    <w:p w14:paraId="4F4C2C6C">
      <w:pPr>
        <w:spacing w:line="360" w:lineRule="auto"/>
        <w:ind w:firstLine="480" w:firstLineChars="200"/>
        <w:rPr>
          <w:rFonts w:hAnsi="宋体" w:cs="宋体"/>
          <w:szCs w:val="24"/>
          <w:highlight w:val="none"/>
        </w:rPr>
      </w:pPr>
      <w:r>
        <w:rPr>
          <w:rFonts w:hint="eastAsia" w:hAnsi="宋体" w:cs="宋体"/>
          <w:szCs w:val="24"/>
          <w:highlight w:val="none"/>
        </w:rPr>
        <w:t>供应商所报的价格应考虑到可能发生的所有与完成本项目相关服务及履行合同义务有关的一切费用。</w:t>
      </w:r>
    </w:p>
    <w:p w14:paraId="3850FBB5">
      <w:pPr>
        <w:spacing w:line="360" w:lineRule="auto"/>
        <w:ind w:firstLine="480" w:firstLineChars="200"/>
        <w:rPr>
          <w:rFonts w:hAnsi="宋体" w:cs="宋体"/>
          <w:szCs w:val="24"/>
          <w:highlight w:val="none"/>
        </w:rPr>
      </w:pPr>
      <w:r>
        <w:rPr>
          <w:rFonts w:hint="eastAsia" w:hAnsi="宋体" w:cs="宋体"/>
          <w:szCs w:val="24"/>
          <w:highlight w:val="none"/>
        </w:rPr>
        <w:t>11.2磋商报价表中标明本次服务的价格，任何有选择的报价将不予接受，按无效文件处理。所有价格均以人民币报价。</w:t>
      </w:r>
    </w:p>
    <w:p w14:paraId="15D52BBE">
      <w:pPr>
        <w:spacing w:line="360" w:lineRule="auto"/>
        <w:ind w:firstLine="480" w:firstLineChars="200"/>
        <w:rPr>
          <w:rFonts w:hAnsi="宋体" w:cs="宋体"/>
          <w:szCs w:val="24"/>
          <w:highlight w:val="none"/>
        </w:rPr>
      </w:pPr>
      <w:r>
        <w:rPr>
          <w:rFonts w:hint="eastAsia" w:hAnsi="宋体" w:cs="宋体"/>
          <w:szCs w:val="24"/>
          <w:highlight w:val="none"/>
        </w:rPr>
        <w:t>11.3磋商报价表中标明的价格应为履行合同的总报价，不得以任何理由予以变更。以可调整的价格提交的竞争性磋商响应文件将按无效磋商处理。</w:t>
      </w:r>
    </w:p>
    <w:p w14:paraId="2DFBDB76">
      <w:pPr>
        <w:spacing w:line="360" w:lineRule="auto"/>
        <w:rPr>
          <w:rFonts w:hAnsi="宋体" w:cs="宋体"/>
          <w:b/>
          <w:szCs w:val="24"/>
          <w:highlight w:val="none"/>
        </w:rPr>
      </w:pPr>
      <w:r>
        <w:rPr>
          <w:rFonts w:hint="eastAsia" w:hAnsi="宋体" w:cs="宋体"/>
          <w:b/>
          <w:szCs w:val="24"/>
          <w:highlight w:val="none"/>
        </w:rPr>
        <w:t>12.证明供应商合格的资格证明文件</w:t>
      </w:r>
    </w:p>
    <w:p w14:paraId="321F03A0">
      <w:pPr>
        <w:spacing w:line="360" w:lineRule="auto"/>
        <w:ind w:firstLine="480" w:firstLineChars="200"/>
        <w:rPr>
          <w:rFonts w:hAnsi="宋体" w:cs="宋体"/>
          <w:szCs w:val="24"/>
          <w:highlight w:val="none"/>
        </w:rPr>
      </w:pPr>
      <w:r>
        <w:rPr>
          <w:rFonts w:hint="eastAsia" w:hAnsi="宋体" w:cs="宋体"/>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6ADAEF15">
      <w:pPr>
        <w:spacing w:line="360" w:lineRule="auto"/>
        <w:rPr>
          <w:rFonts w:hAnsi="宋体" w:cs="宋体"/>
          <w:b/>
          <w:szCs w:val="24"/>
          <w:highlight w:val="none"/>
        </w:rPr>
      </w:pPr>
      <w:r>
        <w:rPr>
          <w:rFonts w:hint="eastAsia" w:hAnsi="宋体" w:cs="宋体"/>
          <w:b/>
          <w:szCs w:val="24"/>
          <w:highlight w:val="none"/>
        </w:rPr>
        <w:t>13.证明服务符合竞争性磋商文件规定的文件</w:t>
      </w:r>
    </w:p>
    <w:p w14:paraId="6C12F049">
      <w:pPr>
        <w:spacing w:line="360" w:lineRule="auto"/>
        <w:ind w:firstLine="480" w:firstLineChars="200"/>
        <w:rPr>
          <w:rFonts w:hAnsi="宋体" w:cs="宋体"/>
          <w:szCs w:val="24"/>
          <w:highlight w:val="none"/>
        </w:rPr>
      </w:pPr>
      <w:r>
        <w:rPr>
          <w:rFonts w:hint="eastAsia" w:hAnsi="宋体" w:cs="宋体"/>
          <w:szCs w:val="24"/>
          <w:highlight w:val="none"/>
        </w:rPr>
        <w:t>13.1供应商应在竞争性磋商响应文件中提交服务满足竞争性磋商文件要求并符合国家法律法规、行业管理部门要求的其他强制性标准的证明文件。</w:t>
      </w:r>
    </w:p>
    <w:p w14:paraId="2D9923DF">
      <w:pPr>
        <w:spacing w:line="360" w:lineRule="auto"/>
        <w:ind w:firstLine="480" w:firstLineChars="200"/>
        <w:rPr>
          <w:rFonts w:hAnsi="宋体" w:cs="宋体"/>
          <w:szCs w:val="24"/>
          <w:highlight w:val="none"/>
        </w:rPr>
      </w:pPr>
      <w:r>
        <w:rPr>
          <w:rFonts w:hint="eastAsia" w:hAnsi="宋体" w:cs="宋体"/>
          <w:szCs w:val="24"/>
          <w:highlight w:val="none"/>
        </w:rPr>
        <w:t>13.2 供应商须提供全部服务内容的详细说明。</w:t>
      </w:r>
    </w:p>
    <w:p w14:paraId="6701E585">
      <w:pPr>
        <w:spacing w:line="360" w:lineRule="auto"/>
        <w:rPr>
          <w:rFonts w:hAnsi="宋体" w:cs="宋体"/>
          <w:b/>
          <w:szCs w:val="24"/>
          <w:highlight w:val="none"/>
        </w:rPr>
      </w:pPr>
      <w:r>
        <w:rPr>
          <w:rFonts w:hint="eastAsia" w:hAnsi="宋体" w:cs="宋体"/>
          <w:b/>
          <w:szCs w:val="24"/>
          <w:highlight w:val="none"/>
        </w:rPr>
        <w:t>14.磋商保证金（本项目不适用）</w:t>
      </w:r>
    </w:p>
    <w:p w14:paraId="4ECF1268">
      <w:pPr>
        <w:spacing w:line="360" w:lineRule="auto"/>
        <w:ind w:firstLine="480" w:firstLineChars="200"/>
        <w:rPr>
          <w:rFonts w:hAnsi="宋体" w:cs="宋体"/>
          <w:szCs w:val="24"/>
          <w:highlight w:val="none"/>
        </w:rPr>
      </w:pPr>
      <w:r>
        <w:rPr>
          <w:rFonts w:hint="eastAsia" w:hAnsi="宋体" w:cs="宋体"/>
          <w:szCs w:val="24"/>
          <w:highlight w:val="none"/>
        </w:rPr>
        <w:t>14.1供应商在磋商时应向陕西至诚项目管理集团有限公司提交“供应商须知前附表”规定数额的磋商保证金,并作为其磋商的一部分。</w:t>
      </w:r>
    </w:p>
    <w:p w14:paraId="7901F99E">
      <w:pPr>
        <w:spacing w:line="360" w:lineRule="auto"/>
        <w:ind w:firstLine="480" w:firstLineChars="200"/>
        <w:rPr>
          <w:rFonts w:hAnsi="宋体" w:cs="宋体"/>
          <w:szCs w:val="24"/>
          <w:highlight w:val="none"/>
        </w:rPr>
      </w:pPr>
      <w:r>
        <w:rPr>
          <w:rFonts w:hint="eastAsia" w:hAnsi="宋体" w:cs="宋体"/>
          <w:szCs w:val="24"/>
          <w:highlight w:val="none"/>
        </w:rPr>
        <w:t>14.2磋商保证金是为了保护采购单位（包括陕西至诚项目管理集团有限公司及采购人）免遭因供应商的行为而蒙受损失。采购单位在因供应商的行为受到损害时可根据本须知的规定没收供应商的磋商保证金。</w:t>
      </w:r>
    </w:p>
    <w:p w14:paraId="5BD21A6F">
      <w:pPr>
        <w:spacing w:line="360" w:lineRule="auto"/>
        <w:ind w:firstLine="480" w:firstLineChars="200"/>
        <w:rPr>
          <w:rFonts w:hAnsi="宋体" w:cs="宋体"/>
          <w:szCs w:val="24"/>
          <w:highlight w:val="none"/>
        </w:rPr>
      </w:pPr>
      <w:r>
        <w:rPr>
          <w:rFonts w:hint="eastAsia" w:hAnsi="宋体" w:cs="宋体"/>
          <w:szCs w:val="24"/>
          <w:highlight w:val="none"/>
        </w:rPr>
        <w:t>14.3磋商保证金可采取“供应商须知前附表”规定的任何一种形式。</w:t>
      </w:r>
    </w:p>
    <w:p w14:paraId="264CEDDE">
      <w:pPr>
        <w:spacing w:line="360" w:lineRule="auto"/>
        <w:ind w:firstLine="480" w:firstLineChars="200"/>
        <w:rPr>
          <w:rFonts w:hAnsi="宋体" w:cs="宋体"/>
          <w:szCs w:val="24"/>
          <w:highlight w:val="none"/>
        </w:rPr>
      </w:pPr>
      <w:r>
        <w:rPr>
          <w:rFonts w:hint="eastAsia" w:hAnsi="宋体" w:cs="宋体"/>
          <w:szCs w:val="24"/>
          <w:highlight w:val="none"/>
        </w:rPr>
        <w:t>14.4磋商保证金必须按照竞争性磋商文件“供应商须知前附表”中规定的缴纳金额及方式办理。</w:t>
      </w:r>
    </w:p>
    <w:p w14:paraId="704E1372">
      <w:pPr>
        <w:spacing w:line="360" w:lineRule="auto"/>
        <w:ind w:firstLine="480" w:firstLineChars="200"/>
        <w:rPr>
          <w:rFonts w:hAnsi="宋体" w:cs="宋体"/>
          <w:szCs w:val="24"/>
          <w:highlight w:val="none"/>
        </w:rPr>
      </w:pPr>
      <w:r>
        <w:rPr>
          <w:rFonts w:hint="eastAsia" w:hAnsi="宋体" w:cs="宋体"/>
          <w:szCs w:val="24"/>
          <w:highlight w:val="none"/>
        </w:rPr>
        <w:t>14.5磋商后经审查，未提交磋商保证金、未按竞争性磋商文件规定时间提交磋商保证金</w:t>
      </w:r>
      <w:r>
        <w:rPr>
          <w:rFonts w:hint="eastAsia" w:hAnsi="宋体" w:cs="宋体"/>
          <w:highlight w:val="none"/>
        </w:rPr>
        <w:t>或担保机构出具的保函正本未在采购代理机构备案的</w:t>
      </w:r>
      <w:r>
        <w:rPr>
          <w:rFonts w:hint="eastAsia" w:hAnsi="宋体" w:cs="宋体"/>
          <w:szCs w:val="24"/>
          <w:highlight w:val="none"/>
        </w:rPr>
        <w:t>、磋商保证金金额不足或磋商保证金转账凭证复印件/担保机构出具的保函正本复印件未附在磋商响应文件内的磋商将按无效磋商处理。</w:t>
      </w:r>
    </w:p>
    <w:p w14:paraId="7E4CE649">
      <w:pPr>
        <w:spacing w:line="360" w:lineRule="auto"/>
        <w:rPr>
          <w:rFonts w:hAnsi="宋体" w:cs="宋体"/>
          <w:szCs w:val="24"/>
          <w:highlight w:val="none"/>
        </w:rPr>
      </w:pPr>
      <w:r>
        <w:rPr>
          <w:rFonts w:hint="eastAsia" w:hAnsi="宋体" w:cs="宋体"/>
          <w:szCs w:val="24"/>
          <w:highlight w:val="none"/>
        </w:rPr>
        <w:t xml:space="preserve">   14.6未成交供应商的磋商保证金，将在成交通知书发出后五个工作日内按原账户退还；成交供应商的磋商保证金，在采购合同签订并按规定交纳成交代理服务费后五个工作日内退还</w:t>
      </w:r>
      <w:r>
        <w:rPr>
          <w:rFonts w:hint="eastAsia" w:hAnsi="宋体" w:cs="宋体"/>
          <w:b/>
          <w:szCs w:val="24"/>
          <w:highlight w:val="none"/>
        </w:rPr>
        <w:t>（退还时，须向采购代理机构提供采购合同原件、开户许可证及转账凭证复印件壹份）</w:t>
      </w:r>
      <w:r>
        <w:rPr>
          <w:rFonts w:hint="eastAsia" w:hAnsi="宋体" w:cs="宋体"/>
          <w:szCs w:val="24"/>
          <w:highlight w:val="none"/>
        </w:rPr>
        <w:t>。</w:t>
      </w:r>
    </w:p>
    <w:p w14:paraId="672B71AF">
      <w:pPr>
        <w:spacing w:line="360" w:lineRule="auto"/>
        <w:ind w:firstLine="480" w:firstLineChars="200"/>
        <w:rPr>
          <w:rFonts w:hAnsi="宋体" w:cs="宋体"/>
          <w:szCs w:val="24"/>
          <w:highlight w:val="none"/>
        </w:rPr>
      </w:pPr>
      <w:r>
        <w:rPr>
          <w:rFonts w:hint="eastAsia" w:hAnsi="宋体" w:cs="宋体"/>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08B52776">
      <w:pPr>
        <w:spacing w:line="360" w:lineRule="auto"/>
        <w:ind w:firstLine="482" w:firstLineChars="200"/>
        <w:rPr>
          <w:rFonts w:hAnsi="宋体" w:cs="宋体"/>
          <w:szCs w:val="24"/>
          <w:highlight w:val="none"/>
        </w:rPr>
      </w:pPr>
      <w:r>
        <w:rPr>
          <w:rFonts w:hint="eastAsia" w:hAnsi="宋体" w:cs="宋体"/>
          <w:b/>
          <w:bCs/>
          <w:szCs w:val="24"/>
          <w:highlight w:val="none"/>
        </w:rPr>
        <w:t>14.8 下列任何情况发生时，视为供应商违约，其磋商保证金将被没收：</w:t>
      </w:r>
    </w:p>
    <w:p w14:paraId="28B78806">
      <w:pPr>
        <w:spacing w:line="360" w:lineRule="auto"/>
        <w:ind w:firstLine="480" w:firstLineChars="200"/>
        <w:rPr>
          <w:rFonts w:hAnsi="宋体" w:cs="宋体"/>
          <w:szCs w:val="24"/>
          <w:highlight w:val="none"/>
        </w:rPr>
      </w:pPr>
      <w:r>
        <w:rPr>
          <w:rFonts w:hint="eastAsia" w:hAnsi="宋体" w:cs="宋体"/>
          <w:szCs w:val="24"/>
          <w:highlight w:val="none"/>
        </w:rPr>
        <w:t>1) 供应商在磋商有效期内撤回其磋商响应文件；</w:t>
      </w:r>
    </w:p>
    <w:p w14:paraId="23EA23D3">
      <w:pPr>
        <w:spacing w:line="360" w:lineRule="auto"/>
        <w:ind w:firstLine="480" w:firstLineChars="200"/>
        <w:rPr>
          <w:rFonts w:hAnsi="宋体" w:cs="宋体"/>
          <w:szCs w:val="24"/>
          <w:highlight w:val="none"/>
        </w:rPr>
      </w:pPr>
      <w:r>
        <w:rPr>
          <w:rFonts w:hint="eastAsia" w:hAnsi="宋体" w:cs="宋体"/>
          <w:szCs w:val="24"/>
          <w:highlight w:val="none"/>
        </w:rPr>
        <w:t>2）供应商在响应文件中提供伪造、套改、虚假资料参加磋商的。</w:t>
      </w:r>
    </w:p>
    <w:p w14:paraId="686D20BA">
      <w:pPr>
        <w:spacing w:line="360" w:lineRule="auto"/>
        <w:ind w:firstLine="480" w:firstLineChars="200"/>
        <w:rPr>
          <w:rFonts w:hAnsi="宋体" w:cs="宋体"/>
          <w:szCs w:val="24"/>
          <w:highlight w:val="none"/>
        </w:rPr>
      </w:pPr>
      <w:r>
        <w:rPr>
          <w:rFonts w:hint="eastAsia" w:hAnsi="宋体" w:cs="宋体"/>
          <w:szCs w:val="24"/>
          <w:highlight w:val="none"/>
        </w:rPr>
        <w:t>3) 供应商成交后放弃成交或未能按规定签订合同；或未能按规定交纳成交代理服务费。</w:t>
      </w:r>
    </w:p>
    <w:p w14:paraId="3D8D7FEC">
      <w:pPr>
        <w:spacing w:line="360" w:lineRule="auto"/>
        <w:ind w:firstLine="480" w:firstLineChars="200"/>
        <w:rPr>
          <w:rFonts w:hAnsi="宋体" w:cs="宋体"/>
          <w:szCs w:val="24"/>
          <w:highlight w:val="none"/>
        </w:rPr>
      </w:pPr>
      <w:r>
        <w:rPr>
          <w:rFonts w:hint="eastAsia" w:hAnsi="宋体" w:cs="宋体"/>
          <w:szCs w:val="24"/>
          <w:highlight w:val="none"/>
        </w:rPr>
        <w:t>4）供应商成交后将成交项目转让给他人，或者在响应文件中未说明，且未经采购人同意，将成交项目分包给他人的。</w:t>
      </w:r>
    </w:p>
    <w:p w14:paraId="78716057">
      <w:pPr>
        <w:spacing w:line="360" w:lineRule="auto"/>
        <w:ind w:firstLine="480" w:firstLineChars="200"/>
        <w:rPr>
          <w:rFonts w:hAnsi="宋体" w:cs="宋体"/>
          <w:szCs w:val="24"/>
          <w:highlight w:val="none"/>
        </w:rPr>
      </w:pPr>
      <w:r>
        <w:rPr>
          <w:rFonts w:hint="eastAsia" w:hAnsi="宋体" w:cs="宋体"/>
          <w:szCs w:val="24"/>
          <w:highlight w:val="none"/>
        </w:rPr>
        <w:t>5）供应商事先未通告无故不参加磋商活动的。</w:t>
      </w:r>
    </w:p>
    <w:p w14:paraId="3089E11E">
      <w:pPr>
        <w:spacing w:line="360" w:lineRule="auto"/>
        <w:ind w:firstLine="480" w:firstLineChars="200"/>
        <w:rPr>
          <w:rFonts w:hAnsi="宋体" w:cs="宋体"/>
          <w:szCs w:val="24"/>
          <w:highlight w:val="none"/>
        </w:rPr>
      </w:pPr>
      <w:r>
        <w:rPr>
          <w:rFonts w:hint="eastAsia" w:hAnsi="宋体" w:cs="宋体"/>
          <w:szCs w:val="24"/>
          <w:highlight w:val="none"/>
        </w:rPr>
        <w:t>6）供应商不按法定程序进行质疑和投诉，捏造事实，查无实据，造成恶劣影响，导致采购活动无法正常进行的。</w:t>
      </w:r>
    </w:p>
    <w:p w14:paraId="348E0AF3">
      <w:pPr>
        <w:spacing w:line="360" w:lineRule="auto"/>
        <w:ind w:firstLine="480" w:firstLineChars="200"/>
        <w:rPr>
          <w:rFonts w:hAnsi="宋体" w:cs="宋体"/>
          <w:szCs w:val="24"/>
          <w:highlight w:val="none"/>
        </w:rPr>
      </w:pPr>
      <w:r>
        <w:rPr>
          <w:rFonts w:hint="eastAsia" w:hAnsi="宋体" w:cs="宋体"/>
          <w:szCs w:val="24"/>
          <w:highlight w:val="none"/>
        </w:rPr>
        <w:t>14.9采购信用担保及信用融资政策</w:t>
      </w:r>
    </w:p>
    <w:p w14:paraId="4846D7F4">
      <w:pPr>
        <w:spacing w:line="360" w:lineRule="auto"/>
        <w:ind w:firstLine="480" w:firstLineChars="200"/>
        <w:rPr>
          <w:rFonts w:hAnsi="宋体" w:cs="宋体"/>
          <w:szCs w:val="24"/>
          <w:highlight w:val="none"/>
        </w:rPr>
      </w:pPr>
      <w:r>
        <w:rPr>
          <w:rFonts w:hint="eastAsia" w:hAnsi="宋体" w:cs="宋体"/>
          <w:szCs w:val="24"/>
          <w:highlight w:val="none"/>
        </w:rPr>
        <w:t>陕西省信用担保及信用融资政策</w:t>
      </w:r>
    </w:p>
    <w:p w14:paraId="60D79703">
      <w:pPr>
        <w:spacing w:line="360" w:lineRule="auto"/>
        <w:ind w:firstLine="480" w:firstLineChars="200"/>
        <w:rPr>
          <w:rFonts w:hAnsi="宋体" w:cs="宋体"/>
          <w:szCs w:val="24"/>
          <w:highlight w:val="none"/>
        </w:rPr>
      </w:pPr>
      <w:r>
        <w:rPr>
          <w:rFonts w:hint="eastAsia" w:hAnsi="宋体" w:cs="宋体"/>
          <w:szCs w:val="24"/>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 xi/）在线申请，依法参加政府采购信用融资活动。</w:t>
      </w:r>
    </w:p>
    <w:p w14:paraId="49C93318">
      <w:pPr>
        <w:spacing w:line="360" w:lineRule="auto"/>
        <w:ind w:firstLine="480" w:firstLineChars="200"/>
        <w:rPr>
          <w:rFonts w:hAnsi="宋体" w:cs="宋体"/>
          <w:szCs w:val="24"/>
          <w:highlight w:val="none"/>
        </w:rPr>
      </w:pPr>
      <w:r>
        <w:rPr>
          <w:rFonts w:hint="eastAsia" w:hAnsi="宋体" w:cs="宋体"/>
          <w:szCs w:val="24"/>
          <w:highlight w:val="none"/>
        </w:rPr>
        <w:t>目前的合作银行有∶ 北京银行、中国建设银行、中信银行、中国平安银行、中国光大银行、浦发银行、兴业银行、中国工商银行、秦农银行、浙商银行、中国银行、西安银行、中国农业银行、中国邮政储蓄银行（排名不分先后）。</w:t>
      </w:r>
    </w:p>
    <w:p w14:paraId="46B9F3DD">
      <w:pPr>
        <w:spacing w:line="360" w:lineRule="auto"/>
        <w:rPr>
          <w:rFonts w:hAnsi="宋体" w:cs="宋体"/>
          <w:b/>
          <w:szCs w:val="24"/>
          <w:highlight w:val="none"/>
        </w:rPr>
      </w:pPr>
      <w:r>
        <w:rPr>
          <w:rFonts w:hint="eastAsia" w:hAnsi="宋体" w:cs="宋体"/>
          <w:b/>
          <w:szCs w:val="24"/>
          <w:highlight w:val="none"/>
        </w:rPr>
        <w:t>15.磋商有效期</w:t>
      </w:r>
    </w:p>
    <w:p w14:paraId="66CD3E73">
      <w:pPr>
        <w:spacing w:line="360" w:lineRule="auto"/>
        <w:ind w:firstLine="480" w:firstLineChars="200"/>
        <w:rPr>
          <w:rFonts w:hAnsi="宋体" w:cs="宋体"/>
          <w:szCs w:val="24"/>
          <w:highlight w:val="none"/>
        </w:rPr>
      </w:pPr>
      <w:bookmarkStart w:id="50" w:name="OLE_LINK4"/>
      <w:r>
        <w:rPr>
          <w:rFonts w:hint="eastAsia" w:hAnsi="宋体" w:cs="宋体"/>
          <w:szCs w:val="24"/>
          <w:highlight w:val="none"/>
        </w:rPr>
        <w:t>15.1磋商响应文件应在“供应商须知前附表”中规定的期限内保持有效。磋商有效期不满足规定有效期的磋商响应文件将被视为非响应性磋商而予以拒绝。</w:t>
      </w:r>
      <w:bookmarkEnd w:id="50"/>
    </w:p>
    <w:p w14:paraId="6AE1A175">
      <w:pPr>
        <w:spacing w:line="360" w:lineRule="auto"/>
        <w:ind w:firstLine="480" w:firstLineChars="200"/>
        <w:rPr>
          <w:rFonts w:hAnsi="宋体" w:cs="宋体"/>
          <w:szCs w:val="24"/>
          <w:highlight w:val="none"/>
        </w:rPr>
      </w:pPr>
      <w:r>
        <w:rPr>
          <w:rFonts w:hint="eastAsia" w:hAnsi="宋体" w:cs="宋体"/>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6CFC03FB">
      <w:pPr>
        <w:spacing w:line="360" w:lineRule="auto"/>
        <w:rPr>
          <w:rFonts w:hAnsi="宋体" w:cs="宋体"/>
          <w:b/>
          <w:szCs w:val="24"/>
          <w:highlight w:val="none"/>
        </w:rPr>
      </w:pPr>
      <w:r>
        <w:rPr>
          <w:rFonts w:hint="eastAsia" w:hAnsi="宋体" w:cs="宋体"/>
          <w:b/>
          <w:szCs w:val="24"/>
          <w:highlight w:val="none"/>
        </w:rPr>
        <w:t>16.竞争性磋商响应文件的式样和签署</w:t>
      </w:r>
    </w:p>
    <w:p w14:paraId="1B31A567">
      <w:pPr>
        <w:spacing w:line="360" w:lineRule="auto"/>
        <w:ind w:firstLine="480" w:firstLineChars="200"/>
        <w:rPr>
          <w:rFonts w:hAnsi="宋体" w:cs="宋体"/>
          <w:szCs w:val="24"/>
          <w:highlight w:val="none"/>
        </w:rPr>
      </w:pPr>
      <w:r>
        <w:rPr>
          <w:rFonts w:hint="eastAsia" w:hAnsi="宋体" w:cs="宋体"/>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hAnsi="宋体" w:cs="宋体"/>
          <w:spacing w:val="4"/>
          <w:highlight w:val="none"/>
        </w:rPr>
        <w:t>电子版（U盘）</w:t>
      </w:r>
      <w:r>
        <w:rPr>
          <w:rFonts w:hint="eastAsia" w:hAnsi="宋体" w:cs="宋体"/>
          <w:szCs w:val="24"/>
          <w:highlight w:val="none"/>
        </w:rPr>
        <w:t>并在盘面标注供应商全称、项目名称、项目编号，并与竞争性磋商响应文件同时递交。</w:t>
      </w:r>
    </w:p>
    <w:p w14:paraId="5AA32593">
      <w:pPr>
        <w:spacing w:line="500" w:lineRule="exact"/>
        <w:ind w:firstLine="480" w:firstLineChars="200"/>
        <w:rPr>
          <w:rFonts w:hAnsi="宋体" w:cs="宋体"/>
          <w:b/>
          <w:bCs/>
          <w:highlight w:val="none"/>
        </w:rPr>
      </w:pPr>
      <w:r>
        <w:rPr>
          <w:rFonts w:hint="eastAsia" w:hAnsi="宋体" w:cs="宋体"/>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hAnsi="宋体" w:cs="宋体"/>
          <w:b/>
          <w:bCs/>
          <w:szCs w:val="24"/>
          <w:highlight w:val="none"/>
        </w:rPr>
        <w:t>所有竞争性磋商响应文件正本和副本须按第六章规定的顺序编排、并应编制目录、逐页标注连续页码，并</w:t>
      </w:r>
      <w:r>
        <w:rPr>
          <w:rFonts w:hint="eastAsia" w:hAnsi="宋体" w:cs="宋体"/>
          <w:b/>
          <w:bCs/>
          <w:highlight w:val="none"/>
        </w:rPr>
        <w:t>分别胶装成册。</w:t>
      </w:r>
    </w:p>
    <w:p w14:paraId="3FE56B58">
      <w:pPr>
        <w:spacing w:line="360" w:lineRule="auto"/>
        <w:ind w:firstLine="480" w:firstLineChars="200"/>
        <w:rPr>
          <w:rFonts w:hAnsi="宋体" w:cs="宋体"/>
          <w:szCs w:val="24"/>
          <w:highlight w:val="none"/>
        </w:rPr>
      </w:pPr>
      <w:r>
        <w:rPr>
          <w:rFonts w:hint="eastAsia" w:hAnsi="宋体" w:cs="宋体"/>
          <w:szCs w:val="24"/>
          <w:highlight w:val="none"/>
        </w:rPr>
        <w:t>16.3任何行间插字、涂改和增删，必须由供应商的法定代表人或其授权代表在旁边签字才有效。</w:t>
      </w:r>
    </w:p>
    <w:p w14:paraId="5F53DADF">
      <w:pPr>
        <w:spacing w:line="360" w:lineRule="auto"/>
        <w:ind w:firstLine="482" w:firstLineChars="200"/>
        <w:rPr>
          <w:rFonts w:hAnsi="宋体" w:cs="宋体"/>
          <w:b/>
          <w:bCs/>
          <w:szCs w:val="24"/>
          <w:highlight w:val="none"/>
        </w:rPr>
      </w:pPr>
      <w:r>
        <w:rPr>
          <w:rFonts w:hint="eastAsia" w:hAnsi="宋体" w:cs="宋体"/>
          <w:b/>
          <w:bCs/>
          <w:szCs w:val="24"/>
          <w:highlight w:val="none"/>
        </w:rPr>
        <w:t>16.4供应商名称应填写全称。磋商响应文件副本可以是正本的复印件。</w:t>
      </w:r>
    </w:p>
    <w:p w14:paraId="2F0076ED">
      <w:pPr>
        <w:spacing w:line="360" w:lineRule="auto"/>
        <w:ind w:firstLine="480" w:firstLineChars="200"/>
        <w:rPr>
          <w:rFonts w:hAnsi="宋体" w:cs="宋体"/>
          <w:szCs w:val="24"/>
          <w:highlight w:val="none"/>
        </w:rPr>
      </w:pPr>
      <w:r>
        <w:rPr>
          <w:rFonts w:hint="eastAsia" w:hAnsi="宋体" w:cs="宋体"/>
          <w:szCs w:val="24"/>
          <w:highlight w:val="none"/>
        </w:rPr>
        <w:t>16.5因字迹潦草、表述不清或不按竞争性磋商文件格式编制的竞争性磋商响应文件，所引起的对供应商不利的后果，由供应商自行负责。</w:t>
      </w:r>
    </w:p>
    <w:p w14:paraId="3FDF3ABD">
      <w:pPr>
        <w:spacing w:line="500" w:lineRule="exact"/>
        <w:ind w:firstLine="480" w:firstLineChars="200"/>
        <w:rPr>
          <w:rFonts w:hAnsi="宋体" w:cs="宋体"/>
          <w:highlight w:val="none"/>
        </w:rPr>
      </w:pPr>
      <w:r>
        <w:rPr>
          <w:rFonts w:hint="eastAsia" w:hAnsi="宋体" w:cs="宋体"/>
          <w:szCs w:val="24"/>
          <w:highlight w:val="none"/>
        </w:rPr>
        <w:t>16.6竞争性磋商文件的副本、电子版须和正本保持一致。</w:t>
      </w:r>
      <w:r>
        <w:rPr>
          <w:rFonts w:hint="eastAsia" w:hAnsi="宋体" w:cs="宋体"/>
          <w:highlight w:val="none"/>
        </w:rPr>
        <w:t>若正本、副本和电子版有不一致的内容，以正本为准。</w:t>
      </w:r>
    </w:p>
    <w:p w14:paraId="71DD39ED">
      <w:pPr>
        <w:keepNext/>
        <w:keepLines/>
        <w:spacing w:before="312" w:beforeLines="100" w:after="156" w:afterLines="50" w:line="360" w:lineRule="auto"/>
        <w:jc w:val="center"/>
        <w:outlineLvl w:val="2"/>
        <w:rPr>
          <w:rFonts w:hAnsi="宋体" w:cs="宋体"/>
          <w:b/>
          <w:sz w:val="32"/>
          <w:szCs w:val="32"/>
          <w:highlight w:val="none"/>
        </w:rPr>
      </w:pPr>
      <w:bookmarkStart w:id="51" w:name="_Toc23743"/>
      <w:bookmarkStart w:id="52" w:name="_Toc18686"/>
      <w:bookmarkStart w:id="53" w:name="_Toc12266"/>
      <w:bookmarkStart w:id="54" w:name="_Toc20799"/>
      <w:r>
        <w:rPr>
          <w:rFonts w:hint="eastAsia" w:hAnsi="宋体" w:cs="宋体"/>
          <w:b/>
          <w:sz w:val="32"/>
          <w:szCs w:val="32"/>
          <w:highlight w:val="none"/>
        </w:rPr>
        <w:t>四.竞争性磋商响应文件的递交</w:t>
      </w:r>
      <w:bookmarkEnd w:id="51"/>
      <w:bookmarkEnd w:id="52"/>
      <w:bookmarkEnd w:id="53"/>
      <w:bookmarkEnd w:id="54"/>
    </w:p>
    <w:p w14:paraId="4F042E0F">
      <w:pPr>
        <w:spacing w:line="360" w:lineRule="auto"/>
        <w:rPr>
          <w:rFonts w:hAnsi="宋体" w:cs="宋体"/>
          <w:b/>
          <w:szCs w:val="24"/>
          <w:highlight w:val="none"/>
        </w:rPr>
      </w:pPr>
      <w:r>
        <w:rPr>
          <w:rFonts w:hint="eastAsia" w:hAnsi="宋体" w:cs="宋体"/>
          <w:b/>
          <w:szCs w:val="24"/>
          <w:highlight w:val="none"/>
        </w:rPr>
        <w:t>17.竞争性磋商响应文件的密封和标记</w:t>
      </w:r>
    </w:p>
    <w:p w14:paraId="6E67E41E">
      <w:pPr>
        <w:spacing w:line="360" w:lineRule="auto"/>
        <w:ind w:firstLine="480" w:firstLineChars="200"/>
        <w:rPr>
          <w:rFonts w:hAnsi="宋体" w:cs="宋体"/>
          <w:szCs w:val="24"/>
          <w:highlight w:val="none"/>
        </w:rPr>
      </w:pPr>
      <w:r>
        <w:rPr>
          <w:rFonts w:hint="eastAsia" w:hAnsi="宋体" w:cs="宋体"/>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22A7379B">
      <w:pPr>
        <w:spacing w:line="360" w:lineRule="auto"/>
        <w:ind w:firstLine="480" w:firstLineChars="200"/>
        <w:rPr>
          <w:rFonts w:hAnsi="宋体" w:cs="宋体"/>
          <w:szCs w:val="24"/>
          <w:highlight w:val="none"/>
        </w:rPr>
      </w:pPr>
      <w:r>
        <w:rPr>
          <w:rFonts w:hint="eastAsia" w:hAnsi="宋体" w:cs="宋体"/>
          <w:highlight w:val="none"/>
        </w:rPr>
        <w:t>17.2供应商应将竞争性磋商响应文件正本、电子版本、报价一览表；</w:t>
      </w:r>
      <w:r>
        <w:rPr>
          <w:rFonts w:hint="eastAsia" w:hAnsi="宋体" w:cs="宋体"/>
          <w:szCs w:val="24"/>
          <w:highlight w:val="none"/>
        </w:rPr>
        <w:t>所有的副本</w:t>
      </w:r>
      <w:r>
        <w:rPr>
          <w:rFonts w:hint="eastAsia" w:hAnsi="宋体" w:cs="宋体"/>
          <w:highlight w:val="none"/>
        </w:rPr>
        <w:t>单独密封装在封袋中（封袋不得有破损），且在封袋正面标明</w:t>
      </w:r>
      <w:r>
        <w:rPr>
          <w:rFonts w:hint="eastAsia" w:hAnsi="宋体" w:cs="宋体"/>
          <w:szCs w:val="24"/>
          <w:highlight w:val="none"/>
        </w:rPr>
        <w:t>“</w:t>
      </w:r>
      <w:r>
        <w:rPr>
          <w:rFonts w:hint="eastAsia" w:hAnsi="宋体" w:cs="宋体"/>
          <w:highlight w:val="none"/>
        </w:rPr>
        <w:t>正本、电子版本、报价一览表</w:t>
      </w:r>
      <w:r>
        <w:rPr>
          <w:rFonts w:hint="eastAsia" w:hAnsi="宋体" w:cs="宋体"/>
          <w:szCs w:val="24"/>
          <w:highlight w:val="none"/>
        </w:rPr>
        <w:t>”“副本”</w:t>
      </w:r>
      <w:r>
        <w:rPr>
          <w:rFonts w:hint="eastAsia" w:hAnsi="宋体" w:cs="宋体"/>
          <w:highlight w:val="none"/>
        </w:rPr>
        <w:t>字样。封袋应加贴封条，并在封线处加盖供应商公章，封袋正面要粘贴供应商全称、项目名称、编号等标识。</w:t>
      </w:r>
    </w:p>
    <w:p w14:paraId="040CED95">
      <w:pPr>
        <w:spacing w:line="360" w:lineRule="auto"/>
        <w:ind w:firstLine="482" w:firstLineChars="200"/>
        <w:rPr>
          <w:rFonts w:hAnsi="宋体" w:cs="宋体"/>
          <w:b/>
          <w:bCs/>
          <w:szCs w:val="24"/>
          <w:highlight w:val="none"/>
        </w:rPr>
      </w:pPr>
      <w:r>
        <w:rPr>
          <w:rFonts w:hint="eastAsia" w:hAnsi="宋体" w:cs="宋体"/>
          <w:b/>
          <w:bCs/>
          <w:szCs w:val="24"/>
          <w:highlight w:val="none"/>
        </w:rPr>
        <w:t>外层包装请按以下要求标记：</w:t>
      </w:r>
    </w:p>
    <w:p w14:paraId="7F033069">
      <w:pPr>
        <w:spacing w:line="360" w:lineRule="auto"/>
        <w:ind w:firstLine="720" w:firstLineChars="300"/>
        <w:rPr>
          <w:rFonts w:hAnsi="宋体" w:cs="宋体"/>
          <w:szCs w:val="24"/>
          <w:highlight w:val="none"/>
        </w:rPr>
      </w:pPr>
      <w:r>
        <w:rPr>
          <w:rFonts w:hint="eastAsia" w:hAnsi="宋体" w:cs="宋体"/>
          <w:szCs w:val="24"/>
          <w:highlight w:val="none"/>
        </w:rPr>
        <w:t>1) 磋商响应单位的全称；</w:t>
      </w:r>
    </w:p>
    <w:p w14:paraId="386530B2">
      <w:pPr>
        <w:spacing w:line="360" w:lineRule="auto"/>
        <w:ind w:firstLine="720" w:firstLineChars="300"/>
        <w:rPr>
          <w:rFonts w:hAnsi="宋体" w:cs="宋体"/>
          <w:szCs w:val="24"/>
          <w:highlight w:val="none"/>
        </w:rPr>
      </w:pPr>
      <w:r>
        <w:rPr>
          <w:rFonts w:hint="eastAsia" w:hAnsi="宋体" w:cs="宋体"/>
          <w:szCs w:val="24"/>
          <w:highlight w:val="none"/>
        </w:rPr>
        <w:t>2) 磋商项目名称、项目编号；</w:t>
      </w:r>
    </w:p>
    <w:p w14:paraId="1D09DC95">
      <w:pPr>
        <w:spacing w:line="360" w:lineRule="auto"/>
        <w:ind w:firstLine="720" w:firstLineChars="300"/>
        <w:rPr>
          <w:rFonts w:hAnsi="宋体" w:cs="宋体"/>
          <w:szCs w:val="24"/>
          <w:highlight w:val="none"/>
        </w:rPr>
      </w:pPr>
      <w:r>
        <w:rPr>
          <w:rFonts w:hint="eastAsia" w:hAnsi="宋体" w:cs="宋体"/>
          <w:szCs w:val="24"/>
          <w:highlight w:val="none"/>
        </w:rPr>
        <w:t>3）正本或副本、电子版、报价一览表“请勿在＿＿＿＿＿(磋商时间)之前启封”。</w:t>
      </w:r>
    </w:p>
    <w:p w14:paraId="1E5FF149">
      <w:pPr>
        <w:spacing w:line="360" w:lineRule="auto"/>
        <w:ind w:firstLine="480" w:firstLineChars="200"/>
        <w:rPr>
          <w:rFonts w:hAnsi="宋体" w:cs="宋体"/>
          <w:szCs w:val="24"/>
          <w:highlight w:val="none"/>
        </w:rPr>
      </w:pPr>
      <w:r>
        <w:rPr>
          <w:rFonts w:hint="eastAsia" w:hAnsi="宋体" w:cs="宋体"/>
          <w:szCs w:val="24"/>
          <w:highlight w:val="none"/>
        </w:rPr>
        <w:t>17.4如果供应商未对竞争性磋商响应文件按上述要求进行完好密封，由此产生的不利后果由供应商自行承担。</w:t>
      </w:r>
    </w:p>
    <w:p w14:paraId="61B836FD">
      <w:pPr>
        <w:spacing w:line="360" w:lineRule="auto"/>
        <w:rPr>
          <w:rFonts w:hAnsi="宋体" w:cs="宋体"/>
          <w:b/>
          <w:szCs w:val="24"/>
          <w:highlight w:val="none"/>
        </w:rPr>
      </w:pPr>
      <w:r>
        <w:rPr>
          <w:rFonts w:hint="eastAsia" w:hAnsi="宋体" w:cs="宋体"/>
          <w:b/>
          <w:szCs w:val="24"/>
          <w:highlight w:val="none"/>
        </w:rPr>
        <w:t>18．竞争性磋商响应文件的递交</w:t>
      </w:r>
    </w:p>
    <w:p w14:paraId="73226DF6">
      <w:pPr>
        <w:spacing w:line="360" w:lineRule="auto"/>
        <w:ind w:firstLine="480" w:firstLineChars="200"/>
        <w:rPr>
          <w:rFonts w:hAnsi="宋体" w:cs="宋体"/>
          <w:szCs w:val="24"/>
          <w:highlight w:val="none"/>
        </w:rPr>
      </w:pPr>
      <w:r>
        <w:rPr>
          <w:rFonts w:hint="eastAsia" w:hAnsi="宋体" w:cs="宋体"/>
          <w:szCs w:val="24"/>
          <w:highlight w:val="none"/>
        </w:rPr>
        <w:t>18.1供应商应按照竞争性磋商公告中规定的时间、地点，在规定的竞争性磋商响应文件递交截止时间前将全部竞争性磋商响应文件和磋商资料递交至采购代理机构接收人处。</w:t>
      </w:r>
    </w:p>
    <w:p w14:paraId="0AE15F58">
      <w:pPr>
        <w:spacing w:line="360" w:lineRule="auto"/>
        <w:ind w:firstLine="480" w:firstLineChars="200"/>
        <w:rPr>
          <w:rFonts w:hAnsi="宋体" w:cs="宋体"/>
          <w:szCs w:val="24"/>
          <w:highlight w:val="none"/>
        </w:rPr>
      </w:pPr>
      <w:r>
        <w:rPr>
          <w:rFonts w:hint="eastAsia" w:hAnsi="宋体" w:cs="宋体"/>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031378E2">
      <w:pPr>
        <w:spacing w:line="360" w:lineRule="auto"/>
        <w:ind w:firstLine="480" w:firstLineChars="200"/>
        <w:rPr>
          <w:rFonts w:hAnsi="宋体" w:cs="宋体"/>
          <w:szCs w:val="24"/>
          <w:highlight w:val="none"/>
        </w:rPr>
      </w:pPr>
      <w:r>
        <w:rPr>
          <w:rFonts w:hint="eastAsia" w:hAnsi="宋体" w:cs="宋体"/>
          <w:szCs w:val="24"/>
          <w:highlight w:val="none"/>
        </w:rPr>
        <w:t>18.3无论供应商成交与否，其竞争性磋商响应文件恕不退还。</w:t>
      </w:r>
    </w:p>
    <w:p w14:paraId="1D111546">
      <w:pPr>
        <w:spacing w:line="360" w:lineRule="auto"/>
        <w:rPr>
          <w:rFonts w:hAnsi="宋体" w:cs="宋体"/>
          <w:b/>
          <w:szCs w:val="24"/>
          <w:highlight w:val="none"/>
        </w:rPr>
      </w:pPr>
      <w:r>
        <w:rPr>
          <w:rFonts w:hint="eastAsia" w:hAnsi="宋体" w:cs="宋体"/>
          <w:b/>
          <w:szCs w:val="24"/>
          <w:highlight w:val="none"/>
        </w:rPr>
        <w:t>19．递交的竞争性磋商响应文件</w:t>
      </w:r>
    </w:p>
    <w:p w14:paraId="3369E77D">
      <w:pPr>
        <w:spacing w:line="360" w:lineRule="auto"/>
        <w:ind w:firstLine="480" w:firstLineChars="200"/>
        <w:rPr>
          <w:rFonts w:hAnsi="宋体" w:cs="宋体"/>
          <w:szCs w:val="24"/>
          <w:highlight w:val="none"/>
        </w:rPr>
      </w:pPr>
      <w:r>
        <w:rPr>
          <w:rFonts w:hint="eastAsia" w:hAnsi="宋体" w:cs="宋体"/>
          <w:szCs w:val="24"/>
          <w:highlight w:val="none"/>
        </w:rPr>
        <w:t>19.1按照供应商须知的规定，采购代理机构将拒绝接受在规定的磋商截止时间后递交的任何竞争性磋商响应文件。</w:t>
      </w:r>
    </w:p>
    <w:p w14:paraId="00E274B7">
      <w:pPr>
        <w:spacing w:line="360" w:lineRule="auto"/>
        <w:rPr>
          <w:rFonts w:hAnsi="宋体" w:cs="宋体"/>
          <w:b/>
          <w:szCs w:val="24"/>
          <w:highlight w:val="none"/>
        </w:rPr>
      </w:pPr>
      <w:r>
        <w:rPr>
          <w:rFonts w:hint="eastAsia" w:hAnsi="宋体" w:cs="宋体"/>
          <w:b/>
          <w:szCs w:val="24"/>
          <w:highlight w:val="none"/>
        </w:rPr>
        <w:t>20．磋商的修改与撤回</w:t>
      </w:r>
    </w:p>
    <w:p w14:paraId="0AA43CD7">
      <w:pPr>
        <w:spacing w:line="360" w:lineRule="auto"/>
        <w:ind w:firstLine="480" w:firstLineChars="200"/>
        <w:rPr>
          <w:rFonts w:hAnsi="宋体" w:cs="宋体"/>
          <w:szCs w:val="24"/>
          <w:highlight w:val="none"/>
        </w:rPr>
      </w:pPr>
      <w:r>
        <w:rPr>
          <w:rFonts w:hint="eastAsia" w:hAnsi="宋体" w:cs="宋体"/>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59BECBF6">
      <w:pPr>
        <w:spacing w:line="360" w:lineRule="auto"/>
        <w:ind w:firstLine="480" w:firstLineChars="200"/>
        <w:rPr>
          <w:rFonts w:hAnsi="宋体" w:cs="宋体"/>
          <w:szCs w:val="24"/>
          <w:highlight w:val="none"/>
        </w:rPr>
      </w:pPr>
      <w:r>
        <w:rPr>
          <w:rFonts w:hint="eastAsia" w:hAnsi="宋体" w:cs="宋体"/>
          <w:szCs w:val="24"/>
          <w:highlight w:val="none"/>
        </w:rPr>
        <w:t>20.2 供应商的修改或撤回或变动价格的通知应按本须知第17条的规定编制、密封、标记和递交。</w:t>
      </w:r>
    </w:p>
    <w:p w14:paraId="07A38921">
      <w:pPr>
        <w:spacing w:line="360" w:lineRule="auto"/>
        <w:ind w:firstLine="480" w:firstLineChars="200"/>
        <w:rPr>
          <w:rFonts w:hAnsi="宋体" w:cs="宋体"/>
          <w:szCs w:val="24"/>
          <w:highlight w:val="none"/>
        </w:rPr>
      </w:pPr>
      <w:r>
        <w:rPr>
          <w:rFonts w:hint="eastAsia" w:hAnsi="宋体" w:cs="宋体"/>
          <w:szCs w:val="24"/>
          <w:highlight w:val="none"/>
        </w:rPr>
        <w:t>20.3 在磋商截止时间之后，供应商不得对其磋商响应文件做任何修改或撤回。</w:t>
      </w:r>
    </w:p>
    <w:p w14:paraId="27D0703C">
      <w:pPr>
        <w:rPr>
          <w:rFonts w:hAnsi="宋体" w:cs="宋体"/>
          <w:b/>
          <w:sz w:val="32"/>
          <w:szCs w:val="32"/>
          <w:highlight w:val="none"/>
        </w:rPr>
      </w:pPr>
      <w:bookmarkStart w:id="55" w:name="_Toc13669"/>
      <w:bookmarkStart w:id="56" w:name="_Toc15436"/>
      <w:bookmarkStart w:id="57" w:name="_Toc403077643"/>
      <w:bookmarkStart w:id="58" w:name="_Toc25852"/>
      <w:bookmarkStart w:id="59" w:name="_Toc363474021"/>
      <w:bookmarkStart w:id="60" w:name="_Toc363473976"/>
      <w:r>
        <w:rPr>
          <w:rFonts w:hint="eastAsia" w:hAnsi="宋体" w:cs="宋体"/>
          <w:b/>
          <w:sz w:val="32"/>
          <w:szCs w:val="32"/>
          <w:highlight w:val="none"/>
        </w:rPr>
        <w:br w:type="page"/>
      </w:r>
    </w:p>
    <w:p w14:paraId="026E7EF3">
      <w:pPr>
        <w:keepNext/>
        <w:keepLines/>
        <w:spacing w:before="312" w:beforeLines="100" w:after="156" w:afterLines="50" w:line="360" w:lineRule="auto"/>
        <w:jc w:val="center"/>
        <w:outlineLvl w:val="2"/>
        <w:rPr>
          <w:rFonts w:hAnsi="宋体" w:cs="宋体"/>
          <w:b/>
          <w:sz w:val="32"/>
          <w:szCs w:val="32"/>
          <w:highlight w:val="none"/>
        </w:rPr>
      </w:pPr>
      <w:bookmarkStart w:id="61" w:name="_Toc1142"/>
      <w:r>
        <w:rPr>
          <w:rFonts w:hint="eastAsia" w:hAnsi="宋体" w:cs="宋体"/>
          <w:b/>
          <w:sz w:val="32"/>
          <w:szCs w:val="32"/>
          <w:highlight w:val="none"/>
        </w:rPr>
        <w:t>五.磋商与评标</w:t>
      </w:r>
      <w:bookmarkEnd w:id="55"/>
      <w:bookmarkEnd w:id="56"/>
      <w:bookmarkEnd w:id="57"/>
      <w:bookmarkEnd w:id="58"/>
      <w:bookmarkEnd w:id="59"/>
      <w:bookmarkEnd w:id="60"/>
      <w:bookmarkEnd w:id="61"/>
    </w:p>
    <w:p w14:paraId="6408D8E3">
      <w:pPr>
        <w:spacing w:line="360" w:lineRule="auto"/>
        <w:rPr>
          <w:rFonts w:hAnsi="宋体" w:cs="宋体"/>
          <w:b/>
          <w:szCs w:val="24"/>
          <w:highlight w:val="none"/>
        </w:rPr>
      </w:pPr>
      <w:r>
        <w:rPr>
          <w:rFonts w:hint="eastAsia" w:hAnsi="宋体" w:cs="宋体"/>
          <w:b/>
          <w:szCs w:val="24"/>
          <w:highlight w:val="none"/>
        </w:rPr>
        <w:t>21.磋商大会</w:t>
      </w:r>
    </w:p>
    <w:p w14:paraId="4275678A">
      <w:pPr>
        <w:spacing w:line="360" w:lineRule="auto"/>
        <w:ind w:firstLine="480" w:firstLineChars="200"/>
        <w:rPr>
          <w:rFonts w:hAnsi="宋体" w:cs="宋体"/>
          <w:szCs w:val="24"/>
          <w:highlight w:val="none"/>
        </w:rPr>
      </w:pPr>
      <w:r>
        <w:rPr>
          <w:rFonts w:hint="eastAsia" w:hAnsi="宋体" w:cs="宋体"/>
          <w:szCs w:val="24"/>
          <w:highlight w:val="none"/>
        </w:rPr>
        <w:t>21.1 采购代理机构在规定的时间和地点组织竞争性磋商。磋商时所有供应商代表自愿参加，参加磋商的代表应签名报到以证明其出席。</w:t>
      </w:r>
    </w:p>
    <w:p w14:paraId="2D11F944">
      <w:pPr>
        <w:spacing w:line="360" w:lineRule="auto"/>
        <w:ind w:firstLine="480" w:firstLineChars="200"/>
        <w:rPr>
          <w:rFonts w:hAnsi="宋体" w:cs="宋体"/>
          <w:b/>
          <w:szCs w:val="24"/>
          <w:highlight w:val="none"/>
        </w:rPr>
      </w:pPr>
      <w:r>
        <w:rPr>
          <w:rFonts w:hint="eastAsia" w:hAnsi="宋体" w:cs="宋体"/>
          <w:szCs w:val="24"/>
          <w:highlight w:val="none"/>
        </w:rPr>
        <w:t>21.2采购代理机构将做磋商记录，存档备查。</w:t>
      </w:r>
    </w:p>
    <w:p w14:paraId="25948144">
      <w:pPr>
        <w:spacing w:line="360" w:lineRule="auto"/>
        <w:rPr>
          <w:rFonts w:hAnsi="宋体" w:cs="宋体"/>
          <w:b/>
          <w:szCs w:val="24"/>
          <w:highlight w:val="none"/>
        </w:rPr>
      </w:pPr>
      <w:r>
        <w:rPr>
          <w:rFonts w:hint="eastAsia" w:hAnsi="宋体" w:cs="宋体"/>
          <w:b/>
          <w:szCs w:val="24"/>
          <w:highlight w:val="none"/>
        </w:rPr>
        <w:t>22．评审程序</w:t>
      </w:r>
    </w:p>
    <w:p w14:paraId="4D2FE631">
      <w:pPr>
        <w:spacing w:line="360" w:lineRule="auto"/>
        <w:ind w:firstLine="480" w:firstLineChars="200"/>
        <w:rPr>
          <w:rFonts w:hAnsi="宋体" w:cs="宋体"/>
          <w:szCs w:val="24"/>
          <w:highlight w:val="none"/>
        </w:rPr>
      </w:pPr>
      <w:r>
        <w:rPr>
          <w:rFonts w:hint="eastAsia" w:hAnsi="宋体" w:cs="宋体"/>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419ED37F">
      <w:pPr>
        <w:spacing w:line="360" w:lineRule="auto"/>
        <w:rPr>
          <w:rFonts w:hAnsi="宋体" w:cs="宋体"/>
          <w:b/>
          <w:szCs w:val="24"/>
          <w:highlight w:val="none"/>
        </w:rPr>
      </w:pPr>
      <w:r>
        <w:rPr>
          <w:rFonts w:hint="eastAsia" w:hAnsi="宋体" w:cs="宋体"/>
          <w:b/>
          <w:szCs w:val="24"/>
          <w:highlight w:val="none"/>
        </w:rPr>
        <w:t>23．评审组织及评审原则</w:t>
      </w:r>
    </w:p>
    <w:p w14:paraId="052485FC">
      <w:pPr>
        <w:spacing w:line="500" w:lineRule="exact"/>
        <w:ind w:firstLine="480" w:firstLineChars="200"/>
        <w:rPr>
          <w:rFonts w:hAnsi="宋体" w:cs="宋体"/>
          <w:szCs w:val="24"/>
          <w:highlight w:val="none"/>
        </w:rPr>
      </w:pPr>
      <w:r>
        <w:rPr>
          <w:rFonts w:hint="eastAsia" w:hAnsi="宋体" w:cs="宋体"/>
          <w:szCs w:val="24"/>
          <w:highlight w:val="none"/>
        </w:rPr>
        <w:t>23.1按照《中华人民共和国政府采购法》及实施条例和关于印发《政府采购竞争性磋商采购方式管理暂行办法》的通知（财库【2014】214号），依法组建磋商小组。磋商小组由评审专家组成，成员人数应当为3人以上单数。磋商小组按照竞争性磋商文件规定的评审方法独立进行评审工作。</w:t>
      </w:r>
    </w:p>
    <w:p w14:paraId="6534B5AA">
      <w:pPr>
        <w:spacing w:line="360" w:lineRule="auto"/>
        <w:ind w:firstLine="480" w:firstLineChars="200"/>
        <w:rPr>
          <w:rFonts w:hAnsi="宋体" w:cs="宋体"/>
          <w:szCs w:val="24"/>
          <w:highlight w:val="none"/>
        </w:rPr>
      </w:pPr>
      <w:r>
        <w:rPr>
          <w:rFonts w:hint="eastAsia" w:hAnsi="宋体" w:cs="宋体"/>
          <w:szCs w:val="24"/>
          <w:highlight w:val="none"/>
        </w:rPr>
        <w:t>23.2竞争性磋商文件和竞争性磋商响应文件是评审的依据。在评审中，不得改变竞争性磋商文件中规定的评审标准、方法和成交条件。</w:t>
      </w:r>
    </w:p>
    <w:p w14:paraId="322A1F8A">
      <w:pPr>
        <w:spacing w:line="360" w:lineRule="auto"/>
        <w:ind w:firstLine="480" w:firstLineChars="200"/>
        <w:rPr>
          <w:rFonts w:hAnsi="宋体" w:cs="宋体"/>
          <w:szCs w:val="24"/>
          <w:highlight w:val="none"/>
        </w:rPr>
      </w:pPr>
      <w:r>
        <w:rPr>
          <w:rFonts w:hint="eastAsia" w:hAnsi="宋体" w:cs="宋体"/>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1508B060">
      <w:pPr>
        <w:spacing w:line="360" w:lineRule="auto"/>
        <w:ind w:firstLine="480" w:firstLineChars="200"/>
        <w:rPr>
          <w:rFonts w:hAnsi="宋体" w:cs="宋体"/>
          <w:szCs w:val="24"/>
          <w:highlight w:val="none"/>
        </w:rPr>
      </w:pPr>
      <w:r>
        <w:rPr>
          <w:rFonts w:hint="eastAsia" w:hAnsi="宋体" w:cs="宋体"/>
          <w:szCs w:val="24"/>
          <w:highlight w:val="none"/>
        </w:rPr>
        <w:t>23.4如果供应商在澄清规定期限内，未能答复或拒绝答复磋商小组提出的澄清要求，将由磋商小组根据其竞争性磋商响应文件按最大风险进行评审。</w:t>
      </w:r>
    </w:p>
    <w:p w14:paraId="0963120B">
      <w:pPr>
        <w:spacing w:line="360" w:lineRule="auto"/>
        <w:ind w:firstLine="480" w:firstLineChars="200"/>
        <w:rPr>
          <w:rFonts w:hAnsi="宋体" w:cs="宋体"/>
          <w:szCs w:val="24"/>
          <w:highlight w:val="none"/>
        </w:rPr>
      </w:pPr>
      <w:r>
        <w:rPr>
          <w:rFonts w:hint="eastAsia" w:hAnsi="宋体" w:cs="宋体"/>
          <w:szCs w:val="24"/>
          <w:highlight w:val="none"/>
        </w:rPr>
        <w:t>23.5磋商过程中的实质性变动：</w:t>
      </w:r>
    </w:p>
    <w:p w14:paraId="38B7E831">
      <w:pPr>
        <w:spacing w:line="360" w:lineRule="auto"/>
        <w:ind w:firstLine="480" w:firstLineChars="200"/>
        <w:rPr>
          <w:rFonts w:hAnsi="宋体" w:cs="宋体"/>
          <w:szCs w:val="24"/>
          <w:highlight w:val="none"/>
        </w:rPr>
      </w:pPr>
      <w:r>
        <w:rPr>
          <w:rFonts w:hint="eastAsia" w:hAnsi="宋体" w:cs="宋体"/>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0253827C">
      <w:pPr>
        <w:spacing w:line="360" w:lineRule="auto"/>
        <w:ind w:firstLine="480" w:firstLineChars="200"/>
        <w:rPr>
          <w:rFonts w:hAnsi="宋体" w:cs="宋体"/>
          <w:szCs w:val="24"/>
          <w:highlight w:val="none"/>
        </w:rPr>
      </w:pPr>
      <w:r>
        <w:rPr>
          <w:rFonts w:hint="eastAsia" w:hAnsi="宋体" w:cs="宋体"/>
          <w:szCs w:val="24"/>
          <w:highlight w:val="none"/>
        </w:rPr>
        <w:t>23.5.2对竞争性磋商文件做出的实质性变动是磋商文件的有效组成部分，磋商小组应当及时以书面形式通知所有参加磋商的供应商。</w:t>
      </w:r>
    </w:p>
    <w:p w14:paraId="58C18AFD">
      <w:pPr>
        <w:spacing w:line="360" w:lineRule="auto"/>
        <w:ind w:firstLine="480" w:firstLineChars="200"/>
        <w:rPr>
          <w:rFonts w:hAnsi="宋体" w:cs="宋体"/>
          <w:szCs w:val="24"/>
          <w:highlight w:val="none"/>
        </w:rPr>
      </w:pPr>
      <w:r>
        <w:rPr>
          <w:rFonts w:hint="eastAsia" w:hAnsi="宋体" w:cs="宋体"/>
          <w:szCs w:val="24"/>
          <w:highlight w:val="none"/>
        </w:rPr>
        <w:t>23.6竞争性磋商响应文件的初审（含资格性检查和符合性检查）</w:t>
      </w:r>
    </w:p>
    <w:p w14:paraId="13FDF1BE">
      <w:pPr>
        <w:spacing w:line="360" w:lineRule="auto"/>
        <w:ind w:firstLine="480" w:firstLineChars="200"/>
        <w:rPr>
          <w:rFonts w:hAnsi="宋体" w:cs="宋体"/>
          <w:szCs w:val="24"/>
          <w:highlight w:val="none"/>
        </w:rPr>
      </w:pPr>
      <w:r>
        <w:rPr>
          <w:rFonts w:hint="eastAsia" w:hAnsi="宋体" w:cs="宋体"/>
          <w:szCs w:val="24"/>
          <w:highlight w:val="none"/>
        </w:rPr>
        <w:t>23.6.1磋商小组将审查竞争性磋商响应文件是否完整、资格证明文件是否齐全，磋商保证金是否合格、有无计算上的错误等。</w:t>
      </w:r>
    </w:p>
    <w:p w14:paraId="102FCABC">
      <w:pPr>
        <w:spacing w:line="500" w:lineRule="exact"/>
        <w:ind w:firstLine="482" w:firstLineChars="200"/>
        <w:rPr>
          <w:rFonts w:hAnsi="宋体" w:cs="宋体"/>
          <w:szCs w:val="24"/>
          <w:highlight w:val="none"/>
        </w:rPr>
      </w:pPr>
      <w:r>
        <w:rPr>
          <w:rFonts w:hint="eastAsia" w:hAnsi="宋体" w:cs="宋体"/>
          <w:b/>
          <w:bCs/>
          <w:szCs w:val="24"/>
          <w:highlight w:val="none"/>
        </w:rPr>
        <w:t>23.6.2计算错误将按以下方法更正：</w:t>
      </w:r>
    </w:p>
    <w:p w14:paraId="1481576E">
      <w:pPr>
        <w:spacing w:line="500" w:lineRule="exact"/>
        <w:ind w:firstLine="480" w:firstLineChars="200"/>
        <w:rPr>
          <w:rFonts w:hAnsi="宋体" w:cs="宋体"/>
          <w:szCs w:val="24"/>
          <w:highlight w:val="none"/>
        </w:rPr>
      </w:pPr>
      <w:r>
        <w:rPr>
          <w:rFonts w:hint="eastAsia" w:hAnsi="宋体" w:cs="宋体"/>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4103D53A">
      <w:pPr>
        <w:spacing w:line="500" w:lineRule="exact"/>
        <w:ind w:firstLine="480" w:firstLineChars="200"/>
        <w:rPr>
          <w:rFonts w:hAnsi="宋体" w:cs="宋体"/>
          <w:szCs w:val="24"/>
          <w:highlight w:val="none"/>
        </w:rPr>
      </w:pPr>
      <w:r>
        <w:rPr>
          <w:rFonts w:hint="eastAsia" w:hAnsi="宋体" w:cs="宋体"/>
          <w:szCs w:val="24"/>
          <w:highlight w:val="none"/>
        </w:rPr>
        <w:t>（2）磋商响应文件的大写金额和小写金额不一致的，以大写金额为准；</w:t>
      </w:r>
    </w:p>
    <w:p w14:paraId="4B17E9BC">
      <w:pPr>
        <w:spacing w:line="500" w:lineRule="exact"/>
        <w:ind w:firstLine="480" w:firstLineChars="200"/>
        <w:rPr>
          <w:rFonts w:hAnsi="宋体" w:cs="宋体"/>
          <w:szCs w:val="24"/>
          <w:highlight w:val="none"/>
        </w:rPr>
      </w:pPr>
      <w:r>
        <w:rPr>
          <w:rFonts w:hint="eastAsia" w:hAnsi="宋体" w:cs="宋体"/>
          <w:szCs w:val="24"/>
          <w:highlight w:val="none"/>
        </w:rPr>
        <w:t>（3）单价金额小数点或者百分比有明显错位的，以单独密封的报价一览表的总价为准，并修改单价；</w:t>
      </w:r>
    </w:p>
    <w:p w14:paraId="6F6EBF10">
      <w:pPr>
        <w:spacing w:line="500" w:lineRule="exact"/>
        <w:ind w:firstLine="480" w:firstLineChars="200"/>
        <w:rPr>
          <w:rFonts w:hAnsi="宋体" w:cs="宋体"/>
          <w:szCs w:val="24"/>
          <w:highlight w:val="none"/>
        </w:rPr>
      </w:pPr>
      <w:r>
        <w:rPr>
          <w:rFonts w:hint="eastAsia" w:hAnsi="宋体" w:cs="宋体"/>
          <w:szCs w:val="24"/>
          <w:highlight w:val="none"/>
        </w:rPr>
        <w:t>（4）总价金额与按单价汇总金额不一致的，以单价金额计算结果为准。</w:t>
      </w:r>
    </w:p>
    <w:p w14:paraId="06A4CCFD">
      <w:pPr>
        <w:spacing w:line="500" w:lineRule="exact"/>
        <w:ind w:firstLine="480" w:firstLineChars="200"/>
        <w:rPr>
          <w:rFonts w:hAnsi="宋体" w:cs="宋体"/>
          <w:szCs w:val="24"/>
          <w:highlight w:val="none"/>
        </w:rPr>
      </w:pPr>
      <w:r>
        <w:rPr>
          <w:rFonts w:hint="eastAsia" w:hAnsi="宋体" w:cs="宋体"/>
          <w:szCs w:val="24"/>
          <w:highlight w:val="none"/>
        </w:rPr>
        <w:t>按上述修正的顺序和方法调整的报价应对供应商具有约束力。如果供应商不接受修正后的价格，其响应文件将按无效响应处理。</w:t>
      </w:r>
    </w:p>
    <w:p w14:paraId="7B58C944">
      <w:pPr>
        <w:spacing w:line="360" w:lineRule="auto"/>
        <w:ind w:firstLine="480" w:firstLineChars="200"/>
        <w:rPr>
          <w:rFonts w:hAnsi="宋体" w:cs="宋体"/>
          <w:szCs w:val="24"/>
          <w:highlight w:val="none"/>
        </w:rPr>
      </w:pPr>
      <w:r>
        <w:rPr>
          <w:rFonts w:hint="eastAsia" w:hAnsi="宋体" w:cs="宋体"/>
          <w:szCs w:val="24"/>
          <w:highlight w:val="none"/>
        </w:rPr>
        <w:t>23.6.3对于竞争性磋商响应文件中明显的标点符号错误或不构成实质性偏差的不正规、不一致或不规则，采购人可以接受。</w:t>
      </w:r>
    </w:p>
    <w:p w14:paraId="182E4139">
      <w:pPr>
        <w:spacing w:line="360" w:lineRule="auto"/>
        <w:ind w:firstLine="480" w:firstLineChars="200"/>
        <w:rPr>
          <w:rFonts w:hAnsi="宋体" w:cs="宋体"/>
          <w:szCs w:val="24"/>
          <w:highlight w:val="none"/>
        </w:rPr>
      </w:pPr>
      <w:r>
        <w:rPr>
          <w:rFonts w:hint="eastAsia" w:hAnsi="宋体" w:cs="宋体"/>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4188E393">
      <w:pPr>
        <w:spacing w:line="360" w:lineRule="auto"/>
        <w:ind w:firstLine="480" w:firstLineChars="200"/>
        <w:rPr>
          <w:rFonts w:hAnsi="宋体" w:cs="宋体"/>
          <w:szCs w:val="24"/>
          <w:highlight w:val="none"/>
        </w:rPr>
      </w:pPr>
      <w:r>
        <w:rPr>
          <w:rFonts w:hint="eastAsia" w:hAnsi="宋体" w:cs="宋体"/>
          <w:szCs w:val="24"/>
          <w:highlight w:val="none"/>
        </w:rPr>
        <w:t>23.6.5实质上没有响应竞争性磋商文件要求的磋商将被拒绝。供应商不得通过修正或撤销不合要求的偏离从而使其磋商成为实质性响应的磋商。</w:t>
      </w:r>
      <w:r>
        <w:rPr>
          <w:rFonts w:hint="eastAsia" w:hAnsi="宋体" w:cs="宋体"/>
          <w:b/>
          <w:bCs/>
          <w:szCs w:val="24"/>
          <w:highlight w:val="none"/>
        </w:rPr>
        <w:t>如发现下列情况之一的，其磋商将构成非实质性响应，按无效磋商处理：</w:t>
      </w:r>
    </w:p>
    <w:p w14:paraId="3B8F5D43">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1）没有按照竞争性磋商文件要求提供的竞争性磋商响应文件或竞争性磋商响应文件构成有重大缺项；</w:t>
      </w:r>
    </w:p>
    <w:p w14:paraId="05F9AB89">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2）竞争性磋商响应文件未按竞争性磋商文件要求密封、签署、盖章的；</w:t>
      </w:r>
    </w:p>
    <w:p w14:paraId="5636523A">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3）供应商未提交有效的磋商保证金或金额不足的、磋商保证金形式不符合竞争性磋商文件要求的；</w:t>
      </w:r>
    </w:p>
    <w:p w14:paraId="7CFD6265">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4）资格证明文件不全的或无效的，或不符合国家规定的；</w:t>
      </w:r>
    </w:p>
    <w:p w14:paraId="1FB4A90A">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5）竞争性磋商响应文件无供应商公章、无法定代表人签字或签字人无法定代表人有效委托书的；</w:t>
      </w:r>
    </w:p>
    <w:p w14:paraId="70C5B148">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6）</w:t>
      </w:r>
      <w:r>
        <w:rPr>
          <w:rFonts w:hint="eastAsia" w:hAnsi="宋体" w:cs="宋体"/>
          <w:b/>
          <w:bCs/>
          <w:spacing w:val="-6"/>
          <w:szCs w:val="24"/>
          <w:highlight w:val="none"/>
        </w:rPr>
        <w:t>无磋商有效期或有效期达不到竞争性磋商文件要求的</w:t>
      </w:r>
      <w:r>
        <w:rPr>
          <w:rFonts w:hint="eastAsia" w:hAnsi="宋体" w:cs="宋体"/>
          <w:b/>
          <w:bCs/>
          <w:szCs w:val="24"/>
          <w:highlight w:val="none"/>
        </w:rPr>
        <w:t>；</w:t>
      </w:r>
    </w:p>
    <w:p w14:paraId="6B2F1063">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7）供应商在同一份竞争性磋商响应文件中，有两个或多个报价的；</w:t>
      </w:r>
    </w:p>
    <w:p w14:paraId="0794A246">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8）存在有重大缺漏项和重大偏离的；</w:t>
      </w:r>
    </w:p>
    <w:p w14:paraId="6C221817">
      <w:pPr>
        <w:tabs>
          <w:tab w:val="left" w:pos="1260"/>
        </w:tabs>
        <w:spacing w:line="360" w:lineRule="auto"/>
        <w:ind w:firstLine="482" w:firstLineChars="200"/>
        <w:rPr>
          <w:rFonts w:hAnsi="宋体" w:cs="宋体"/>
          <w:b/>
          <w:bCs/>
          <w:szCs w:val="24"/>
          <w:highlight w:val="none"/>
        </w:rPr>
      </w:pPr>
      <w:r>
        <w:rPr>
          <w:rFonts w:hint="eastAsia" w:hAnsi="宋体" w:cs="宋体"/>
          <w:b/>
          <w:bCs/>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73032130">
      <w:pPr>
        <w:spacing w:line="360" w:lineRule="auto"/>
        <w:ind w:firstLine="482" w:firstLineChars="200"/>
        <w:rPr>
          <w:rFonts w:hAnsi="宋体" w:cs="宋体"/>
          <w:b/>
          <w:bCs/>
          <w:szCs w:val="24"/>
          <w:highlight w:val="none"/>
        </w:rPr>
      </w:pPr>
      <w:r>
        <w:rPr>
          <w:rFonts w:hint="eastAsia" w:hAnsi="宋体" w:cs="宋体"/>
          <w:b/>
          <w:bCs/>
          <w:szCs w:val="24"/>
          <w:highlight w:val="none"/>
        </w:rPr>
        <w:t>10）磋商总报价低于成本或者高于竞争性磋商文件公布的采购预算的。</w:t>
      </w:r>
    </w:p>
    <w:p w14:paraId="5A1D31EF">
      <w:pPr>
        <w:pStyle w:val="20"/>
        <w:spacing w:before="0" w:beforeAutospacing="0" w:after="0" w:afterAutospacing="0" w:line="500" w:lineRule="exact"/>
        <w:ind w:firstLine="482" w:firstLineChars="200"/>
        <w:jc w:val="both"/>
        <w:rPr>
          <w:rFonts w:cs="宋体"/>
          <w:b/>
          <w:bCs/>
          <w:highlight w:val="none"/>
        </w:rPr>
      </w:pPr>
      <w:r>
        <w:rPr>
          <w:rFonts w:hint="eastAsia" w:cs="宋体"/>
          <w:b/>
          <w:bCs/>
          <w:highlight w:val="none"/>
        </w:rPr>
        <w:t>11）竞争性磋商响应文件含有采购人不能接受的附加条件的；</w:t>
      </w:r>
    </w:p>
    <w:p w14:paraId="2D1195A3">
      <w:pPr>
        <w:spacing w:line="500" w:lineRule="exact"/>
        <w:ind w:firstLine="482" w:firstLineChars="200"/>
        <w:rPr>
          <w:rFonts w:hAnsi="宋体" w:cs="宋体"/>
          <w:b/>
          <w:bCs/>
          <w:szCs w:val="24"/>
          <w:highlight w:val="none"/>
        </w:rPr>
      </w:pPr>
      <w:r>
        <w:rPr>
          <w:rFonts w:hint="eastAsia" w:hAnsi="宋体" w:cs="宋体"/>
          <w:b/>
          <w:bCs/>
          <w:szCs w:val="24"/>
          <w:highlight w:val="none"/>
        </w:rPr>
        <w:t>12）竞争性磋商响应文件不符合法律法规要求的；</w:t>
      </w:r>
    </w:p>
    <w:p w14:paraId="16A652B4">
      <w:pPr>
        <w:pStyle w:val="20"/>
        <w:spacing w:before="0" w:beforeAutospacing="0" w:after="0" w:afterAutospacing="0" w:line="500" w:lineRule="exact"/>
        <w:ind w:firstLine="482" w:firstLineChars="200"/>
        <w:jc w:val="both"/>
        <w:rPr>
          <w:rFonts w:cs="宋体"/>
          <w:highlight w:val="none"/>
        </w:rPr>
      </w:pPr>
      <w:r>
        <w:rPr>
          <w:rFonts w:hint="eastAsia" w:cs="宋体"/>
          <w:b/>
          <w:bCs/>
          <w:highlight w:val="none"/>
        </w:rPr>
        <w:t>13）供应商被列入失信被执行人、重大税收违法案件当事人名单、政府采购严重违法失信行为记录名单及其他不符合《中华人民共和国政府采购法》第二十二条规定条件。</w:t>
      </w:r>
    </w:p>
    <w:p w14:paraId="05BF779F">
      <w:pPr>
        <w:spacing w:line="360" w:lineRule="auto"/>
        <w:ind w:firstLine="480" w:firstLineChars="200"/>
        <w:rPr>
          <w:rFonts w:hAnsi="宋体" w:cs="宋体"/>
          <w:szCs w:val="24"/>
          <w:highlight w:val="none"/>
        </w:rPr>
      </w:pPr>
      <w:r>
        <w:rPr>
          <w:rFonts w:hint="eastAsia" w:hAnsi="宋体" w:cs="宋体"/>
          <w:szCs w:val="24"/>
          <w:highlight w:val="none"/>
        </w:rPr>
        <w:t>23.7竞争性磋商响应文件的详细评审</w:t>
      </w:r>
    </w:p>
    <w:p w14:paraId="1D5CB308">
      <w:pPr>
        <w:spacing w:line="360" w:lineRule="auto"/>
        <w:ind w:firstLine="480" w:firstLineChars="200"/>
        <w:rPr>
          <w:rFonts w:hAnsi="宋体" w:cs="宋体"/>
          <w:szCs w:val="24"/>
          <w:highlight w:val="none"/>
        </w:rPr>
      </w:pPr>
      <w:r>
        <w:rPr>
          <w:rFonts w:hint="eastAsia" w:hAnsi="宋体" w:cs="宋体"/>
          <w:szCs w:val="24"/>
          <w:highlight w:val="none"/>
        </w:rPr>
        <w:t>23.7.1磋商小组将按照本须知第22.6.4条规定，只对确定为实质性响应竞争性磋商文件要求的磋商响应文件进行详细评审。</w:t>
      </w:r>
    </w:p>
    <w:p w14:paraId="084CEA17">
      <w:pPr>
        <w:spacing w:line="360" w:lineRule="auto"/>
        <w:ind w:firstLine="480" w:firstLineChars="200"/>
        <w:rPr>
          <w:rFonts w:hAnsi="宋体" w:cs="宋体"/>
          <w:szCs w:val="24"/>
          <w:highlight w:val="none"/>
        </w:rPr>
      </w:pPr>
      <w:r>
        <w:rPr>
          <w:rFonts w:hint="eastAsia" w:hAnsi="宋体" w:cs="宋体"/>
          <w:szCs w:val="24"/>
          <w:highlight w:val="none"/>
        </w:rPr>
        <w:t>23.7.2详细评审按照“供应商须知前附表”的评审方法进行。</w:t>
      </w:r>
    </w:p>
    <w:p w14:paraId="09BD1FF8">
      <w:pPr>
        <w:spacing w:line="360" w:lineRule="auto"/>
        <w:ind w:firstLine="480" w:firstLineChars="200"/>
        <w:rPr>
          <w:rFonts w:hAnsi="宋体" w:cs="宋体"/>
          <w:szCs w:val="24"/>
          <w:highlight w:val="none"/>
        </w:rPr>
      </w:pPr>
      <w:r>
        <w:rPr>
          <w:rFonts w:hint="eastAsia" w:hAnsi="宋体" w:cs="宋体"/>
          <w:szCs w:val="24"/>
          <w:highlight w:val="none"/>
        </w:rPr>
        <w:t>23.8成交候选人的确定</w:t>
      </w:r>
    </w:p>
    <w:p w14:paraId="378015A1">
      <w:pPr>
        <w:spacing w:line="360" w:lineRule="auto"/>
        <w:ind w:firstLine="480" w:firstLineChars="200"/>
        <w:rPr>
          <w:rFonts w:hAnsi="宋体" w:cs="宋体"/>
          <w:szCs w:val="24"/>
          <w:highlight w:val="none"/>
        </w:rPr>
      </w:pPr>
      <w:r>
        <w:rPr>
          <w:rFonts w:hint="eastAsia" w:hAnsi="宋体" w:cs="宋体"/>
          <w:szCs w:val="24"/>
          <w:highlight w:val="none"/>
        </w:rPr>
        <w:t>磋商小组完成评审后，向采购人提出书面评审，并推荐1-3名成交候选人，标明排列顺序。</w:t>
      </w:r>
    </w:p>
    <w:p w14:paraId="47CAA598">
      <w:pPr>
        <w:spacing w:line="360" w:lineRule="auto"/>
        <w:rPr>
          <w:rFonts w:hAnsi="宋体" w:cs="宋体"/>
          <w:b/>
          <w:szCs w:val="24"/>
          <w:highlight w:val="none"/>
        </w:rPr>
      </w:pPr>
      <w:r>
        <w:rPr>
          <w:rFonts w:hint="eastAsia" w:hAnsi="宋体" w:cs="宋体"/>
          <w:b/>
          <w:szCs w:val="24"/>
          <w:highlight w:val="none"/>
        </w:rPr>
        <w:t>24．评审过程的保密</w:t>
      </w:r>
    </w:p>
    <w:p w14:paraId="443F8578">
      <w:pPr>
        <w:spacing w:line="360" w:lineRule="auto"/>
        <w:ind w:firstLine="480" w:firstLineChars="200"/>
        <w:rPr>
          <w:rFonts w:hAnsi="宋体" w:cs="宋体"/>
          <w:szCs w:val="24"/>
          <w:highlight w:val="none"/>
        </w:rPr>
      </w:pPr>
      <w:r>
        <w:rPr>
          <w:rFonts w:hint="eastAsia" w:hAnsi="宋体" w:cs="宋体"/>
          <w:szCs w:val="24"/>
          <w:highlight w:val="none"/>
        </w:rPr>
        <w:t>磋商小组成员和与评审活动有关的工作人员不得泄露有关竞争性磋商响应文件的评审和比较、成交候选人的推荐以及与评审有关的其他情况。</w:t>
      </w:r>
    </w:p>
    <w:p w14:paraId="53F030D9">
      <w:pPr>
        <w:jc w:val="left"/>
        <w:rPr>
          <w:rFonts w:hAnsi="宋体" w:cs="宋体"/>
          <w:b/>
          <w:szCs w:val="24"/>
          <w:highlight w:val="none"/>
        </w:rPr>
      </w:pPr>
      <w:r>
        <w:rPr>
          <w:rFonts w:hint="eastAsia" w:hAnsi="宋体" w:cs="宋体"/>
          <w:b/>
          <w:szCs w:val="24"/>
          <w:highlight w:val="none"/>
        </w:rPr>
        <w:t>25．评审方法</w:t>
      </w:r>
    </w:p>
    <w:p w14:paraId="408ED005">
      <w:pPr>
        <w:spacing w:line="360" w:lineRule="auto"/>
        <w:ind w:firstLine="480" w:firstLineChars="200"/>
        <w:rPr>
          <w:rFonts w:hAnsi="宋体" w:cs="宋体"/>
          <w:szCs w:val="24"/>
          <w:highlight w:val="none"/>
        </w:rPr>
      </w:pPr>
      <w:r>
        <w:rPr>
          <w:rFonts w:hint="eastAsia" w:hAnsi="宋体" w:cs="宋体"/>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存1-3名成交候选人。</w:t>
      </w:r>
    </w:p>
    <w:p w14:paraId="41CF2BD4">
      <w:pPr>
        <w:rPr>
          <w:rFonts w:hAnsi="宋体" w:cs="宋体"/>
          <w:b/>
          <w:sz w:val="32"/>
          <w:szCs w:val="32"/>
          <w:highlight w:val="none"/>
        </w:rPr>
      </w:pPr>
      <w:bookmarkStart w:id="62" w:name="_Toc24420"/>
      <w:bookmarkStart w:id="63" w:name="_Toc15100"/>
      <w:bookmarkStart w:id="64" w:name="_Toc29146"/>
      <w:r>
        <w:rPr>
          <w:rFonts w:hint="eastAsia" w:hAnsi="宋体" w:cs="宋体"/>
          <w:b/>
          <w:sz w:val="32"/>
          <w:szCs w:val="32"/>
          <w:highlight w:val="none"/>
        </w:rPr>
        <w:br w:type="page"/>
      </w:r>
    </w:p>
    <w:p w14:paraId="43D13FF4">
      <w:pPr>
        <w:keepNext/>
        <w:keepLines/>
        <w:spacing w:before="312" w:beforeLines="100" w:after="156" w:afterLines="50" w:line="360" w:lineRule="auto"/>
        <w:jc w:val="center"/>
        <w:outlineLvl w:val="2"/>
        <w:rPr>
          <w:rFonts w:hAnsi="宋体" w:cs="宋体"/>
          <w:b/>
          <w:sz w:val="32"/>
          <w:szCs w:val="32"/>
          <w:highlight w:val="none"/>
        </w:rPr>
      </w:pPr>
      <w:bookmarkStart w:id="65" w:name="_Toc12423"/>
      <w:r>
        <w:rPr>
          <w:rFonts w:hint="eastAsia" w:hAnsi="宋体" w:cs="宋体"/>
          <w:b/>
          <w:sz w:val="32"/>
          <w:szCs w:val="32"/>
          <w:highlight w:val="none"/>
        </w:rPr>
        <w:t>六.成交、通知与签约</w:t>
      </w:r>
      <w:bookmarkEnd w:id="62"/>
      <w:bookmarkEnd w:id="63"/>
      <w:bookmarkEnd w:id="64"/>
      <w:bookmarkEnd w:id="65"/>
    </w:p>
    <w:p w14:paraId="4D8F489C">
      <w:pPr>
        <w:spacing w:line="360" w:lineRule="auto"/>
        <w:rPr>
          <w:rFonts w:hAnsi="宋体" w:cs="宋体"/>
          <w:b/>
          <w:szCs w:val="24"/>
          <w:highlight w:val="none"/>
        </w:rPr>
      </w:pPr>
      <w:r>
        <w:rPr>
          <w:rFonts w:hint="eastAsia" w:hAnsi="宋体" w:cs="宋体"/>
          <w:b/>
          <w:szCs w:val="24"/>
          <w:highlight w:val="none"/>
        </w:rPr>
        <w:t>26．成交程序</w:t>
      </w:r>
    </w:p>
    <w:p w14:paraId="0CE161C4">
      <w:pPr>
        <w:spacing w:line="360" w:lineRule="auto"/>
        <w:ind w:firstLine="480" w:firstLineChars="200"/>
        <w:rPr>
          <w:rFonts w:hAnsi="宋体" w:cs="宋体"/>
          <w:szCs w:val="24"/>
          <w:highlight w:val="none"/>
        </w:rPr>
      </w:pPr>
      <w:r>
        <w:rPr>
          <w:rFonts w:hint="eastAsia" w:hAnsi="宋体" w:cs="宋体"/>
          <w:szCs w:val="24"/>
          <w:highlight w:val="none"/>
        </w:rPr>
        <w:t>26.1磋商小组根据评审方法的规定对供应商进行评审排序，推荐1-3名成交候选人，作为评审结果。评审结果由全体磋商小组成员签字确认。</w:t>
      </w:r>
    </w:p>
    <w:p w14:paraId="3D704E8E">
      <w:pPr>
        <w:spacing w:line="360" w:lineRule="auto"/>
        <w:ind w:firstLine="480" w:firstLineChars="200"/>
        <w:rPr>
          <w:rFonts w:hAnsi="宋体" w:cs="宋体"/>
          <w:szCs w:val="24"/>
          <w:highlight w:val="none"/>
        </w:rPr>
      </w:pPr>
      <w:r>
        <w:rPr>
          <w:rFonts w:hint="eastAsia" w:hAnsi="宋体" w:cs="宋体"/>
          <w:szCs w:val="24"/>
          <w:highlight w:val="none"/>
        </w:rPr>
        <w:t>26.2采购人根据磋商报告中推荐的成交候选人排列顺序，确定排名第一的为成交供应商。</w:t>
      </w:r>
    </w:p>
    <w:p w14:paraId="188279D3">
      <w:pPr>
        <w:spacing w:line="360" w:lineRule="auto"/>
        <w:ind w:firstLine="480" w:firstLineChars="200"/>
        <w:rPr>
          <w:rFonts w:hAnsi="宋体" w:cs="宋体"/>
          <w:szCs w:val="24"/>
          <w:highlight w:val="none"/>
        </w:rPr>
      </w:pPr>
      <w:r>
        <w:rPr>
          <w:rFonts w:hint="eastAsia" w:hAnsi="宋体" w:cs="宋体"/>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60885E21">
      <w:pPr>
        <w:spacing w:line="360" w:lineRule="auto"/>
        <w:ind w:firstLine="480" w:firstLineChars="200"/>
        <w:rPr>
          <w:rFonts w:hAnsi="宋体" w:cs="宋体"/>
          <w:szCs w:val="24"/>
          <w:highlight w:val="none"/>
        </w:rPr>
      </w:pPr>
      <w:r>
        <w:rPr>
          <w:rFonts w:hint="eastAsia" w:hAnsi="宋体" w:cs="宋体"/>
          <w:szCs w:val="24"/>
          <w:highlight w:val="none"/>
        </w:rPr>
        <w:t>26.4采购人也可以授权磋商小组评审后直接确定成交供应商。</w:t>
      </w:r>
    </w:p>
    <w:p w14:paraId="6A9006F4">
      <w:pPr>
        <w:spacing w:line="360" w:lineRule="auto"/>
        <w:ind w:firstLine="480" w:firstLineChars="200"/>
        <w:rPr>
          <w:rFonts w:hAnsi="宋体" w:cs="宋体"/>
          <w:szCs w:val="24"/>
          <w:highlight w:val="none"/>
        </w:rPr>
      </w:pPr>
      <w:r>
        <w:rPr>
          <w:rFonts w:hint="eastAsia" w:hAnsi="宋体" w:cs="宋体"/>
          <w:szCs w:val="24"/>
          <w:highlight w:val="none"/>
        </w:rPr>
        <w:t>26.5成交供应商确定之后，成交结果将在财政部门指定的政府采购信息发布媒体上公告。</w:t>
      </w:r>
    </w:p>
    <w:p w14:paraId="3267BF38">
      <w:pPr>
        <w:spacing w:line="500" w:lineRule="exact"/>
        <w:ind w:firstLine="480" w:firstLineChars="200"/>
        <w:rPr>
          <w:rFonts w:hAnsi="宋体" w:cs="宋体"/>
          <w:szCs w:val="24"/>
          <w:highlight w:val="none"/>
        </w:rPr>
      </w:pPr>
      <w:r>
        <w:rPr>
          <w:rFonts w:hint="eastAsia" w:hAnsi="宋体" w:cs="宋体"/>
          <w:szCs w:val="24"/>
          <w:highlight w:val="none"/>
        </w:rPr>
        <w:t>26.6供应商或者其他利害关系人对评审结果有异议的，应当在法律规定的时间内提出。</w:t>
      </w:r>
    </w:p>
    <w:p w14:paraId="511F957E">
      <w:pPr>
        <w:spacing w:line="360" w:lineRule="auto"/>
        <w:rPr>
          <w:rFonts w:hAnsi="宋体" w:cs="宋体"/>
          <w:b/>
          <w:szCs w:val="24"/>
          <w:highlight w:val="none"/>
        </w:rPr>
      </w:pPr>
      <w:r>
        <w:rPr>
          <w:rFonts w:hint="eastAsia" w:hAnsi="宋体" w:cs="宋体"/>
          <w:b/>
          <w:szCs w:val="24"/>
          <w:highlight w:val="none"/>
        </w:rPr>
        <w:t>27．成交通知</w:t>
      </w:r>
    </w:p>
    <w:p w14:paraId="43B6EDEC">
      <w:pPr>
        <w:spacing w:line="360" w:lineRule="auto"/>
        <w:ind w:firstLine="480" w:firstLineChars="200"/>
        <w:rPr>
          <w:rFonts w:hAnsi="宋体" w:cs="宋体"/>
          <w:szCs w:val="24"/>
          <w:highlight w:val="none"/>
        </w:rPr>
      </w:pPr>
      <w:r>
        <w:rPr>
          <w:rFonts w:hint="eastAsia" w:hAnsi="宋体" w:cs="宋体"/>
          <w:szCs w:val="24"/>
          <w:highlight w:val="none"/>
        </w:rPr>
        <w:t>27.1采购代理机构向成交供应商发出《成交通知书》。</w:t>
      </w:r>
      <w:r>
        <w:rPr>
          <w:rFonts w:hint="eastAsia" w:hAnsi="宋体" w:cs="宋体"/>
          <w:b/>
          <w:bCs/>
          <w:szCs w:val="24"/>
          <w:highlight w:val="none"/>
        </w:rPr>
        <w:t>成交供应商领取成交通知书时须携带法定代表人授权书及加盖单位公章的被授权人身份证复印件。</w:t>
      </w:r>
    </w:p>
    <w:p w14:paraId="5BD246D5">
      <w:pPr>
        <w:spacing w:line="360" w:lineRule="auto"/>
        <w:ind w:firstLine="480" w:firstLineChars="200"/>
        <w:rPr>
          <w:rFonts w:hAnsi="宋体" w:cs="宋体"/>
          <w:szCs w:val="24"/>
          <w:highlight w:val="none"/>
        </w:rPr>
      </w:pPr>
      <w:r>
        <w:rPr>
          <w:rFonts w:hint="eastAsia" w:hAnsi="宋体" w:cs="宋体"/>
          <w:szCs w:val="24"/>
          <w:highlight w:val="none"/>
        </w:rPr>
        <w:t>27.2成交通知书对采购人和成交供应商具有同等法律效力。成交通知书发出之后，采购人改变成交结果，或者成交供应商放弃成交，应当承担相应的法律责任。</w:t>
      </w:r>
    </w:p>
    <w:p w14:paraId="2CF439E3">
      <w:pPr>
        <w:spacing w:line="360" w:lineRule="auto"/>
        <w:rPr>
          <w:rFonts w:hAnsi="宋体" w:cs="宋体"/>
          <w:b/>
          <w:szCs w:val="24"/>
          <w:highlight w:val="none"/>
        </w:rPr>
      </w:pPr>
      <w:r>
        <w:rPr>
          <w:rFonts w:hint="eastAsia" w:hAnsi="宋体" w:cs="宋体"/>
          <w:b/>
          <w:szCs w:val="24"/>
          <w:highlight w:val="none"/>
        </w:rPr>
        <w:t>28. 采购合同的签订</w:t>
      </w:r>
    </w:p>
    <w:p w14:paraId="305D9182">
      <w:pPr>
        <w:spacing w:line="360" w:lineRule="auto"/>
        <w:ind w:firstLine="480" w:firstLineChars="200"/>
        <w:rPr>
          <w:rFonts w:hAnsi="宋体" w:cs="宋体"/>
          <w:szCs w:val="24"/>
          <w:highlight w:val="none"/>
        </w:rPr>
      </w:pPr>
      <w:r>
        <w:rPr>
          <w:rFonts w:hint="eastAsia" w:hAnsi="宋体" w:cs="宋体"/>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10A3EC1D">
      <w:pPr>
        <w:spacing w:line="360" w:lineRule="auto"/>
        <w:ind w:firstLine="480" w:firstLineChars="200"/>
        <w:rPr>
          <w:rFonts w:hAnsi="宋体" w:cs="宋体"/>
          <w:szCs w:val="24"/>
          <w:highlight w:val="none"/>
        </w:rPr>
      </w:pPr>
      <w:r>
        <w:rPr>
          <w:rFonts w:hint="eastAsia" w:hAnsi="宋体" w:cs="宋体"/>
          <w:szCs w:val="24"/>
          <w:highlight w:val="none"/>
        </w:rPr>
        <w:t>28.2采购人自采购合同签订之日起七个工作日内，将采购合同副本报同级人民政府财政部门备案。</w:t>
      </w:r>
    </w:p>
    <w:p w14:paraId="7BA5DDBD">
      <w:pPr>
        <w:spacing w:line="360" w:lineRule="auto"/>
        <w:rPr>
          <w:rFonts w:hAnsi="宋体" w:cs="宋体"/>
          <w:b/>
          <w:szCs w:val="24"/>
          <w:highlight w:val="none"/>
        </w:rPr>
      </w:pPr>
      <w:r>
        <w:rPr>
          <w:rFonts w:hint="eastAsia" w:hAnsi="宋体" w:cs="宋体"/>
          <w:b/>
          <w:szCs w:val="24"/>
          <w:highlight w:val="none"/>
        </w:rPr>
        <w:t>29．成交代理服务费</w:t>
      </w:r>
      <w:r>
        <w:rPr>
          <w:rFonts w:hint="eastAsia" w:hAnsi="宋体" w:cs="宋体"/>
          <w:szCs w:val="24"/>
          <w:highlight w:val="none"/>
        </w:rPr>
        <w:t xml:space="preserve"> </w:t>
      </w:r>
    </w:p>
    <w:p w14:paraId="03E03CF0">
      <w:pPr>
        <w:spacing w:line="360" w:lineRule="auto"/>
        <w:ind w:firstLine="480" w:firstLineChars="200"/>
        <w:rPr>
          <w:rFonts w:hint="eastAsia" w:hAnsi="宋体" w:cs="宋体"/>
          <w:szCs w:val="24"/>
          <w:highlight w:val="none"/>
        </w:rPr>
      </w:pPr>
      <w:r>
        <w:rPr>
          <w:rFonts w:hint="eastAsia" w:hAnsi="宋体" w:cs="宋体"/>
          <w:szCs w:val="24"/>
          <w:highlight w:val="none"/>
        </w:rPr>
        <w:t>29.1招标服务费以中标金额为基数，参照《秦始皇帝陵博物院政府采购管理办法》30万元以下项目，代理服务费由成交供应商支付，取费标准为：20万（含）--25万（不含）的项目代理服务费为4500元，25万（含）--30万（含）的项目代理服务费为5000元，不再区分采购次数。本项目定额收取人民币：5000.00元整（大写：伍仟元整）。</w:t>
      </w:r>
    </w:p>
    <w:p w14:paraId="25388742">
      <w:pPr>
        <w:spacing w:line="360" w:lineRule="auto"/>
        <w:ind w:firstLine="480" w:firstLineChars="200"/>
        <w:rPr>
          <w:rFonts w:hAnsi="宋体" w:cs="宋体"/>
          <w:szCs w:val="24"/>
          <w:highlight w:val="none"/>
        </w:rPr>
      </w:pPr>
      <w:r>
        <w:rPr>
          <w:rFonts w:hint="eastAsia" w:hAnsi="宋体" w:cs="宋体"/>
          <w:szCs w:val="24"/>
          <w:highlight w:val="none"/>
        </w:rPr>
        <w:t>29.2成交单位在领取成交通知书前，须向采购代理机构一次性支付代理服务费。</w:t>
      </w:r>
    </w:p>
    <w:p w14:paraId="04A9C287">
      <w:pPr>
        <w:spacing w:line="360" w:lineRule="auto"/>
        <w:ind w:firstLine="482" w:firstLineChars="200"/>
        <w:rPr>
          <w:rFonts w:hAnsi="宋体" w:cs="宋体"/>
          <w:b/>
          <w:bCs/>
          <w:szCs w:val="24"/>
          <w:highlight w:val="none"/>
        </w:rPr>
      </w:pPr>
      <w:r>
        <w:rPr>
          <w:rFonts w:hint="eastAsia" w:hAnsi="宋体" w:cs="宋体"/>
          <w:b/>
          <w:bCs/>
          <w:szCs w:val="24"/>
          <w:highlight w:val="none"/>
        </w:rPr>
        <w:t>代理服务费转账账户：</w:t>
      </w:r>
    </w:p>
    <w:p w14:paraId="7F985675">
      <w:pPr>
        <w:spacing w:line="360" w:lineRule="auto"/>
        <w:ind w:firstLine="482" w:firstLineChars="200"/>
        <w:rPr>
          <w:rFonts w:hAnsi="宋体" w:cs="宋体"/>
          <w:b/>
          <w:bCs/>
          <w:szCs w:val="24"/>
          <w:highlight w:val="none"/>
        </w:rPr>
      </w:pPr>
      <w:r>
        <w:rPr>
          <w:rFonts w:hint="eastAsia" w:hAnsi="宋体" w:cs="宋体"/>
          <w:b/>
          <w:bCs/>
          <w:szCs w:val="24"/>
          <w:highlight w:val="none"/>
        </w:rPr>
        <w:t>1、采购代理机构开户名称: 陕西至诚项目管理集团有限公司</w:t>
      </w:r>
    </w:p>
    <w:p w14:paraId="1239C729">
      <w:pPr>
        <w:spacing w:line="360" w:lineRule="auto"/>
        <w:ind w:firstLine="482" w:firstLineChars="200"/>
        <w:rPr>
          <w:rFonts w:hAnsi="宋体" w:cs="宋体"/>
          <w:b/>
          <w:bCs/>
          <w:szCs w:val="24"/>
          <w:highlight w:val="none"/>
        </w:rPr>
      </w:pPr>
      <w:r>
        <w:rPr>
          <w:rFonts w:hint="eastAsia" w:hAnsi="宋体" w:cs="宋体"/>
          <w:b/>
          <w:bCs/>
          <w:szCs w:val="24"/>
          <w:highlight w:val="none"/>
        </w:rPr>
        <w:t>2、开户行名称：中国建设银行股份有限公司西安高新技术产业开发区支行</w:t>
      </w:r>
    </w:p>
    <w:p w14:paraId="4D9A1EB9">
      <w:pPr>
        <w:pStyle w:val="10"/>
        <w:ind w:firstLine="482" w:firstLineChars="200"/>
        <w:rPr>
          <w:rFonts w:ascii="宋体" w:hAnsi="宋体" w:cs="宋体"/>
          <w:sz w:val="24"/>
          <w:szCs w:val="24"/>
          <w:highlight w:val="none"/>
        </w:rPr>
      </w:pPr>
      <w:r>
        <w:rPr>
          <w:rFonts w:hint="eastAsia" w:ascii="宋体" w:hAnsi="宋体" w:cs="宋体"/>
          <w:b/>
          <w:bCs/>
          <w:sz w:val="24"/>
          <w:szCs w:val="24"/>
          <w:highlight w:val="none"/>
        </w:rPr>
        <w:t>3、账号：61050192090000002152。</w:t>
      </w:r>
    </w:p>
    <w:p w14:paraId="2C998D34">
      <w:pPr>
        <w:numPr>
          <w:ilvl w:val="0"/>
          <w:numId w:val="3"/>
        </w:numPr>
        <w:spacing w:line="600" w:lineRule="exact"/>
        <w:rPr>
          <w:rFonts w:hAnsi="宋体" w:cs="宋体"/>
          <w:b/>
          <w:bCs/>
          <w:szCs w:val="24"/>
          <w:highlight w:val="none"/>
        </w:rPr>
      </w:pPr>
      <w:r>
        <w:rPr>
          <w:rFonts w:hint="eastAsia" w:hAnsi="宋体" w:cs="宋体"/>
          <w:b/>
          <w:bCs/>
          <w:szCs w:val="24"/>
          <w:highlight w:val="none"/>
        </w:rPr>
        <w:t>质疑</w:t>
      </w:r>
    </w:p>
    <w:p w14:paraId="19CAD03F">
      <w:pPr>
        <w:spacing w:line="500" w:lineRule="exact"/>
        <w:ind w:right="12" w:firstLine="480"/>
        <w:rPr>
          <w:rFonts w:hAnsi="宋体" w:cs="宋体"/>
          <w:szCs w:val="24"/>
          <w:highlight w:val="none"/>
        </w:rPr>
      </w:pPr>
      <w:r>
        <w:rPr>
          <w:rFonts w:hint="eastAsia" w:hAnsi="宋体" w:cs="宋体"/>
          <w:szCs w:val="24"/>
          <w:highlight w:val="none"/>
        </w:rPr>
        <w:t>30.1供应商认为磋商文件、采购过程、成交结果使自己的权益受到损害的，可以在知道或者应知其权益受到损害之日起7个工作日内，以书面形式向采购人、采购代理机构提出质疑。</w:t>
      </w:r>
    </w:p>
    <w:p w14:paraId="14A3B7E3">
      <w:pPr>
        <w:spacing w:line="500" w:lineRule="exact"/>
        <w:ind w:right="12" w:firstLine="480"/>
        <w:rPr>
          <w:rStyle w:val="27"/>
          <w:rFonts w:hAnsi="宋体" w:cs="宋体"/>
          <w:bCs w:val="0"/>
          <w:szCs w:val="24"/>
          <w:highlight w:val="none"/>
          <w:shd w:val="clear" w:color="auto" w:fill="FFFFFF"/>
        </w:rPr>
      </w:pPr>
      <w:r>
        <w:rPr>
          <w:rFonts w:hint="eastAsia" w:hAnsi="宋体" w:cs="宋体"/>
          <w:szCs w:val="24"/>
          <w:highlight w:val="none"/>
        </w:rPr>
        <w:t>30.2供应商必须在法定质疑期内一次性提出针对同一采购程序环节的质疑。</w:t>
      </w:r>
    </w:p>
    <w:p w14:paraId="67D23F60">
      <w:pPr>
        <w:spacing w:line="500" w:lineRule="exact"/>
        <w:ind w:left="3" w:firstLine="518" w:firstLineChars="216"/>
        <w:rPr>
          <w:rStyle w:val="27"/>
          <w:rFonts w:hAnsi="宋体" w:cs="宋体"/>
          <w:b w:val="0"/>
          <w:szCs w:val="24"/>
          <w:highlight w:val="none"/>
          <w:shd w:val="clear" w:color="auto" w:fill="FFFFFF"/>
        </w:rPr>
      </w:pPr>
      <w:r>
        <w:rPr>
          <w:rStyle w:val="27"/>
          <w:rFonts w:hint="eastAsia" w:hAnsi="宋体" w:cs="宋体"/>
          <w:b w:val="0"/>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7D643C2">
      <w:pPr>
        <w:spacing w:line="500" w:lineRule="exact"/>
        <w:ind w:left="3" w:firstLine="518" w:firstLineChars="216"/>
        <w:rPr>
          <w:rStyle w:val="27"/>
          <w:rFonts w:hAnsi="宋体" w:cs="宋体"/>
          <w:b w:val="0"/>
          <w:szCs w:val="24"/>
          <w:highlight w:val="none"/>
          <w:shd w:val="clear" w:color="auto" w:fill="FFFFFF"/>
        </w:rPr>
      </w:pPr>
      <w:r>
        <w:rPr>
          <w:rStyle w:val="27"/>
          <w:rFonts w:hint="eastAsia" w:hAnsi="宋体" w:cs="宋体"/>
          <w:b w:val="0"/>
          <w:szCs w:val="24"/>
          <w:highlight w:val="none"/>
          <w:shd w:val="clear" w:color="auto" w:fill="FFFFFF"/>
        </w:rPr>
        <w:t>30.4以联合体形式参加政府采购活动的，其质疑应当由组成联合体的所有供应商共同提出。</w:t>
      </w:r>
    </w:p>
    <w:p w14:paraId="41F222F2">
      <w:pPr>
        <w:spacing w:line="500" w:lineRule="exact"/>
        <w:ind w:right="12" w:firstLine="480" w:firstLineChars="200"/>
        <w:rPr>
          <w:rFonts w:hAnsi="宋体" w:cs="宋体"/>
          <w:szCs w:val="24"/>
          <w:highlight w:val="none"/>
        </w:rPr>
      </w:pPr>
      <w:r>
        <w:rPr>
          <w:rFonts w:hint="eastAsia" w:hAnsi="宋体" w:cs="宋体"/>
          <w:szCs w:val="24"/>
          <w:highlight w:val="none"/>
        </w:rPr>
        <w:t>30.5供应商提出质疑应当提交质疑函和必要的证明材料。质疑函应当包括下列内容：</w:t>
      </w:r>
    </w:p>
    <w:p w14:paraId="013383F8">
      <w:pPr>
        <w:spacing w:line="500" w:lineRule="exact"/>
        <w:ind w:right="12" w:firstLine="480" w:firstLineChars="200"/>
        <w:rPr>
          <w:rFonts w:hAnsi="宋体" w:cs="宋体"/>
          <w:szCs w:val="24"/>
          <w:highlight w:val="none"/>
        </w:rPr>
      </w:pPr>
      <w:r>
        <w:rPr>
          <w:rFonts w:hint="eastAsia" w:hAnsi="宋体" w:cs="宋体"/>
          <w:szCs w:val="24"/>
          <w:highlight w:val="none"/>
        </w:rPr>
        <w:t>30.5.1供应商的姓名或者名称、地址、邮编、联系人及联系电话；</w:t>
      </w:r>
    </w:p>
    <w:p w14:paraId="305A83B5">
      <w:pPr>
        <w:spacing w:line="500" w:lineRule="exact"/>
        <w:ind w:right="12" w:firstLine="480" w:firstLineChars="200"/>
        <w:rPr>
          <w:rFonts w:hAnsi="宋体" w:cs="宋体"/>
          <w:szCs w:val="24"/>
          <w:highlight w:val="none"/>
        </w:rPr>
      </w:pPr>
      <w:r>
        <w:rPr>
          <w:rFonts w:hint="eastAsia" w:hAnsi="宋体" w:cs="宋体"/>
          <w:szCs w:val="24"/>
          <w:highlight w:val="none"/>
        </w:rPr>
        <w:t>30.5.2质疑项目的名称、编号；</w:t>
      </w:r>
    </w:p>
    <w:p w14:paraId="1B7B7C97">
      <w:pPr>
        <w:spacing w:line="500" w:lineRule="exact"/>
        <w:ind w:right="12" w:firstLine="480" w:firstLineChars="200"/>
        <w:rPr>
          <w:rFonts w:hAnsi="宋体" w:cs="宋体"/>
          <w:szCs w:val="24"/>
          <w:highlight w:val="none"/>
        </w:rPr>
      </w:pPr>
      <w:r>
        <w:rPr>
          <w:rFonts w:hint="eastAsia" w:hAnsi="宋体" w:cs="宋体"/>
          <w:szCs w:val="24"/>
          <w:highlight w:val="none"/>
        </w:rPr>
        <w:t>30.5.3具体、明确的质疑事项和与质疑事项相关的请求；</w:t>
      </w:r>
    </w:p>
    <w:p w14:paraId="6B6776EB">
      <w:pPr>
        <w:spacing w:line="500" w:lineRule="exact"/>
        <w:ind w:right="12" w:firstLine="480" w:firstLineChars="200"/>
        <w:rPr>
          <w:rFonts w:hAnsi="宋体" w:cs="宋体"/>
          <w:szCs w:val="24"/>
          <w:highlight w:val="none"/>
        </w:rPr>
      </w:pPr>
      <w:r>
        <w:rPr>
          <w:rFonts w:hint="eastAsia" w:hAnsi="宋体" w:cs="宋体"/>
          <w:szCs w:val="24"/>
          <w:highlight w:val="none"/>
        </w:rPr>
        <w:t>30.5.4事实依据；</w:t>
      </w:r>
    </w:p>
    <w:p w14:paraId="7B4A178E">
      <w:pPr>
        <w:spacing w:line="500" w:lineRule="exact"/>
        <w:ind w:right="12" w:firstLine="480" w:firstLineChars="200"/>
        <w:rPr>
          <w:rFonts w:hAnsi="宋体" w:cs="宋体"/>
          <w:szCs w:val="24"/>
          <w:highlight w:val="none"/>
        </w:rPr>
      </w:pPr>
      <w:r>
        <w:rPr>
          <w:rFonts w:hint="eastAsia" w:hAnsi="宋体" w:cs="宋体"/>
          <w:szCs w:val="24"/>
          <w:highlight w:val="none"/>
        </w:rPr>
        <w:t>30.5.5必要的法律依据；</w:t>
      </w:r>
    </w:p>
    <w:p w14:paraId="6476A6AF">
      <w:pPr>
        <w:spacing w:line="500" w:lineRule="exact"/>
        <w:ind w:right="12" w:firstLine="480" w:firstLineChars="200"/>
        <w:rPr>
          <w:rStyle w:val="27"/>
          <w:rFonts w:hAnsi="宋体" w:cs="宋体"/>
          <w:b w:val="0"/>
          <w:szCs w:val="24"/>
          <w:highlight w:val="none"/>
          <w:shd w:val="clear" w:color="auto" w:fill="FFFFFF"/>
        </w:rPr>
      </w:pPr>
      <w:r>
        <w:rPr>
          <w:rFonts w:hint="eastAsia" w:hAnsi="宋体" w:cs="宋体"/>
          <w:szCs w:val="24"/>
          <w:highlight w:val="none"/>
        </w:rPr>
        <w:t>30.5.6提出质疑的日期。</w:t>
      </w:r>
    </w:p>
    <w:p w14:paraId="36E56A68">
      <w:pPr>
        <w:widowControl/>
        <w:spacing w:line="360" w:lineRule="auto"/>
        <w:ind w:firstLine="480" w:firstLineChars="200"/>
        <w:rPr>
          <w:rFonts w:hAnsi="宋体" w:cs="宋体"/>
          <w:highlight w:val="none"/>
        </w:rPr>
      </w:pPr>
      <w:r>
        <w:rPr>
          <w:rFonts w:hint="eastAsia" w:hAnsi="宋体" w:cs="宋体"/>
          <w:highlight w:val="none"/>
        </w:rPr>
        <w:t>30.6有下列情形之一的，属于无效质疑，采购代理机构和采购人不予受理：</w:t>
      </w:r>
    </w:p>
    <w:p w14:paraId="1A2FE1AA">
      <w:pPr>
        <w:widowControl/>
        <w:spacing w:line="360" w:lineRule="auto"/>
        <w:ind w:firstLine="480" w:firstLineChars="200"/>
        <w:rPr>
          <w:rFonts w:hAnsi="宋体" w:cs="宋体"/>
          <w:highlight w:val="none"/>
        </w:rPr>
      </w:pPr>
      <w:r>
        <w:rPr>
          <w:rFonts w:hint="eastAsia" w:hAnsi="宋体" w:cs="宋体"/>
          <w:highlight w:val="none"/>
        </w:rPr>
        <w:t>30.6.1质疑供应商不是参与本次政府采购项目的供应商；</w:t>
      </w:r>
    </w:p>
    <w:p w14:paraId="39F0EDFB">
      <w:pPr>
        <w:widowControl/>
        <w:spacing w:line="360" w:lineRule="auto"/>
        <w:ind w:firstLine="480" w:firstLineChars="200"/>
        <w:rPr>
          <w:rFonts w:hAnsi="宋体" w:cs="宋体"/>
          <w:highlight w:val="none"/>
        </w:rPr>
      </w:pPr>
      <w:r>
        <w:rPr>
          <w:rFonts w:hint="eastAsia" w:hAnsi="宋体" w:cs="宋体"/>
          <w:highlight w:val="none"/>
        </w:rPr>
        <w:t>30.6.2质疑供应商与质疑事项不存在利害关系的；</w:t>
      </w:r>
    </w:p>
    <w:p w14:paraId="6AE68B00">
      <w:pPr>
        <w:widowControl/>
        <w:spacing w:line="360" w:lineRule="auto"/>
        <w:ind w:firstLine="480" w:firstLineChars="200"/>
        <w:rPr>
          <w:rFonts w:hAnsi="宋体" w:cs="宋体"/>
          <w:highlight w:val="none"/>
        </w:rPr>
      </w:pPr>
      <w:r>
        <w:rPr>
          <w:rFonts w:hint="eastAsia" w:hAnsi="宋体" w:cs="宋体"/>
          <w:highlight w:val="none"/>
        </w:rPr>
        <w:t>30.6.3未在法定期限内提出质疑的；</w:t>
      </w:r>
    </w:p>
    <w:p w14:paraId="296F7085">
      <w:pPr>
        <w:widowControl/>
        <w:spacing w:line="360" w:lineRule="auto"/>
        <w:ind w:firstLine="480" w:firstLineChars="200"/>
        <w:rPr>
          <w:rFonts w:hAnsi="宋体" w:cs="宋体"/>
          <w:highlight w:val="none"/>
        </w:rPr>
      </w:pPr>
      <w:r>
        <w:rPr>
          <w:rFonts w:hint="eastAsia" w:hAnsi="宋体" w:cs="宋体"/>
          <w:highlight w:val="none"/>
        </w:rPr>
        <w:t>30.6.4质疑未以书面形式提出，或质疑函主要内容构成不完整的；</w:t>
      </w:r>
    </w:p>
    <w:p w14:paraId="333C58FD">
      <w:pPr>
        <w:widowControl/>
        <w:spacing w:line="360" w:lineRule="auto"/>
        <w:ind w:firstLine="480" w:firstLineChars="200"/>
        <w:rPr>
          <w:rFonts w:hAnsi="宋体" w:cs="宋体"/>
          <w:highlight w:val="none"/>
        </w:rPr>
      </w:pPr>
      <w:r>
        <w:rPr>
          <w:rFonts w:hint="eastAsia" w:hAnsi="宋体" w:cs="宋体"/>
          <w:highlight w:val="none"/>
        </w:rPr>
        <w:t>30.6.5应当提交授权书而未提交的；</w:t>
      </w:r>
    </w:p>
    <w:p w14:paraId="2D2E9E01">
      <w:pPr>
        <w:widowControl/>
        <w:spacing w:line="360" w:lineRule="auto"/>
        <w:ind w:firstLine="480" w:firstLineChars="200"/>
        <w:rPr>
          <w:rFonts w:hAnsi="宋体" w:cs="宋体"/>
          <w:highlight w:val="none"/>
        </w:rPr>
      </w:pPr>
      <w:r>
        <w:rPr>
          <w:rFonts w:hint="eastAsia" w:hAnsi="宋体" w:cs="宋体"/>
          <w:highlight w:val="none"/>
        </w:rPr>
        <w:t>30.6.6以非法手段取得证据、材料的；</w:t>
      </w:r>
    </w:p>
    <w:p w14:paraId="707059C3">
      <w:pPr>
        <w:widowControl/>
        <w:spacing w:line="360" w:lineRule="auto"/>
        <w:ind w:firstLine="480" w:firstLineChars="200"/>
        <w:rPr>
          <w:rFonts w:hAnsi="宋体" w:cs="宋体"/>
          <w:highlight w:val="none"/>
        </w:rPr>
      </w:pPr>
      <w:r>
        <w:rPr>
          <w:rFonts w:hint="eastAsia" w:hAnsi="宋体" w:cs="宋体"/>
          <w:highlight w:val="none"/>
        </w:rPr>
        <w:t>30.6.7质疑答复后，同一质疑人就同一事项或同一采购程序环节再次提出质疑的；</w:t>
      </w:r>
    </w:p>
    <w:p w14:paraId="21308008">
      <w:pPr>
        <w:widowControl/>
        <w:spacing w:line="360" w:lineRule="auto"/>
        <w:ind w:firstLine="480" w:firstLineChars="200"/>
        <w:rPr>
          <w:rFonts w:hAnsi="宋体" w:cs="宋体"/>
          <w:highlight w:val="none"/>
        </w:rPr>
      </w:pPr>
      <w:r>
        <w:rPr>
          <w:rFonts w:hint="eastAsia" w:hAnsi="宋体" w:cs="宋体"/>
          <w:highlight w:val="none"/>
        </w:rPr>
        <w:t>30.6.8不符合法律、法规、规章和政府采购监管机构规定的其他条件的。</w:t>
      </w:r>
    </w:p>
    <w:p w14:paraId="5CAC85DA">
      <w:pPr>
        <w:widowControl/>
        <w:spacing w:line="360" w:lineRule="auto"/>
        <w:ind w:firstLine="480" w:firstLineChars="200"/>
        <w:rPr>
          <w:rFonts w:hAnsi="宋体" w:cs="宋体"/>
          <w:highlight w:val="none"/>
        </w:rPr>
      </w:pPr>
      <w:r>
        <w:rPr>
          <w:rFonts w:hint="eastAsia" w:hAnsi="宋体" w:cs="宋体"/>
          <w:highlight w:val="none"/>
        </w:rPr>
        <w:t>30.7质疑答复</w:t>
      </w:r>
    </w:p>
    <w:p w14:paraId="6197D8F4">
      <w:pPr>
        <w:widowControl/>
        <w:spacing w:line="360" w:lineRule="auto"/>
        <w:ind w:firstLine="480" w:firstLineChars="200"/>
        <w:rPr>
          <w:rFonts w:hAnsi="宋体" w:cs="宋体"/>
          <w:highlight w:val="none"/>
        </w:rPr>
      </w:pPr>
      <w:r>
        <w:rPr>
          <w:rFonts w:hint="eastAsia" w:hAnsi="宋体" w:cs="宋体"/>
          <w:highlight w:val="none"/>
        </w:rPr>
        <w:t>30.7.1采购人或采购代理机构在收到质疑函后7个工作日内作出答复，并以书面形式通知质疑供应商和其他有关供应商。</w:t>
      </w:r>
    </w:p>
    <w:p w14:paraId="196B03E6">
      <w:pPr>
        <w:spacing w:line="360" w:lineRule="auto"/>
        <w:rPr>
          <w:rFonts w:hAnsi="宋体" w:cs="宋体"/>
          <w:b/>
          <w:szCs w:val="24"/>
          <w:highlight w:val="none"/>
        </w:rPr>
      </w:pPr>
      <w:r>
        <w:rPr>
          <w:rFonts w:hint="eastAsia" w:hAnsi="宋体" w:cs="宋体"/>
          <w:b/>
          <w:szCs w:val="24"/>
          <w:highlight w:val="none"/>
        </w:rPr>
        <w:t>31.其他</w:t>
      </w:r>
    </w:p>
    <w:p w14:paraId="398160AD">
      <w:pPr>
        <w:spacing w:line="360" w:lineRule="auto"/>
        <w:ind w:firstLine="480" w:firstLineChars="200"/>
        <w:rPr>
          <w:rFonts w:hAnsi="宋体" w:cs="宋体"/>
          <w:szCs w:val="24"/>
          <w:highlight w:val="none"/>
        </w:rPr>
      </w:pPr>
      <w:r>
        <w:rPr>
          <w:rFonts w:hint="eastAsia" w:hAnsi="宋体" w:cs="宋体"/>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3366A9AF">
      <w:pPr>
        <w:spacing w:line="360" w:lineRule="auto"/>
        <w:ind w:firstLine="480" w:firstLineChars="200"/>
        <w:rPr>
          <w:rFonts w:hAnsi="宋体" w:cs="宋体"/>
          <w:szCs w:val="24"/>
          <w:highlight w:val="none"/>
        </w:rPr>
      </w:pPr>
      <w:r>
        <w:rPr>
          <w:rFonts w:hint="eastAsia" w:hAnsi="宋体" w:cs="宋体"/>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04887A71">
      <w:pPr>
        <w:spacing w:line="360" w:lineRule="auto"/>
        <w:ind w:firstLine="480" w:firstLineChars="200"/>
        <w:jc w:val="left"/>
        <w:rPr>
          <w:rFonts w:hAnsi="宋体" w:cs="宋体"/>
          <w:szCs w:val="24"/>
          <w:highlight w:val="none"/>
        </w:rPr>
      </w:pPr>
      <w:r>
        <w:rPr>
          <w:rFonts w:hint="eastAsia" w:hAnsi="宋体" w:cs="宋体"/>
          <w:szCs w:val="24"/>
          <w:highlight w:val="none"/>
        </w:rPr>
        <w:t>31.3采用竞争性磋商采购方式采购的政府购买服务项目（含政府和社会资本合作项目），</w:t>
      </w:r>
      <w:r>
        <w:rPr>
          <w:rFonts w:hint="eastAsia" w:hAnsi="宋体" w:cs="宋体"/>
          <w:highlight w:val="none"/>
        </w:rPr>
        <w:t>采购过程中符合要求的供应商</w:t>
      </w:r>
      <w:r>
        <w:rPr>
          <w:rFonts w:hint="eastAsia" w:hAnsi="宋体" w:cs="宋体"/>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2CDE8B1">
      <w:pPr>
        <w:spacing w:line="360" w:lineRule="auto"/>
        <w:ind w:firstLine="480" w:firstLineChars="200"/>
        <w:rPr>
          <w:rFonts w:hAnsi="宋体" w:cs="宋体"/>
          <w:highlight w:val="none"/>
        </w:rPr>
      </w:pPr>
      <w:r>
        <w:rPr>
          <w:rFonts w:hint="eastAsia" w:hAnsi="宋体" w:cs="宋体"/>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66" w:name="_Toc363474023"/>
    </w:p>
    <w:p w14:paraId="30648526">
      <w:pPr>
        <w:pStyle w:val="2"/>
        <w:numPr>
          <w:ilvl w:val="0"/>
          <w:numId w:val="4"/>
        </w:numPr>
        <w:rPr>
          <w:highlight w:val="none"/>
        </w:rPr>
      </w:pPr>
      <w:bookmarkStart w:id="67" w:name="_Toc403077645"/>
      <w:bookmarkStart w:id="68" w:name="_Toc423973074"/>
      <w:bookmarkStart w:id="69" w:name="_Toc25783"/>
      <w:r>
        <w:rPr>
          <w:rFonts w:hint="eastAsia" w:ascii="宋体" w:cs="宋体"/>
          <w:bCs/>
          <w:szCs w:val="36"/>
          <w:highlight w:val="none"/>
        </w:rPr>
        <w:br w:type="page"/>
      </w:r>
      <w:bookmarkStart w:id="70" w:name="_Toc22973"/>
      <w:r>
        <w:rPr>
          <w:rFonts w:hint="eastAsia"/>
          <w:highlight w:val="none"/>
        </w:rPr>
        <w:t xml:space="preserve">  </w:t>
      </w:r>
      <w:bookmarkStart w:id="71" w:name="_Toc28898"/>
      <w:bookmarkStart w:id="72" w:name="_Toc9687"/>
      <w:r>
        <w:rPr>
          <w:rFonts w:hint="eastAsia"/>
          <w:highlight w:val="none"/>
        </w:rPr>
        <w:t>评审方法</w:t>
      </w:r>
      <w:bookmarkEnd w:id="70"/>
      <w:bookmarkEnd w:id="71"/>
      <w:bookmarkEnd w:id="72"/>
    </w:p>
    <w:p w14:paraId="1B54DB26">
      <w:pPr>
        <w:spacing w:line="360" w:lineRule="auto"/>
        <w:outlineLvl w:val="1"/>
        <w:rPr>
          <w:rFonts w:hAnsi="宋体" w:cs="宋体"/>
          <w:b/>
          <w:szCs w:val="24"/>
          <w:highlight w:val="none"/>
        </w:rPr>
      </w:pPr>
      <w:bookmarkStart w:id="73" w:name="_Toc32051"/>
      <w:bookmarkStart w:id="74" w:name="_Toc23722"/>
      <w:bookmarkStart w:id="75" w:name="_Toc28665"/>
      <w:bookmarkStart w:id="76" w:name="_Toc6038"/>
      <w:bookmarkStart w:id="77" w:name="_Toc26649"/>
      <w:r>
        <w:rPr>
          <w:rFonts w:hint="eastAsia" w:hAnsi="宋体" w:cs="宋体"/>
          <w:b/>
          <w:szCs w:val="24"/>
          <w:highlight w:val="none"/>
        </w:rPr>
        <w:t>一、评审方法</w:t>
      </w:r>
      <w:bookmarkEnd w:id="73"/>
      <w:bookmarkEnd w:id="74"/>
      <w:bookmarkEnd w:id="75"/>
      <w:bookmarkEnd w:id="76"/>
      <w:bookmarkEnd w:id="77"/>
    </w:p>
    <w:p w14:paraId="21681134">
      <w:pPr>
        <w:spacing w:line="500" w:lineRule="exact"/>
        <w:ind w:firstLine="520" w:firstLineChars="217"/>
        <w:rPr>
          <w:rFonts w:hAnsi="宋体" w:cs="宋体"/>
          <w:spacing w:val="4"/>
          <w:szCs w:val="24"/>
          <w:highlight w:val="none"/>
        </w:rPr>
      </w:pPr>
      <w:r>
        <w:rPr>
          <w:rFonts w:hint="eastAsia" w:hAnsi="宋体" w:cs="宋体"/>
          <w:szCs w:val="24"/>
          <w:highlight w:val="none"/>
        </w:rPr>
        <w:t>按照《中华人民共和国政府采购法》及实施条例和关于印发《政府采购竞争性磋商采购方式管理暂行办法》的通知（财库【2014】214号）</w:t>
      </w:r>
      <w:r>
        <w:rPr>
          <w:rFonts w:hint="eastAsia" w:hAnsi="宋体" w:cs="宋体"/>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3068CDE9">
      <w:pPr>
        <w:spacing w:line="500" w:lineRule="exact"/>
        <w:outlineLvl w:val="1"/>
        <w:rPr>
          <w:rFonts w:hAnsi="宋体" w:cs="宋体"/>
          <w:b/>
          <w:spacing w:val="4"/>
          <w:szCs w:val="24"/>
          <w:highlight w:val="none"/>
        </w:rPr>
      </w:pPr>
      <w:bookmarkStart w:id="78" w:name="_Toc23145"/>
      <w:bookmarkStart w:id="79" w:name="_Toc2374"/>
      <w:bookmarkStart w:id="80" w:name="_Toc27615"/>
      <w:bookmarkStart w:id="81" w:name="_Toc3039"/>
      <w:bookmarkStart w:id="82" w:name="_Toc20625"/>
      <w:r>
        <w:rPr>
          <w:rFonts w:hint="eastAsia" w:hAnsi="宋体" w:cs="宋体"/>
          <w:b/>
          <w:spacing w:val="4"/>
          <w:szCs w:val="24"/>
          <w:highlight w:val="none"/>
        </w:rPr>
        <w:t>二、评审程序</w:t>
      </w:r>
      <w:bookmarkEnd w:id="78"/>
      <w:bookmarkEnd w:id="79"/>
      <w:bookmarkEnd w:id="80"/>
      <w:bookmarkEnd w:id="81"/>
      <w:bookmarkEnd w:id="82"/>
    </w:p>
    <w:p w14:paraId="3FB02B34">
      <w:pPr>
        <w:tabs>
          <w:tab w:val="left" w:pos="0"/>
        </w:tabs>
        <w:adjustRightInd w:val="0"/>
        <w:snapToGrid w:val="0"/>
        <w:spacing w:line="500" w:lineRule="exact"/>
        <w:ind w:firstLine="470" w:firstLineChars="196"/>
        <w:rPr>
          <w:rFonts w:hAnsi="宋体" w:cs="宋体"/>
          <w:highlight w:val="none"/>
        </w:rPr>
      </w:pPr>
      <w:r>
        <w:rPr>
          <w:rFonts w:hint="eastAsia" w:hAnsi="宋体" w:cs="宋体"/>
          <w:szCs w:val="24"/>
          <w:highlight w:val="none"/>
        </w:rPr>
        <w:t>按照竞争性磋商响应文件初审、澄清有关问题、分别磋商、二次报价、比较与评审、推荐成交候选人名单。在上一步评审中被认定为无效磋商者，不进入下一步的评审。</w:t>
      </w:r>
    </w:p>
    <w:p w14:paraId="64762F46">
      <w:pPr>
        <w:numPr>
          <w:ilvl w:val="0"/>
          <w:numId w:val="5"/>
        </w:numPr>
        <w:spacing w:line="500" w:lineRule="exact"/>
        <w:ind w:firstLine="498" w:firstLineChars="200"/>
        <w:rPr>
          <w:rFonts w:hAnsi="宋体" w:cs="宋体"/>
          <w:b/>
          <w:bCs/>
          <w:spacing w:val="4"/>
          <w:szCs w:val="24"/>
          <w:highlight w:val="none"/>
        </w:rPr>
      </w:pPr>
      <w:r>
        <w:rPr>
          <w:rFonts w:hint="eastAsia" w:hAnsi="宋体" w:cs="宋体"/>
          <w:b/>
          <w:bCs/>
          <w:spacing w:val="4"/>
          <w:szCs w:val="24"/>
          <w:highlight w:val="none"/>
        </w:rPr>
        <w:t>对磋商响应文件的初审：</w:t>
      </w:r>
    </w:p>
    <w:p w14:paraId="250071EA">
      <w:pPr>
        <w:tabs>
          <w:tab w:val="left" w:pos="0"/>
        </w:tabs>
        <w:adjustRightInd w:val="0"/>
        <w:snapToGrid w:val="0"/>
        <w:spacing w:line="500" w:lineRule="exact"/>
        <w:ind w:firstLine="472" w:firstLineChars="196"/>
        <w:rPr>
          <w:rFonts w:hAnsi="宋体" w:cs="宋体"/>
          <w:highlight w:val="none"/>
        </w:rPr>
      </w:pPr>
      <w:r>
        <w:rPr>
          <w:rFonts w:hint="eastAsia" w:hAnsi="宋体" w:cs="宋体"/>
          <w:b/>
          <w:bCs/>
          <w:highlight w:val="none"/>
        </w:rPr>
        <w:t>1.1资格性审查。</w:t>
      </w:r>
      <w:r>
        <w:rPr>
          <w:rFonts w:hint="eastAsia" w:hAnsi="宋体" w:cs="宋体"/>
          <w:highlight w:val="none"/>
        </w:rPr>
        <w:t>采购人及采购代理机构将依据磋商响应文件，按照磋商文件第二章供应商须知前附表12.1条所述资格要求进行资格性审查，如果供应商不满足磋商文件所规定的资格要求或提供资格证明文件不全,将被视为未实质性响应磋商文件。</w:t>
      </w:r>
    </w:p>
    <w:p w14:paraId="1D1EDD8D">
      <w:pPr>
        <w:tabs>
          <w:tab w:val="left" w:pos="0"/>
        </w:tabs>
        <w:adjustRightInd w:val="0"/>
        <w:snapToGrid w:val="0"/>
        <w:spacing w:line="500" w:lineRule="exact"/>
        <w:ind w:firstLine="472" w:firstLineChars="196"/>
        <w:rPr>
          <w:rFonts w:hAnsi="宋体" w:cs="宋体"/>
          <w:highlight w:val="none"/>
        </w:rPr>
      </w:pPr>
      <w:r>
        <w:rPr>
          <w:rFonts w:hint="eastAsia" w:hAnsi="宋体" w:cs="宋体"/>
          <w:b/>
          <w:bCs/>
          <w:highlight w:val="none"/>
        </w:rPr>
        <w:t>1.2符合性审查。</w:t>
      </w:r>
      <w:r>
        <w:rPr>
          <w:rFonts w:hint="eastAsia" w:hAnsi="宋体" w:cs="宋体"/>
          <w:highlight w:val="none"/>
        </w:rPr>
        <w:t>磋商小组从磋商响应文件的完整性、有效性和对磋商文件的响应程度进行审查，以确定其是否对磋商文件实质性内容作出响应。</w:t>
      </w:r>
    </w:p>
    <w:p w14:paraId="44261EE6">
      <w:pPr>
        <w:spacing w:line="500" w:lineRule="exact"/>
        <w:ind w:firstLine="496" w:firstLineChars="200"/>
        <w:rPr>
          <w:rFonts w:hAnsi="宋体" w:cs="宋体"/>
          <w:bCs/>
          <w:spacing w:val="4"/>
          <w:szCs w:val="24"/>
          <w:highlight w:val="none"/>
        </w:rPr>
      </w:pPr>
      <w:r>
        <w:rPr>
          <w:rFonts w:hint="eastAsia" w:hAnsi="宋体" w:cs="宋体"/>
          <w:bCs/>
          <w:spacing w:val="4"/>
          <w:szCs w:val="24"/>
          <w:highlight w:val="none"/>
        </w:rPr>
        <w:t>1.2.1竞争性磋商响应文件的完整性。竞争性磋商响应文件构成是否有重大缺项，是否按照竞争性磋商文件要求的格式编写竞争性磋商响应文件。</w:t>
      </w:r>
    </w:p>
    <w:p w14:paraId="057C2BA2">
      <w:pPr>
        <w:spacing w:line="500" w:lineRule="exact"/>
        <w:ind w:firstLine="496" w:firstLineChars="200"/>
        <w:rPr>
          <w:rFonts w:hAnsi="宋体" w:cs="宋体"/>
          <w:bCs/>
          <w:spacing w:val="4"/>
          <w:szCs w:val="24"/>
          <w:highlight w:val="none"/>
        </w:rPr>
      </w:pPr>
      <w:r>
        <w:rPr>
          <w:rFonts w:hint="eastAsia" w:hAnsi="宋体" w:cs="宋体"/>
          <w:bCs/>
          <w:spacing w:val="4"/>
          <w:szCs w:val="24"/>
          <w:highlight w:val="none"/>
        </w:rPr>
        <w:t>1.2.2竞争性磋商响应文件的有效性。竞争性磋商响应文件的签署、加盖印章是否合格、有效；提供的各种证明文件、数据、资料是否真实、有效。</w:t>
      </w:r>
    </w:p>
    <w:p w14:paraId="07A2A3AC">
      <w:pPr>
        <w:spacing w:line="500" w:lineRule="exact"/>
        <w:ind w:firstLine="496" w:firstLineChars="200"/>
        <w:rPr>
          <w:rFonts w:hAnsi="宋体" w:cs="宋体"/>
          <w:szCs w:val="24"/>
          <w:highlight w:val="none"/>
        </w:rPr>
      </w:pPr>
      <w:r>
        <w:rPr>
          <w:rFonts w:hint="eastAsia" w:hAnsi="宋体" w:cs="宋体"/>
          <w:bCs/>
          <w:spacing w:val="4"/>
          <w:szCs w:val="24"/>
          <w:highlight w:val="none"/>
        </w:rPr>
        <w:t>1.2.3竞争性磋商</w:t>
      </w:r>
      <w:r>
        <w:rPr>
          <w:rFonts w:hint="eastAsia" w:hAnsi="宋体" w:cs="宋体"/>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056DAB58">
      <w:pPr>
        <w:spacing w:line="500" w:lineRule="exact"/>
        <w:ind w:firstLine="480" w:firstLineChars="200"/>
        <w:rPr>
          <w:rFonts w:hAnsi="宋体" w:cs="宋体"/>
          <w:szCs w:val="24"/>
          <w:highlight w:val="none"/>
        </w:rPr>
      </w:pPr>
      <w:r>
        <w:rPr>
          <w:rFonts w:hint="eastAsia" w:hAnsi="宋体" w:cs="宋体"/>
          <w:szCs w:val="24"/>
          <w:highlight w:val="none"/>
        </w:rPr>
        <w:t>1.2.4报价是否超过采购预算。</w:t>
      </w:r>
    </w:p>
    <w:p w14:paraId="5B5308BD">
      <w:pPr>
        <w:spacing w:line="500" w:lineRule="exact"/>
        <w:ind w:firstLine="480" w:firstLineChars="200"/>
        <w:rPr>
          <w:rFonts w:hAnsi="宋体" w:cs="宋体"/>
          <w:szCs w:val="24"/>
          <w:highlight w:val="none"/>
        </w:rPr>
      </w:pPr>
      <w:r>
        <w:rPr>
          <w:rFonts w:hint="eastAsia" w:hAnsi="宋体" w:cs="宋体"/>
          <w:szCs w:val="24"/>
          <w:highlight w:val="none"/>
        </w:rPr>
        <w:t>1.2.5 磋商保证金是否按竞争性磋商文件规定时间提交磋商保证金或担保机构出具的保函。</w:t>
      </w:r>
    </w:p>
    <w:p w14:paraId="1B83163A">
      <w:pPr>
        <w:spacing w:after="156" w:afterLines="50" w:line="500" w:lineRule="exact"/>
        <w:ind w:firstLine="482" w:firstLineChars="200"/>
        <w:rPr>
          <w:rFonts w:hAnsi="宋体" w:cs="宋体"/>
          <w:b/>
          <w:highlight w:val="none"/>
        </w:rPr>
      </w:pPr>
      <w:r>
        <w:rPr>
          <w:rFonts w:hint="eastAsia" w:hAnsi="宋体" w:cs="宋体"/>
          <w:b/>
          <w:highlight w:val="none"/>
        </w:rPr>
        <w:t>2、磋商响应文件的澄清</w:t>
      </w:r>
    </w:p>
    <w:p w14:paraId="0EF86133">
      <w:pPr>
        <w:spacing w:line="500" w:lineRule="exact"/>
        <w:ind w:firstLine="496" w:firstLineChars="200"/>
        <w:rPr>
          <w:rFonts w:hAnsi="宋体" w:cs="宋体"/>
          <w:bCs/>
          <w:spacing w:val="4"/>
          <w:szCs w:val="24"/>
          <w:highlight w:val="none"/>
        </w:rPr>
      </w:pPr>
      <w:r>
        <w:rPr>
          <w:rFonts w:hint="eastAsia" w:hAnsi="宋体" w:cs="宋体"/>
          <w:bCs/>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69B5A8DB">
      <w:pPr>
        <w:spacing w:line="500" w:lineRule="exact"/>
        <w:ind w:firstLine="480" w:firstLineChars="200"/>
        <w:rPr>
          <w:rFonts w:hAnsi="宋体" w:cs="宋体"/>
          <w:bCs/>
          <w:spacing w:val="4"/>
          <w:szCs w:val="24"/>
          <w:highlight w:val="none"/>
        </w:rPr>
      </w:pPr>
      <w:r>
        <w:rPr>
          <w:rFonts w:hint="eastAsia" w:hAnsi="宋体" w:cs="宋体"/>
          <w:szCs w:val="24"/>
          <w:highlight w:val="none"/>
        </w:rPr>
        <w:t>1.3.2有效的书面澄清材料，是磋商响应文件的补充材料，成为磋商响应文件的组成部分。</w:t>
      </w:r>
    </w:p>
    <w:p w14:paraId="791BD6C3">
      <w:pPr>
        <w:spacing w:line="500" w:lineRule="exact"/>
        <w:ind w:firstLine="482" w:firstLineChars="200"/>
        <w:rPr>
          <w:rFonts w:hAnsi="宋体" w:cs="宋体"/>
          <w:szCs w:val="24"/>
          <w:highlight w:val="none"/>
        </w:rPr>
      </w:pPr>
      <w:r>
        <w:rPr>
          <w:rFonts w:hint="eastAsia" w:hAnsi="宋体" w:cs="宋体"/>
          <w:b/>
          <w:bCs/>
          <w:szCs w:val="24"/>
          <w:highlight w:val="none"/>
        </w:rPr>
        <w:t>3、磋商：</w:t>
      </w:r>
      <w:r>
        <w:rPr>
          <w:rFonts w:hint="eastAsia" w:hAnsi="宋体" w:cs="宋体"/>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3C0AE4AF">
      <w:pPr>
        <w:pStyle w:val="10"/>
        <w:spacing w:line="500" w:lineRule="exact"/>
        <w:ind w:firstLine="482" w:firstLineChars="200"/>
        <w:rPr>
          <w:rFonts w:ascii="宋体" w:hAnsi="宋体" w:cs="宋体"/>
          <w:kern w:val="0"/>
          <w:sz w:val="24"/>
          <w:szCs w:val="24"/>
          <w:highlight w:val="none"/>
        </w:rPr>
      </w:pPr>
      <w:r>
        <w:rPr>
          <w:rFonts w:hint="eastAsia" w:ascii="宋体" w:hAnsi="宋体" w:cs="宋体"/>
          <w:b/>
          <w:bCs/>
          <w:sz w:val="24"/>
          <w:szCs w:val="24"/>
          <w:highlight w:val="none"/>
        </w:rPr>
        <w:t>4、综合评审：</w:t>
      </w:r>
      <w:r>
        <w:rPr>
          <w:rFonts w:hint="eastAsia" w:ascii="宋体" w:hAnsi="宋体" w:cs="宋体"/>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08F3F282">
      <w:pPr>
        <w:rPr>
          <w:rFonts w:hAnsi="宋体" w:cs="宋体"/>
          <w:highlight w:val="none"/>
        </w:rPr>
      </w:pPr>
    </w:p>
    <w:p w14:paraId="11AB0C0B">
      <w:pPr>
        <w:spacing w:line="500" w:lineRule="exact"/>
        <w:jc w:val="left"/>
        <w:outlineLvl w:val="1"/>
        <w:rPr>
          <w:rFonts w:hAnsi="宋体" w:cs="宋体"/>
          <w:b/>
          <w:szCs w:val="24"/>
          <w:highlight w:val="none"/>
        </w:rPr>
      </w:pPr>
      <w:bookmarkStart w:id="83" w:name="_Toc4428"/>
      <w:bookmarkStart w:id="84" w:name="_Toc22217"/>
      <w:bookmarkStart w:id="85" w:name="_Toc30804"/>
      <w:bookmarkStart w:id="86" w:name="_Toc24776"/>
      <w:bookmarkStart w:id="87" w:name="_Toc19221"/>
      <w:r>
        <w:rPr>
          <w:rFonts w:hint="eastAsia" w:hAnsi="宋体" w:cs="宋体"/>
          <w:b/>
          <w:szCs w:val="24"/>
          <w:highlight w:val="none"/>
        </w:rPr>
        <w:t>三、政策性扣减</w:t>
      </w:r>
      <w:bookmarkEnd w:id="83"/>
      <w:bookmarkEnd w:id="84"/>
      <w:bookmarkEnd w:id="85"/>
      <w:bookmarkEnd w:id="86"/>
      <w:bookmarkEnd w:id="87"/>
    </w:p>
    <w:p w14:paraId="69F9B8EB">
      <w:pPr>
        <w:spacing w:line="500" w:lineRule="exact"/>
        <w:ind w:firstLine="482" w:firstLineChars="200"/>
        <w:jc w:val="left"/>
        <w:rPr>
          <w:rFonts w:hAnsi="宋体" w:cs="宋体"/>
          <w:b/>
          <w:bCs/>
          <w:szCs w:val="24"/>
          <w:highlight w:val="none"/>
        </w:rPr>
      </w:pPr>
      <w:r>
        <w:rPr>
          <w:rFonts w:hint="eastAsia" w:hAnsi="宋体" w:cs="宋体"/>
          <w:b/>
          <w:bCs/>
          <w:szCs w:val="24"/>
          <w:highlight w:val="none"/>
        </w:rPr>
        <w:t>1政策性扣减范围</w:t>
      </w:r>
    </w:p>
    <w:p w14:paraId="2C37EEAE">
      <w:pPr>
        <w:spacing w:line="500" w:lineRule="exact"/>
        <w:ind w:firstLine="480" w:firstLineChars="200"/>
        <w:jc w:val="left"/>
        <w:rPr>
          <w:rFonts w:hAnsi="宋体" w:cs="宋体"/>
          <w:szCs w:val="24"/>
          <w:highlight w:val="none"/>
        </w:rPr>
      </w:pPr>
      <w:r>
        <w:rPr>
          <w:rFonts w:hint="eastAsia" w:hAnsi="宋体" w:cs="宋体"/>
          <w:szCs w:val="24"/>
          <w:highlight w:val="none"/>
        </w:rPr>
        <w:t>1.1供应商符合小型、微型企业或监狱企业、残疾人福利性单位条件的，其磋商报价价格评审时将按相应比例进行扣减。</w:t>
      </w:r>
    </w:p>
    <w:p w14:paraId="78CC64D8">
      <w:pPr>
        <w:spacing w:line="500" w:lineRule="exact"/>
        <w:ind w:firstLine="480" w:firstLineChars="200"/>
        <w:jc w:val="left"/>
        <w:rPr>
          <w:rFonts w:hAnsi="宋体" w:cs="宋体"/>
          <w:szCs w:val="24"/>
          <w:highlight w:val="none"/>
        </w:rPr>
      </w:pPr>
      <w:r>
        <w:rPr>
          <w:rFonts w:hint="eastAsia" w:hAnsi="宋体" w:cs="宋体"/>
          <w:szCs w:val="24"/>
          <w:highlight w:val="none"/>
        </w:rPr>
        <w:t>1.2依照《政府采购促进中小企业发展管理办法》（财库〔2020〕46号）的规定，小型、微型企业应当同时符合以下条件：</w:t>
      </w:r>
    </w:p>
    <w:p w14:paraId="5445B84A">
      <w:pPr>
        <w:spacing w:line="500" w:lineRule="exact"/>
        <w:ind w:firstLine="480" w:firstLineChars="200"/>
        <w:jc w:val="left"/>
        <w:rPr>
          <w:rFonts w:hAnsi="宋体" w:cs="宋体"/>
          <w:szCs w:val="24"/>
          <w:highlight w:val="none"/>
        </w:rPr>
      </w:pPr>
      <w:r>
        <w:rPr>
          <w:rFonts w:hint="eastAsia" w:hAnsi="宋体" w:cs="宋体"/>
          <w:szCs w:val="24"/>
          <w:highlight w:val="none"/>
        </w:rPr>
        <w:t>1.2.1符合中小企业划分标准（中小企业划分标准是指国务院有关部门根据企业从业人员、营业收入、资产总额等指标制定的中小企业划型标准（工信部联企业〔2011〕300号））。</w:t>
      </w:r>
    </w:p>
    <w:p w14:paraId="11BBD89C">
      <w:pPr>
        <w:spacing w:line="500" w:lineRule="exact"/>
        <w:ind w:firstLine="480" w:firstLineChars="200"/>
        <w:jc w:val="left"/>
        <w:rPr>
          <w:rFonts w:hAnsi="宋体" w:cs="宋体"/>
          <w:szCs w:val="24"/>
          <w:highlight w:val="none"/>
        </w:rPr>
      </w:pPr>
      <w:r>
        <w:rPr>
          <w:rFonts w:hint="eastAsia" w:hAnsi="宋体" w:cs="宋体"/>
          <w:szCs w:val="24"/>
          <w:highlight w:val="none"/>
        </w:rPr>
        <w:t>1.2.2提供本企业制造的货物、承担的工程或者服务，或者提供其他中小企业制造的货物，不包括提供或使用大型企业注册商标的货物。</w:t>
      </w:r>
    </w:p>
    <w:p w14:paraId="6E719776">
      <w:pPr>
        <w:spacing w:line="500" w:lineRule="exact"/>
        <w:ind w:firstLine="480" w:firstLineChars="200"/>
        <w:jc w:val="left"/>
        <w:rPr>
          <w:rFonts w:hAnsi="宋体" w:cs="宋体"/>
          <w:szCs w:val="24"/>
          <w:highlight w:val="none"/>
        </w:rPr>
      </w:pPr>
      <w:r>
        <w:rPr>
          <w:rFonts w:hint="eastAsia" w:hAnsi="宋体" w:cs="宋体"/>
          <w:szCs w:val="24"/>
          <w:highlight w:val="none"/>
        </w:rPr>
        <w:t>1.2.3小型、微型企业提供中型企业制造的货物的，视同为中型企业；小型、微型、中型企业提供大型企业制造的货物的，视同为大型企业。</w:t>
      </w:r>
    </w:p>
    <w:p w14:paraId="16CC6BF3">
      <w:pPr>
        <w:spacing w:line="500" w:lineRule="exact"/>
        <w:ind w:firstLine="480" w:firstLineChars="200"/>
        <w:jc w:val="left"/>
        <w:rPr>
          <w:rFonts w:hAnsi="宋体" w:cs="宋体"/>
          <w:szCs w:val="24"/>
          <w:highlight w:val="none"/>
        </w:rPr>
      </w:pPr>
      <w:r>
        <w:rPr>
          <w:rFonts w:hint="eastAsia" w:hAnsi="宋体" w:cs="宋体"/>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3B561A47">
      <w:pPr>
        <w:spacing w:line="500" w:lineRule="exact"/>
        <w:ind w:firstLine="480" w:firstLineChars="200"/>
        <w:jc w:val="left"/>
        <w:rPr>
          <w:rFonts w:hAnsi="宋体" w:cs="宋体"/>
          <w:szCs w:val="24"/>
          <w:highlight w:val="none"/>
        </w:rPr>
      </w:pPr>
      <w:r>
        <w:rPr>
          <w:rFonts w:hint="eastAsia" w:hAnsi="宋体" w:cs="宋体"/>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hAnsi="宋体" w:cs="宋体"/>
          <w:szCs w:val="24"/>
          <w:highlight w:val="none"/>
        </w:rPr>
        <w:t>http://www.ccgp.gov.cn/</w:t>
      </w:r>
      <w:r>
        <w:rPr>
          <w:rFonts w:hint="eastAsia" w:hAnsi="宋体" w:cs="宋体"/>
          <w:szCs w:val="24"/>
          <w:highlight w:val="none"/>
        </w:rPr>
        <w:fldChar w:fldCharType="end"/>
      </w:r>
      <w:r>
        <w:rPr>
          <w:rFonts w:hint="eastAsia" w:hAnsi="宋体" w:cs="宋体"/>
          <w:szCs w:val="24"/>
          <w:highlight w:val="none"/>
        </w:rPr>
        <w:t>）上查找。</w:t>
      </w:r>
    </w:p>
    <w:p w14:paraId="713AD6D4">
      <w:pPr>
        <w:spacing w:line="500" w:lineRule="exact"/>
        <w:ind w:firstLine="480" w:firstLineChars="200"/>
        <w:jc w:val="left"/>
        <w:rPr>
          <w:rFonts w:hAnsi="宋体" w:cs="宋体"/>
          <w:szCs w:val="24"/>
          <w:highlight w:val="none"/>
        </w:rPr>
      </w:pPr>
      <w:r>
        <w:rPr>
          <w:rFonts w:hint="eastAsia" w:hAnsi="宋体" w:cs="宋体"/>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hAnsi="宋体" w:cs="宋体"/>
          <w:szCs w:val="24"/>
          <w:highlight w:val="none"/>
        </w:rPr>
        <w:t>http://www.ccgp.gov.cn/</w:t>
      </w:r>
      <w:r>
        <w:rPr>
          <w:rFonts w:hint="eastAsia" w:hAnsi="宋体" w:cs="宋体"/>
          <w:szCs w:val="24"/>
          <w:highlight w:val="none"/>
        </w:rPr>
        <w:fldChar w:fldCharType="end"/>
      </w:r>
      <w:r>
        <w:rPr>
          <w:rFonts w:hint="eastAsia" w:hAnsi="宋体" w:cs="宋体"/>
          <w:szCs w:val="24"/>
          <w:highlight w:val="none"/>
        </w:rPr>
        <w:t>）上查找。</w:t>
      </w:r>
    </w:p>
    <w:p w14:paraId="79507654">
      <w:pPr>
        <w:spacing w:line="500" w:lineRule="exact"/>
        <w:ind w:firstLine="480" w:firstLineChars="200"/>
        <w:jc w:val="left"/>
        <w:rPr>
          <w:rFonts w:hAnsi="宋体" w:cs="宋体"/>
          <w:szCs w:val="24"/>
          <w:highlight w:val="none"/>
        </w:rPr>
      </w:pPr>
      <w:r>
        <w:rPr>
          <w:rFonts w:hint="eastAsia" w:hAnsi="宋体" w:cs="宋体"/>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1ED86356">
      <w:pPr>
        <w:spacing w:line="500" w:lineRule="exact"/>
        <w:ind w:firstLine="600" w:firstLineChars="250"/>
        <w:rPr>
          <w:rFonts w:hAnsi="宋体" w:cs="宋体"/>
          <w:szCs w:val="24"/>
          <w:highlight w:val="none"/>
        </w:rPr>
      </w:pPr>
      <w:r>
        <w:rPr>
          <w:rFonts w:hint="eastAsia" w:hAnsi="宋体" w:cs="宋体"/>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6E67A697">
      <w:pPr>
        <w:spacing w:line="500" w:lineRule="exact"/>
        <w:ind w:firstLine="482" w:firstLineChars="200"/>
        <w:jc w:val="left"/>
        <w:rPr>
          <w:rFonts w:hAnsi="宋体" w:cs="宋体"/>
          <w:b/>
          <w:bCs/>
          <w:szCs w:val="24"/>
          <w:highlight w:val="none"/>
        </w:rPr>
      </w:pPr>
      <w:r>
        <w:rPr>
          <w:rFonts w:hint="eastAsia" w:hAnsi="宋体" w:cs="宋体"/>
          <w:b/>
          <w:bCs/>
          <w:szCs w:val="24"/>
          <w:highlight w:val="none"/>
        </w:rPr>
        <w:t>2、政策性扣减方式：</w:t>
      </w:r>
    </w:p>
    <w:p w14:paraId="196EF295">
      <w:pPr>
        <w:spacing w:line="500" w:lineRule="exact"/>
        <w:ind w:firstLine="480" w:firstLineChars="200"/>
        <w:jc w:val="left"/>
        <w:rPr>
          <w:rFonts w:hAnsi="宋体" w:cs="宋体"/>
          <w:szCs w:val="24"/>
          <w:highlight w:val="none"/>
        </w:rPr>
      </w:pPr>
      <w:r>
        <w:rPr>
          <w:rFonts w:hint="eastAsia" w:hAnsi="宋体" w:cs="宋体"/>
          <w:szCs w:val="24"/>
          <w:highlight w:val="none"/>
        </w:rPr>
        <w:t>2.1供应商为非联合体参与磋商的情况：</w:t>
      </w:r>
    </w:p>
    <w:p w14:paraId="505CFE31">
      <w:pPr>
        <w:spacing w:line="500" w:lineRule="exact"/>
        <w:ind w:firstLine="480" w:firstLineChars="200"/>
        <w:jc w:val="left"/>
        <w:rPr>
          <w:rFonts w:hAnsi="宋体" w:cs="宋体"/>
          <w:szCs w:val="24"/>
          <w:highlight w:val="none"/>
        </w:rPr>
      </w:pPr>
      <w:r>
        <w:rPr>
          <w:rFonts w:hint="eastAsia" w:hAnsi="宋体" w:cs="宋体"/>
          <w:szCs w:val="24"/>
          <w:highlight w:val="none"/>
        </w:rPr>
        <w:t>2.1.1在磋商最终报价的基础上，小型企业或达到小型企业划分标准的监狱企业（或残疾人福利性单位），按“磋商最终报价×10%”进行扣减；</w:t>
      </w:r>
    </w:p>
    <w:p w14:paraId="1A908342">
      <w:pPr>
        <w:spacing w:line="500" w:lineRule="exact"/>
        <w:ind w:firstLine="480" w:firstLineChars="200"/>
        <w:jc w:val="left"/>
        <w:rPr>
          <w:rFonts w:hAnsi="宋体" w:cs="宋体"/>
          <w:szCs w:val="24"/>
          <w:highlight w:val="none"/>
        </w:rPr>
      </w:pPr>
      <w:r>
        <w:rPr>
          <w:rFonts w:hint="eastAsia" w:hAnsi="宋体" w:cs="宋体"/>
          <w:szCs w:val="24"/>
          <w:highlight w:val="none"/>
        </w:rPr>
        <w:t>2.1.2在磋商最终报价的基础上，注册资金在十五万元以上的微型企业或注册资金在十五万元以上达到微型企业划分标准的监狱企业（或残疾人福利性单位），按“磋商最终报价×8%”进行扣减；</w:t>
      </w:r>
    </w:p>
    <w:p w14:paraId="35082C35">
      <w:pPr>
        <w:spacing w:line="500" w:lineRule="exact"/>
        <w:ind w:firstLine="480" w:firstLineChars="200"/>
        <w:jc w:val="left"/>
        <w:rPr>
          <w:rFonts w:hAnsi="宋体" w:cs="宋体"/>
          <w:szCs w:val="24"/>
          <w:highlight w:val="none"/>
        </w:rPr>
      </w:pPr>
      <w:r>
        <w:rPr>
          <w:rFonts w:hint="eastAsia" w:hAnsi="宋体" w:cs="宋体"/>
          <w:szCs w:val="24"/>
          <w:highlight w:val="none"/>
        </w:rPr>
        <w:t>2.1.3在磋商最终报价的基础上，注册资金在十五万元以下的微型企业或注册资金在十五万元以下达到微型企业划分标准的监狱企业（或残疾人福利性单位），按“磋商最终报价×10%”进行扣减。</w:t>
      </w:r>
    </w:p>
    <w:p w14:paraId="1594ADB2">
      <w:pPr>
        <w:spacing w:line="500" w:lineRule="exact"/>
        <w:ind w:firstLine="480" w:firstLineChars="200"/>
        <w:jc w:val="left"/>
        <w:rPr>
          <w:rFonts w:hAnsi="宋体" w:cs="宋体"/>
          <w:szCs w:val="24"/>
          <w:highlight w:val="none"/>
        </w:rPr>
      </w:pPr>
      <w:r>
        <w:rPr>
          <w:rFonts w:hint="eastAsia" w:hAnsi="宋体" w:cs="宋体"/>
          <w:szCs w:val="24"/>
          <w:highlight w:val="none"/>
        </w:rPr>
        <w:t>3、成交价格=成交供应商的有效磋商报价。</w:t>
      </w:r>
    </w:p>
    <w:p w14:paraId="03D8413C">
      <w:pPr>
        <w:pStyle w:val="10"/>
        <w:rPr>
          <w:rFonts w:ascii="宋体" w:hAnsi="宋体" w:cs="宋体"/>
          <w:highlight w:val="none"/>
        </w:rPr>
      </w:pPr>
    </w:p>
    <w:p w14:paraId="1A4B5DC9">
      <w:pPr>
        <w:numPr>
          <w:ilvl w:val="0"/>
          <w:numId w:val="6"/>
        </w:numPr>
        <w:spacing w:line="360" w:lineRule="auto"/>
        <w:ind w:firstLine="498" w:firstLineChars="200"/>
        <w:jc w:val="center"/>
        <w:outlineLvl w:val="1"/>
        <w:rPr>
          <w:rFonts w:hAnsi="宋体" w:cs="宋体"/>
          <w:b/>
          <w:szCs w:val="24"/>
          <w:highlight w:val="none"/>
        </w:rPr>
      </w:pPr>
      <w:r>
        <w:rPr>
          <w:rFonts w:hint="eastAsia" w:hAnsi="宋体" w:cs="宋体"/>
          <w:b/>
          <w:spacing w:val="4"/>
          <w:szCs w:val="24"/>
          <w:highlight w:val="none"/>
        </w:rPr>
        <w:br w:type="page"/>
      </w:r>
      <w:bookmarkStart w:id="88" w:name="_Toc28532"/>
      <w:bookmarkStart w:id="89" w:name="_Toc13330"/>
      <w:bookmarkStart w:id="90" w:name="_Toc23630"/>
      <w:bookmarkStart w:id="91" w:name="_Toc7147"/>
      <w:bookmarkStart w:id="92" w:name="_Toc4223"/>
      <w:r>
        <w:rPr>
          <w:rFonts w:hint="eastAsia" w:hAnsi="宋体" w:cs="宋体"/>
          <w:b/>
          <w:szCs w:val="24"/>
          <w:highlight w:val="none"/>
        </w:rPr>
        <w:t>评审要素和分值分解表</w:t>
      </w:r>
      <w:bookmarkEnd w:id="88"/>
      <w:bookmarkEnd w:id="89"/>
      <w:bookmarkEnd w:id="90"/>
      <w:bookmarkEnd w:id="91"/>
      <w:bookmarkEnd w:id="92"/>
    </w:p>
    <w:tbl>
      <w:tblPr>
        <w:tblStyle w:val="24"/>
        <w:tblW w:w="93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1276"/>
        <w:gridCol w:w="1297"/>
        <w:gridCol w:w="5962"/>
      </w:tblGrid>
      <w:tr w14:paraId="685E6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36" w:type="dxa"/>
            <w:vAlign w:val="center"/>
          </w:tcPr>
          <w:p w14:paraId="5859AA54">
            <w:pPr>
              <w:spacing w:line="480" w:lineRule="exact"/>
              <w:jc w:val="center"/>
              <w:rPr>
                <w:rFonts w:hAnsi="宋体" w:cs="宋体"/>
                <w:b/>
                <w:szCs w:val="24"/>
                <w:highlight w:val="none"/>
              </w:rPr>
            </w:pPr>
            <w:r>
              <w:rPr>
                <w:rFonts w:hint="eastAsia" w:hAnsi="宋体" w:cs="宋体"/>
                <w:b/>
                <w:szCs w:val="24"/>
                <w:highlight w:val="none"/>
              </w:rPr>
              <w:t>评分因素</w:t>
            </w:r>
          </w:p>
        </w:tc>
        <w:tc>
          <w:tcPr>
            <w:tcW w:w="1276" w:type="dxa"/>
            <w:vAlign w:val="center"/>
          </w:tcPr>
          <w:p w14:paraId="02E84F35">
            <w:pPr>
              <w:spacing w:line="480" w:lineRule="exact"/>
              <w:jc w:val="center"/>
              <w:rPr>
                <w:rFonts w:hAnsi="宋体" w:cs="宋体"/>
                <w:b/>
                <w:szCs w:val="24"/>
                <w:highlight w:val="none"/>
              </w:rPr>
            </w:pPr>
            <w:r>
              <w:rPr>
                <w:rFonts w:hint="eastAsia" w:hAnsi="宋体" w:cs="宋体"/>
                <w:b/>
                <w:szCs w:val="24"/>
                <w:highlight w:val="none"/>
              </w:rPr>
              <w:t>总分</w:t>
            </w:r>
          </w:p>
          <w:p w14:paraId="25334CF1">
            <w:pPr>
              <w:spacing w:line="480" w:lineRule="exact"/>
              <w:jc w:val="center"/>
              <w:rPr>
                <w:rFonts w:hAnsi="宋体" w:cs="宋体"/>
                <w:b/>
                <w:szCs w:val="24"/>
                <w:highlight w:val="none"/>
              </w:rPr>
            </w:pPr>
            <w:r>
              <w:rPr>
                <w:rFonts w:hint="eastAsia" w:hAnsi="宋体" w:cs="宋体"/>
                <w:b/>
                <w:szCs w:val="24"/>
                <w:highlight w:val="none"/>
              </w:rPr>
              <w:t>（100分）</w:t>
            </w:r>
          </w:p>
        </w:tc>
        <w:tc>
          <w:tcPr>
            <w:tcW w:w="1297" w:type="dxa"/>
            <w:vAlign w:val="center"/>
          </w:tcPr>
          <w:p w14:paraId="3C1B853B">
            <w:pPr>
              <w:spacing w:line="480" w:lineRule="exact"/>
              <w:jc w:val="center"/>
              <w:rPr>
                <w:rFonts w:hAnsi="宋体" w:cs="宋体"/>
                <w:b/>
                <w:szCs w:val="24"/>
                <w:highlight w:val="none"/>
              </w:rPr>
            </w:pPr>
            <w:r>
              <w:rPr>
                <w:rFonts w:hint="eastAsia" w:hAnsi="宋体" w:cs="宋体"/>
                <w:b/>
                <w:szCs w:val="24"/>
                <w:highlight w:val="none"/>
              </w:rPr>
              <w:t>评审要素</w:t>
            </w:r>
          </w:p>
        </w:tc>
        <w:tc>
          <w:tcPr>
            <w:tcW w:w="5962" w:type="dxa"/>
            <w:vAlign w:val="center"/>
          </w:tcPr>
          <w:p w14:paraId="06D30473">
            <w:pPr>
              <w:spacing w:line="480" w:lineRule="exact"/>
              <w:jc w:val="center"/>
              <w:rPr>
                <w:rFonts w:hAnsi="宋体" w:cs="宋体"/>
                <w:b/>
                <w:szCs w:val="24"/>
                <w:highlight w:val="none"/>
              </w:rPr>
            </w:pPr>
            <w:r>
              <w:rPr>
                <w:rFonts w:hint="eastAsia" w:hAnsi="宋体" w:cs="宋体"/>
                <w:b/>
                <w:szCs w:val="24"/>
                <w:highlight w:val="none"/>
              </w:rPr>
              <w:t>评分标准</w:t>
            </w:r>
          </w:p>
        </w:tc>
      </w:tr>
      <w:tr w14:paraId="72C66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6" w:type="dxa"/>
            <w:vMerge w:val="restart"/>
            <w:vAlign w:val="center"/>
          </w:tcPr>
          <w:p w14:paraId="086302AB">
            <w:pPr>
              <w:spacing w:line="480" w:lineRule="exact"/>
              <w:jc w:val="center"/>
              <w:rPr>
                <w:rFonts w:hAnsi="宋体" w:cs="宋体"/>
                <w:szCs w:val="24"/>
                <w:highlight w:val="none"/>
              </w:rPr>
            </w:pPr>
            <w:r>
              <w:rPr>
                <w:rFonts w:hint="eastAsia" w:hAnsi="宋体" w:cs="宋体"/>
                <w:szCs w:val="24"/>
                <w:highlight w:val="none"/>
              </w:rPr>
              <w:t>主观评分部分</w:t>
            </w:r>
          </w:p>
        </w:tc>
        <w:tc>
          <w:tcPr>
            <w:tcW w:w="1276" w:type="dxa"/>
            <w:vMerge w:val="restart"/>
            <w:vAlign w:val="center"/>
          </w:tcPr>
          <w:p w14:paraId="596A0CD9">
            <w:pPr>
              <w:spacing w:line="480" w:lineRule="exact"/>
              <w:jc w:val="center"/>
              <w:rPr>
                <w:rFonts w:hAnsi="宋体" w:cs="宋体"/>
                <w:szCs w:val="24"/>
                <w:highlight w:val="none"/>
              </w:rPr>
            </w:pPr>
            <w:r>
              <w:rPr>
                <w:rFonts w:hint="eastAsia" w:hAnsi="宋体" w:cs="宋体"/>
                <w:szCs w:val="24"/>
                <w:highlight w:val="none"/>
              </w:rPr>
              <w:t>（40分）</w:t>
            </w:r>
          </w:p>
        </w:tc>
        <w:tc>
          <w:tcPr>
            <w:tcW w:w="1297" w:type="dxa"/>
            <w:vAlign w:val="center"/>
          </w:tcPr>
          <w:p w14:paraId="547BB98C">
            <w:pPr>
              <w:spacing w:line="480" w:lineRule="exact"/>
              <w:jc w:val="center"/>
              <w:rPr>
                <w:rFonts w:hAnsi="宋体" w:cs="宋体"/>
                <w:szCs w:val="24"/>
                <w:highlight w:val="none"/>
              </w:rPr>
            </w:pPr>
            <w:r>
              <w:rPr>
                <w:rFonts w:hAnsi="宋体" w:cs="宋体"/>
                <w:szCs w:val="24"/>
                <w:highlight w:val="none"/>
                <w:lang w:bidi="ar"/>
              </w:rPr>
              <w:t>项目理解及总体服务实施方案</w:t>
            </w:r>
            <w:r>
              <w:rPr>
                <w:rFonts w:hint="eastAsia" w:hAnsi="宋体" w:cs="宋体"/>
                <w:szCs w:val="24"/>
                <w:highlight w:val="none"/>
              </w:rPr>
              <w:t>（12分）</w:t>
            </w:r>
          </w:p>
        </w:tc>
        <w:tc>
          <w:tcPr>
            <w:tcW w:w="5962" w:type="dxa"/>
            <w:vAlign w:val="center"/>
          </w:tcPr>
          <w:p w14:paraId="298A0C19">
            <w:pPr>
              <w:numPr>
                <w:ilvl w:val="0"/>
                <w:numId w:val="7"/>
              </w:numPr>
              <w:spacing w:line="480" w:lineRule="exact"/>
              <w:rPr>
                <w:rFonts w:hAnsi="宋体" w:cs="宋体"/>
                <w:szCs w:val="24"/>
                <w:highlight w:val="none"/>
              </w:rPr>
            </w:pPr>
            <w:r>
              <w:rPr>
                <w:rFonts w:hAnsi="宋体" w:cs="宋体"/>
                <w:szCs w:val="24"/>
                <w:highlight w:val="none"/>
              </w:rPr>
              <w:t>评审内容</w:t>
            </w:r>
          </w:p>
          <w:p w14:paraId="2FFEE590">
            <w:pPr>
              <w:spacing w:line="480" w:lineRule="exact"/>
              <w:rPr>
                <w:rFonts w:hAnsi="宋体" w:cs="宋体"/>
                <w:szCs w:val="24"/>
                <w:highlight w:val="none"/>
              </w:rPr>
            </w:pPr>
            <w:r>
              <w:rPr>
                <w:rFonts w:hAnsi="宋体" w:cs="宋体"/>
                <w:szCs w:val="24"/>
                <w:highlight w:val="none"/>
              </w:rPr>
              <w:t>针对本项目提出适用 于本项目的</w:t>
            </w:r>
            <w:r>
              <w:rPr>
                <w:rFonts w:hAnsi="宋体" w:cs="宋体"/>
                <w:szCs w:val="24"/>
                <w:highlight w:val="none"/>
                <w:lang w:bidi="ar"/>
              </w:rPr>
              <w:t>项目理解及总体服务实施方案</w:t>
            </w:r>
            <w:r>
              <w:rPr>
                <w:rFonts w:hAnsi="宋体" w:cs="宋体"/>
                <w:szCs w:val="24"/>
                <w:highlight w:val="none"/>
              </w:rPr>
              <w:t>，包括： ①</w:t>
            </w:r>
            <w:r>
              <w:rPr>
                <w:rFonts w:hAnsi="宋体" w:cs="宋体"/>
                <w:szCs w:val="24"/>
                <w:highlight w:val="none"/>
                <w:lang w:bidi="ar"/>
              </w:rPr>
              <w:t>对文博单位</w:t>
            </w:r>
            <w:r>
              <w:rPr>
                <w:rFonts w:hint="eastAsia" w:hAnsi="宋体" w:cs="宋体"/>
                <w:szCs w:val="24"/>
                <w:highlight w:val="none"/>
                <w:lang w:eastAsia="zh-CN" w:bidi="ar"/>
              </w:rPr>
              <w:t>网络生态</w:t>
            </w:r>
            <w:r>
              <w:rPr>
                <w:rFonts w:hAnsi="宋体" w:cs="宋体"/>
                <w:szCs w:val="24"/>
                <w:highlight w:val="none"/>
                <w:lang w:bidi="ar"/>
              </w:rPr>
              <w:t>业务理解</w:t>
            </w:r>
            <w:r>
              <w:rPr>
                <w:rFonts w:hAnsi="宋体" w:cs="宋体"/>
                <w:szCs w:val="24"/>
                <w:highlight w:val="none"/>
              </w:rPr>
              <w:t>②</w:t>
            </w:r>
            <w:r>
              <w:rPr>
                <w:rFonts w:hAnsi="宋体" w:cs="宋体"/>
                <w:szCs w:val="24"/>
                <w:highlight w:val="none"/>
                <w:lang w:bidi="ar"/>
              </w:rPr>
              <w:t>7×24人工预警机制</w:t>
            </w:r>
            <w:r>
              <w:rPr>
                <w:rFonts w:hAnsi="宋体" w:cs="宋体"/>
                <w:szCs w:val="24"/>
                <w:highlight w:val="none"/>
              </w:rPr>
              <w:t>③</w:t>
            </w:r>
            <w:r>
              <w:rPr>
                <w:rFonts w:hAnsi="宋体" w:cs="宋体"/>
                <w:szCs w:val="24"/>
                <w:highlight w:val="none"/>
                <w:lang w:bidi="ar"/>
              </w:rPr>
              <w:t>重大</w:t>
            </w:r>
            <w:r>
              <w:rPr>
                <w:rFonts w:hint="eastAsia" w:hAnsi="宋体" w:cs="宋体"/>
                <w:szCs w:val="24"/>
                <w:highlight w:val="none"/>
                <w:lang w:eastAsia="zh-CN" w:bidi="ar"/>
              </w:rPr>
              <w:t>网络生态</w:t>
            </w:r>
            <w:r>
              <w:rPr>
                <w:rFonts w:hAnsi="宋体" w:cs="宋体"/>
                <w:szCs w:val="24"/>
                <w:highlight w:val="none"/>
                <w:lang w:bidi="ar"/>
              </w:rPr>
              <w:t>处置流</w:t>
            </w:r>
            <w:r>
              <w:rPr>
                <w:rFonts w:hAnsi="宋体" w:cs="宋体"/>
                <w:szCs w:val="24"/>
                <w:highlight w:val="none"/>
              </w:rPr>
              <w:t>程</w:t>
            </w:r>
            <w:r>
              <w:rPr>
                <w:rFonts w:hint="eastAsia" w:hAnsi="宋体" w:cs="宋体"/>
                <w:szCs w:val="24"/>
                <w:highlight w:val="none"/>
              </w:rPr>
              <w:t>④</w:t>
            </w:r>
            <w:r>
              <w:rPr>
                <w:rFonts w:hAnsi="宋体" w:cs="宋体"/>
                <w:szCs w:val="24"/>
                <w:highlight w:val="none"/>
              </w:rPr>
              <w:t>突发</w:t>
            </w:r>
            <w:r>
              <w:rPr>
                <w:rFonts w:hAnsi="宋体" w:cs="宋体"/>
                <w:szCs w:val="24"/>
                <w:highlight w:val="none"/>
                <w:lang w:bidi="ar"/>
              </w:rPr>
              <w:t>事件处置闭环机制。</w:t>
            </w:r>
          </w:p>
          <w:p w14:paraId="60B98DEB">
            <w:pPr>
              <w:numPr>
                <w:ilvl w:val="0"/>
                <w:numId w:val="7"/>
              </w:numPr>
              <w:spacing w:line="480" w:lineRule="exact"/>
              <w:rPr>
                <w:rFonts w:hAnsi="宋体" w:cs="宋体"/>
                <w:szCs w:val="24"/>
                <w:highlight w:val="none"/>
              </w:rPr>
            </w:pPr>
            <w:r>
              <w:rPr>
                <w:rFonts w:hAnsi="宋体" w:cs="宋体"/>
                <w:szCs w:val="24"/>
                <w:highlight w:val="none"/>
              </w:rPr>
              <w:t xml:space="preserve">评审标准 </w:t>
            </w:r>
          </w:p>
          <w:p w14:paraId="49864A96">
            <w:pPr>
              <w:numPr>
                <w:ilvl w:val="0"/>
                <w:numId w:val="8"/>
              </w:numPr>
              <w:spacing w:line="480" w:lineRule="exact"/>
              <w:rPr>
                <w:rFonts w:hAnsi="宋体" w:cs="宋体"/>
                <w:szCs w:val="24"/>
                <w:highlight w:val="none"/>
              </w:rPr>
            </w:pPr>
            <w:r>
              <w:rPr>
                <w:rFonts w:hAnsi="宋体" w:cs="宋体"/>
                <w:szCs w:val="24"/>
                <w:highlight w:val="none"/>
              </w:rPr>
              <w:t>完整性： 方案必须全面，对评审内容中的各 项要求有详细描述； 2、可实施性 ：切合本项目实际情况，提出步骤 清晰、合理的方案； 3、针对性： 方案能够紧扣项目实际情况，内容科学合理。</w:t>
            </w:r>
          </w:p>
          <w:p w14:paraId="3FE82AA5">
            <w:pPr>
              <w:spacing w:line="480" w:lineRule="exact"/>
              <w:rPr>
                <w:rFonts w:hAnsi="宋体" w:cs="宋体"/>
                <w:szCs w:val="24"/>
                <w:highlight w:val="none"/>
              </w:rPr>
            </w:pPr>
            <w:r>
              <w:rPr>
                <w:rFonts w:hAnsi="宋体" w:cs="宋体"/>
                <w:szCs w:val="24"/>
                <w:highlight w:val="none"/>
              </w:rPr>
              <w:t xml:space="preserve"> 三、赋分标准（满分</w:t>
            </w:r>
            <w:r>
              <w:rPr>
                <w:rFonts w:hint="eastAsia" w:hAnsi="宋体" w:cs="宋体"/>
                <w:szCs w:val="24"/>
                <w:highlight w:val="none"/>
              </w:rPr>
              <w:t>12</w:t>
            </w:r>
            <w:r>
              <w:rPr>
                <w:rFonts w:hAnsi="宋体" w:cs="宋体"/>
                <w:szCs w:val="24"/>
                <w:highlight w:val="none"/>
              </w:rPr>
              <w:t>分）</w:t>
            </w:r>
          </w:p>
          <w:p w14:paraId="48B8C0BA">
            <w:pPr>
              <w:spacing w:line="480" w:lineRule="exact"/>
              <w:rPr>
                <w:rFonts w:hAnsi="宋体" w:cs="宋体"/>
                <w:szCs w:val="24"/>
                <w:highlight w:val="none"/>
              </w:rPr>
            </w:pPr>
            <w:r>
              <w:rPr>
                <w:rFonts w:hAnsi="宋体" w:cs="宋体"/>
                <w:szCs w:val="24"/>
                <w:highlight w:val="none"/>
              </w:rPr>
              <w:t xml:space="preserve"> ①</w:t>
            </w:r>
            <w:r>
              <w:rPr>
                <w:rFonts w:hAnsi="宋体" w:cs="宋体"/>
                <w:szCs w:val="24"/>
                <w:highlight w:val="none"/>
                <w:lang w:bidi="ar"/>
              </w:rPr>
              <w:t>对文博单位</w:t>
            </w:r>
            <w:r>
              <w:rPr>
                <w:rFonts w:hint="eastAsia" w:hAnsi="宋体" w:cs="宋体"/>
                <w:szCs w:val="24"/>
                <w:highlight w:val="none"/>
                <w:lang w:eastAsia="zh-CN" w:bidi="ar"/>
              </w:rPr>
              <w:t>网络生态</w:t>
            </w:r>
            <w:r>
              <w:rPr>
                <w:rFonts w:hAnsi="宋体" w:cs="宋体"/>
                <w:szCs w:val="24"/>
                <w:highlight w:val="none"/>
                <w:lang w:bidi="ar"/>
              </w:rPr>
              <w:t>业务理解</w:t>
            </w:r>
            <w:r>
              <w:rPr>
                <w:rFonts w:hAnsi="宋体" w:cs="宋体"/>
                <w:szCs w:val="24"/>
                <w:highlight w:val="none"/>
              </w:rPr>
              <w:t xml:space="preserve">：每完全满足一个评审标准得 </w:t>
            </w:r>
            <w:r>
              <w:rPr>
                <w:rFonts w:hint="eastAsia" w:hAnsi="宋体" w:cs="宋体"/>
                <w:szCs w:val="24"/>
                <w:highlight w:val="none"/>
              </w:rPr>
              <w:t>1</w:t>
            </w:r>
            <w:r>
              <w:rPr>
                <w:rFonts w:hAnsi="宋体" w:cs="宋体"/>
                <w:szCs w:val="24"/>
                <w:highlight w:val="none"/>
              </w:rPr>
              <w:t>分，满分</w:t>
            </w:r>
            <w:r>
              <w:rPr>
                <w:rFonts w:hint="eastAsia" w:hAnsi="宋体" w:cs="宋体"/>
                <w:szCs w:val="24"/>
                <w:highlight w:val="none"/>
              </w:rPr>
              <w:t>3</w:t>
            </w:r>
            <w:r>
              <w:rPr>
                <w:rFonts w:hAnsi="宋体" w:cs="宋体"/>
                <w:szCs w:val="24"/>
                <w:highlight w:val="none"/>
              </w:rPr>
              <w:t>分； ②</w:t>
            </w:r>
            <w:r>
              <w:rPr>
                <w:rFonts w:hAnsi="宋体" w:cs="宋体"/>
                <w:szCs w:val="24"/>
                <w:highlight w:val="none"/>
                <w:lang w:bidi="ar"/>
              </w:rPr>
              <w:t>7×24人工预警机制</w:t>
            </w:r>
            <w:r>
              <w:rPr>
                <w:rFonts w:hAnsi="宋体" w:cs="宋体"/>
                <w:szCs w:val="24"/>
                <w:highlight w:val="none"/>
              </w:rPr>
              <w:t xml:space="preserve">：每完全满足一个评审标准得 </w:t>
            </w:r>
            <w:r>
              <w:rPr>
                <w:rFonts w:hint="eastAsia" w:hAnsi="宋体" w:cs="宋体"/>
                <w:szCs w:val="24"/>
                <w:highlight w:val="none"/>
              </w:rPr>
              <w:t>1</w:t>
            </w:r>
            <w:r>
              <w:rPr>
                <w:rFonts w:hAnsi="宋体" w:cs="宋体"/>
                <w:szCs w:val="24"/>
                <w:highlight w:val="none"/>
              </w:rPr>
              <w:t>分，满分</w:t>
            </w:r>
            <w:r>
              <w:rPr>
                <w:rFonts w:hint="eastAsia" w:hAnsi="宋体" w:cs="宋体"/>
                <w:szCs w:val="24"/>
                <w:highlight w:val="none"/>
              </w:rPr>
              <w:t>3</w:t>
            </w:r>
            <w:r>
              <w:rPr>
                <w:rFonts w:hAnsi="宋体" w:cs="宋体"/>
                <w:szCs w:val="24"/>
                <w:highlight w:val="none"/>
              </w:rPr>
              <w:t>分；③</w:t>
            </w:r>
            <w:r>
              <w:rPr>
                <w:rFonts w:hAnsi="宋体" w:cs="宋体"/>
                <w:szCs w:val="24"/>
                <w:highlight w:val="none"/>
                <w:lang w:bidi="ar"/>
              </w:rPr>
              <w:t>重大</w:t>
            </w:r>
            <w:r>
              <w:rPr>
                <w:rFonts w:hint="eastAsia" w:hAnsi="宋体" w:cs="宋体"/>
                <w:szCs w:val="24"/>
                <w:highlight w:val="none"/>
                <w:lang w:eastAsia="zh-CN" w:bidi="ar"/>
              </w:rPr>
              <w:t>网络生态</w:t>
            </w:r>
            <w:r>
              <w:rPr>
                <w:rFonts w:hAnsi="宋体" w:cs="宋体"/>
                <w:szCs w:val="24"/>
                <w:highlight w:val="none"/>
                <w:lang w:bidi="ar"/>
              </w:rPr>
              <w:t>处置流程、突发事件处置闭环机制</w:t>
            </w:r>
            <w:r>
              <w:rPr>
                <w:rFonts w:hAnsi="宋体" w:cs="宋体"/>
                <w:szCs w:val="24"/>
                <w:highlight w:val="none"/>
              </w:rPr>
              <w:t>：每完全满足一个评审标准得1 分，满分3分</w:t>
            </w:r>
            <w:r>
              <w:rPr>
                <w:rFonts w:hint="eastAsia" w:hAnsi="宋体" w:cs="宋体"/>
                <w:szCs w:val="24"/>
                <w:highlight w:val="none"/>
              </w:rPr>
              <w:t>；④</w:t>
            </w:r>
            <w:r>
              <w:rPr>
                <w:rFonts w:hAnsi="宋体" w:cs="宋体"/>
                <w:szCs w:val="24"/>
                <w:highlight w:val="none"/>
              </w:rPr>
              <w:t>突发</w:t>
            </w:r>
            <w:r>
              <w:rPr>
                <w:rFonts w:hAnsi="宋体" w:cs="宋体"/>
                <w:szCs w:val="24"/>
                <w:highlight w:val="none"/>
                <w:lang w:bidi="ar"/>
              </w:rPr>
              <w:t>事件处置闭环机制</w:t>
            </w:r>
            <w:r>
              <w:rPr>
                <w:rFonts w:hint="eastAsia" w:hAnsi="宋体" w:cs="宋体"/>
                <w:szCs w:val="24"/>
                <w:highlight w:val="none"/>
                <w:lang w:bidi="ar"/>
              </w:rPr>
              <w:t>：</w:t>
            </w:r>
            <w:r>
              <w:rPr>
                <w:rFonts w:hAnsi="宋体" w:cs="宋体"/>
                <w:szCs w:val="24"/>
                <w:highlight w:val="none"/>
              </w:rPr>
              <w:t xml:space="preserve">每完全满足一个 评审标准得 </w:t>
            </w:r>
            <w:r>
              <w:rPr>
                <w:rFonts w:hint="eastAsia" w:hAnsi="宋体" w:cs="宋体"/>
                <w:szCs w:val="24"/>
                <w:highlight w:val="none"/>
              </w:rPr>
              <w:t>1</w:t>
            </w:r>
            <w:r>
              <w:rPr>
                <w:rFonts w:hAnsi="宋体" w:cs="宋体"/>
                <w:szCs w:val="24"/>
                <w:highlight w:val="none"/>
              </w:rPr>
              <w:t>分，满分</w:t>
            </w:r>
            <w:r>
              <w:rPr>
                <w:rFonts w:hint="eastAsia" w:hAnsi="宋体" w:cs="宋体"/>
                <w:szCs w:val="24"/>
                <w:highlight w:val="none"/>
              </w:rPr>
              <w:t>3</w:t>
            </w:r>
            <w:r>
              <w:rPr>
                <w:rFonts w:hAnsi="宋体" w:cs="宋体"/>
                <w:szCs w:val="24"/>
                <w:highlight w:val="none"/>
              </w:rPr>
              <w:t>分</w:t>
            </w:r>
            <w:r>
              <w:rPr>
                <w:rFonts w:hint="eastAsia" w:hAnsi="宋体" w:cs="宋体"/>
                <w:szCs w:val="24"/>
                <w:highlight w:val="none"/>
              </w:rPr>
              <w:t>。</w:t>
            </w:r>
          </w:p>
        </w:tc>
      </w:tr>
      <w:tr w14:paraId="0963F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836" w:type="dxa"/>
            <w:vMerge w:val="continue"/>
            <w:vAlign w:val="center"/>
          </w:tcPr>
          <w:p w14:paraId="41B6D3A1">
            <w:pPr>
              <w:spacing w:line="480" w:lineRule="exact"/>
              <w:jc w:val="center"/>
              <w:rPr>
                <w:rFonts w:hAnsi="宋体" w:cs="宋体"/>
                <w:szCs w:val="24"/>
                <w:highlight w:val="none"/>
              </w:rPr>
            </w:pPr>
          </w:p>
        </w:tc>
        <w:tc>
          <w:tcPr>
            <w:tcW w:w="1276" w:type="dxa"/>
            <w:vMerge w:val="continue"/>
            <w:vAlign w:val="center"/>
          </w:tcPr>
          <w:p w14:paraId="1DE19F88">
            <w:pPr>
              <w:spacing w:line="480" w:lineRule="exact"/>
              <w:jc w:val="center"/>
              <w:rPr>
                <w:rFonts w:hAnsi="宋体" w:cs="宋体"/>
                <w:szCs w:val="24"/>
                <w:highlight w:val="none"/>
              </w:rPr>
            </w:pPr>
          </w:p>
        </w:tc>
        <w:tc>
          <w:tcPr>
            <w:tcW w:w="1297" w:type="dxa"/>
            <w:vAlign w:val="center"/>
          </w:tcPr>
          <w:p w14:paraId="73B1E84A">
            <w:pPr>
              <w:spacing w:line="480" w:lineRule="exact"/>
              <w:jc w:val="center"/>
              <w:rPr>
                <w:rFonts w:hAnsi="宋体" w:cs="宋体"/>
                <w:szCs w:val="24"/>
                <w:highlight w:val="none"/>
              </w:rPr>
            </w:pPr>
            <w:r>
              <w:rPr>
                <w:rFonts w:hAnsi="宋体" w:cs="宋体"/>
                <w:szCs w:val="24"/>
                <w:highlight w:val="none"/>
                <w:lang w:bidi="ar"/>
              </w:rPr>
              <w:t>质量保障、数据保密与数据安全方案</w:t>
            </w:r>
            <w:r>
              <w:rPr>
                <w:rFonts w:hint="eastAsia" w:hAnsi="宋体" w:cs="宋体"/>
                <w:szCs w:val="24"/>
                <w:highlight w:val="none"/>
              </w:rPr>
              <w:t>（9分）</w:t>
            </w:r>
          </w:p>
        </w:tc>
        <w:tc>
          <w:tcPr>
            <w:tcW w:w="5962" w:type="dxa"/>
            <w:vAlign w:val="center"/>
          </w:tcPr>
          <w:p w14:paraId="0B294E74">
            <w:pPr>
              <w:numPr>
                <w:ilvl w:val="0"/>
                <w:numId w:val="9"/>
              </w:numPr>
              <w:spacing w:line="360" w:lineRule="auto"/>
              <w:rPr>
                <w:rFonts w:hAnsi="宋体" w:cs="宋体"/>
                <w:szCs w:val="24"/>
                <w:highlight w:val="none"/>
              </w:rPr>
            </w:pPr>
            <w:r>
              <w:rPr>
                <w:rFonts w:hint="eastAsia" w:hAnsi="宋体" w:cs="宋体"/>
                <w:szCs w:val="24"/>
                <w:highlight w:val="none"/>
              </w:rPr>
              <w:t>评审内容 针对本项目提出适用于本项目的</w:t>
            </w:r>
            <w:r>
              <w:rPr>
                <w:rFonts w:hAnsi="宋体" w:cs="宋体"/>
                <w:szCs w:val="24"/>
                <w:highlight w:val="none"/>
                <w:lang w:bidi="ar"/>
              </w:rPr>
              <w:t>质量保障、数据保密与数据安全方案</w:t>
            </w:r>
            <w:r>
              <w:rPr>
                <w:rFonts w:hint="eastAsia" w:hAnsi="宋体" w:cs="宋体"/>
                <w:szCs w:val="24"/>
                <w:highlight w:val="none"/>
              </w:rPr>
              <w:t>，包括：①</w:t>
            </w:r>
            <w:r>
              <w:rPr>
                <w:rFonts w:hAnsi="宋体" w:cs="宋体"/>
                <w:szCs w:val="24"/>
                <w:highlight w:val="none"/>
                <w:lang w:bidi="ar"/>
              </w:rPr>
              <w:t>漏报误报防控机制</w:t>
            </w:r>
            <w:r>
              <w:rPr>
                <w:rFonts w:hint="eastAsia" w:hAnsi="宋体" w:cs="宋体"/>
                <w:szCs w:val="24"/>
                <w:highlight w:val="none"/>
              </w:rPr>
              <w:t>②</w:t>
            </w:r>
            <w:r>
              <w:rPr>
                <w:rFonts w:hAnsi="宋体" w:cs="宋体"/>
                <w:szCs w:val="24"/>
                <w:highlight w:val="none"/>
                <w:lang w:bidi="ar"/>
              </w:rPr>
              <w:t>数据保密管控、数据禁止向第三方泄露承诺</w:t>
            </w:r>
            <w:r>
              <w:rPr>
                <w:rFonts w:hint="eastAsia" w:hAnsi="宋体" w:cs="宋体"/>
                <w:szCs w:val="24"/>
                <w:highlight w:val="none"/>
              </w:rPr>
              <w:t>③</w:t>
            </w:r>
            <w:r>
              <w:rPr>
                <w:rFonts w:hAnsi="宋体" w:cs="宋体"/>
                <w:szCs w:val="24"/>
                <w:highlight w:val="none"/>
                <w:lang w:bidi="ar"/>
              </w:rPr>
              <w:t>知识产权合规、不少于18个月历史数据回溯保障、网络安全合规</w:t>
            </w:r>
            <w:r>
              <w:rPr>
                <w:rFonts w:hint="eastAsia" w:hAnsi="宋体" w:cs="宋体"/>
                <w:szCs w:val="24"/>
                <w:highlight w:val="none"/>
              </w:rPr>
              <w:t xml:space="preserve"> </w:t>
            </w:r>
          </w:p>
          <w:p w14:paraId="4AB37D73">
            <w:pPr>
              <w:numPr>
                <w:ilvl w:val="0"/>
                <w:numId w:val="9"/>
              </w:numPr>
              <w:spacing w:line="360" w:lineRule="auto"/>
              <w:rPr>
                <w:rFonts w:hAnsi="宋体" w:cs="宋体"/>
                <w:szCs w:val="24"/>
                <w:highlight w:val="none"/>
              </w:rPr>
            </w:pPr>
            <w:r>
              <w:rPr>
                <w:rFonts w:hint="eastAsia" w:hAnsi="宋体" w:cs="宋体"/>
                <w:szCs w:val="24"/>
                <w:highlight w:val="none"/>
              </w:rPr>
              <w:t>评审标准</w:t>
            </w:r>
          </w:p>
          <w:p w14:paraId="62E07F4A">
            <w:pPr>
              <w:spacing w:line="360" w:lineRule="auto"/>
              <w:rPr>
                <w:rFonts w:hAnsi="宋体" w:cs="宋体"/>
                <w:szCs w:val="24"/>
                <w:highlight w:val="none"/>
              </w:rPr>
            </w:pPr>
            <w:r>
              <w:rPr>
                <w:rFonts w:hint="eastAsia" w:hAnsi="宋体" w:cs="宋体"/>
                <w:szCs w:val="24"/>
                <w:highlight w:val="none"/>
              </w:rPr>
              <w:t xml:space="preserve"> 1、完整性：方案必须全面，对评审内容中的各项要求有详细描述； 2、可实施性：切合本项目实际情况，提出步骤清晰、合理的方案； 3、针对性：方案能够紧扣项目实际情况，内容科学合理。 </w:t>
            </w:r>
          </w:p>
          <w:p w14:paraId="598023E8">
            <w:pPr>
              <w:numPr>
                <w:ilvl w:val="0"/>
                <w:numId w:val="9"/>
              </w:numPr>
              <w:spacing w:line="360" w:lineRule="auto"/>
              <w:rPr>
                <w:highlight w:val="none"/>
              </w:rPr>
            </w:pPr>
            <w:r>
              <w:rPr>
                <w:rFonts w:hint="eastAsia" w:hAnsi="宋体" w:cs="宋体"/>
                <w:szCs w:val="24"/>
                <w:highlight w:val="none"/>
              </w:rPr>
              <w:t>赋分标准（满分9分）</w:t>
            </w:r>
          </w:p>
          <w:p w14:paraId="23EE55F2">
            <w:pPr>
              <w:spacing w:line="360" w:lineRule="auto"/>
              <w:rPr>
                <w:highlight w:val="none"/>
              </w:rPr>
            </w:pPr>
            <w:r>
              <w:rPr>
                <w:rFonts w:hint="eastAsia" w:hAnsi="宋体" w:cs="宋体"/>
                <w:szCs w:val="24"/>
                <w:highlight w:val="none"/>
              </w:rPr>
              <w:t xml:space="preserve"> ①</w:t>
            </w:r>
            <w:r>
              <w:rPr>
                <w:rFonts w:hAnsi="宋体" w:cs="宋体"/>
                <w:szCs w:val="24"/>
                <w:highlight w:val="none"/>
                <w:lang w:bidi="ar"/>
              </w:rPr>
              <w:t>漏报误报防控机制</w:t>
            </w:r>
            <w:r>
              <w:rPr>
                <w:rFonts w:hint="eastAsia" w:hAnsi="宋体" w:cs="宋体"/>
                <w:szCs w:val="24"/>
                <w:highlight w:val="none"/>
              </w:rPr>
              <w:t>：每完全满足一个评审标准得1分，满分3分；②</w:t>
            </w:r>
            <w:r>
              <w:rPr>
                <w:rFonts w:hAnsi="宋体" w:cs="宋体"/>
                <w:szCs w:val="24"/>
                <w:highlight w:val="none"/>
                <w:lang w:bidi="ar"/>
              </w:rPr>
              <w:t>数据保密管控、数据禁止向第三方泄露承诺</w:t>
            </w:r>
            <w:r>
              <w:rPr>
                <w:rFonts w:hint="eastAsia" w:hAnsi="宋体" w:cs="宋体"/>
                <w:szCs w:val="24"/>
                <w:highlight w:val="none"/>
              </w:rPr>
              <w:t>：每完全满足一个评审标准得1分，满分3分；③</w:t>
            </w:r>
            <w:r>
              <w:rPr>
                <w:rFonts w:hAnsi="宋体" w:cs="宋体"/>
                <w:szCs w:val="24"/>
                <w:highlight w:val="none"/>
                <w:lang w:bidi="ar"/>
              </w:rPr>
              <w:t>知识产权合规、不少于18个月历史数据回溯保障、网络安全合规</w:t>
            </w:r>
            <w:r>
              <w:rPr>
                <w:rFonts w:hint="eastAsia" w:hAnsi="宋体" w:cs="宋体"/>
                <w:szCs w:val="24"/>
                <w:highlight w:val="none"/>
              </w:rPr>
              <w:t xml:space="preserve"> ：每完全满足一个评审标准得1分，满分3分。</w:t>
            </w:r>
          </w:p>
        </w:tc>
      </w:tr>
      <w:tr w14:paraId="4E385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836" w:type="dxa"/>
            <w:vMerge w:val="continue"/>
            <w:vAlign w:val="center"/>
          </w:tcPr>
          <w:p w14:paraId="5AF4D202">
            <w:pPr>
              <w:spacing w:line="480" w:lineRule="exact"/>
              <w:jc w:val="center"/>
              <w:rPr>
                <w:rFonts w:hAnsi="宋体" w:cs="宋体"/>
                <w:szCs w:val="24"/>
                <w:highlight w:val="none"/>
              </w:rPr>
            </w:pPr>
          </w:p>
        </w:tc>
        <w:tc>
          <w:tcPr>
            <w:tcW w:w="1276" w:type="dxa"/>
            <w:vMerge w:val="continue"/>
            <w:vAlign w:val="center"/>
          </w:tcPr>
          <w:p w14:paraId="7D298F6F">
            <w:pPr>
              <w:spacing w:line="480" w:lineRule="exact"/>
              <w:jc w:val="center"/>
              <w:rPr>
                <w:rFonts w:hAnsi="宋体" w:cs="宋体"/>
                <w:szCs w:val="24"/>
                <w:highlight w:val="none"/>
              </w:rPr>
            </w:pPr>
          </w:p>
        </w:tc>
        <w:tc>
          <w:tcPr>
            <w:tcW w:w="1297" w:type="dxa"/>
            <w:vAlign w:val="center"/>
          </w:tcPr>
          <w:p w14:paraId="3E708711">
            <w:pPr>
              <w:spacing w:line="480" w:lineRule="exact"/>
              <w:jc w:val="center"/>
              <w:rPr>
                <w:rFonts w:hAnsi="宋体" w:cs="宋体"/>
                <w:szCs w:val="24"/>
                <w:highlight w:val="none"/>
              </w:rPr>
            </w:pPr>
            <w:r>
              <w:rPr>
                <w:rFonts w:hAnsi="宋体" w:cs="宋体"/>
                <w:szCs w:val="24"/>
                <w:highlight w:val="none"/>
                <w:lang w:bidi="ar"/>
              </w:rPr>
              <w:t>培训</w:t>
            </w:r>
            <w:r>
              <w:rPr>
                <w:rFonts w:hint="eastAsia" w:hAnsi="宋体" w:cs="宋体"/>
                <w:szCs w:val="24"/>
                <w:highlight w:val="none"/>
                <w:lang w:bidi="ar"/>
              </w:rPr>
              <w:t>及</w:t>
            </w:r>
            <w:r>
              <w:rPr>
                <w:rFonts w:hAnsi="宋体" w:cs="宋体"/>
                <w:szCs w:val="24"/>
                <w:highlight w:val="none"/>
                <w:lang w:bidi="ar"/>
              </w:rPr>
              <w:t>应急方案</w:t>
            </w:r>
            <w:r>
              <w:rPr>
                <w:rFonts w:hint="eastAsia" w:hAnsi="宋体" w:cs="宋体"/>
                <w:szCs w:val="24"/>
                <w:highlight w:val="none"/>
              </w:rPr>
              <w:t>（9分）</w:t>
            </w:r>
          </w:p>
        </w:tc>
        <w:tc>
          <w:tcPr>
            <w:tcW w:w="5962" w:type="dxa"/>
            <w:vAlign w:val="center"/>
          </w:tcPr>
          <w:p w14:paraId="7DFA66D2">
            <w:pPr>
              <w:numPr>
                <w:ilvl w:val="0"/>
                <w:numId w:val="10"/>
              </w:numPr>
              <w:spacing w:line="480" w:lineRule="exact"/>
              <w:rPr>
                <w:rFonts w:hAnsi="宋体" w:cs="宋体"/>
                <w:szCs w:val="24"/>
                <w:highlight w:val="none"/>
              </w:rPr>
            </w:pPr>
            <w:r>
              <w:rPr>
                <w:rFonts w:hint="eastAsia" w:hAnsi="宋体" w:cs="宋体"/>
                <w:szCs w:val="24"/>
                <w:highlight w:val="none"/>
              </w:rPr>
              <w:t>评审内容 针对采购需求提出适用于本项目的</w:t>
            </w:r>
            <w:r>
              <w:rPr>
                <w:rFonts w:hAnsi="宋体" w:cs="宋体"/>
                <w:szCs w:val="24"/>
                <w:highlight w:val="none"/>
                <w:lang w:bidi="ar"/>
              </w:rPr>
              <w:t>培训</w:t>
            </w:r>
            <w:r>
              <w:rPr>
                <w:rFonts w:hint="eastAsia" w:hAnsi="宋体" w:cs="宋体"/>
                <w:szCs w:val="24"/>
                <w:highlight w:val="none"/>
                <w:lang w:bidi="ar"/>
              </w:rPr>
              <w:t>及</w:t>
            </w:r>
            <w:r>
              <w:rPr>
                <w:rFonts w:hAnsi="宋体" w:cs="宋体"/>
                <w:szCs w:val="24"/>
                <w:highlight w:val="none"/>
                <w:lang w:bidi="ar"/>
              </w:rPr>
              <w:t>应急方案</w:t>
            </w:r>
            <w:r>
              <w:rPr>
                <w:rFonts w:hint="eastAsia" w:hAnsi="宋体" w:cs="宋体"/>
                <w:szCs w:val="24"/>
                <w:highlight w:val="none"/>
              </w:rPr>
              <w:t>，方案包括：①</w:t>
            </w:r>
            <w:r>
              <w:rPr>
                <w:rFonts w:hAnsi="宋体" w:cs="宋体"/>
                <w:szCs w:val="24"/>
                <w:highlight w:val="none"/>
                <w:lang w:bidi="ar"/>
              </w:rPr>
              <w:t>每年不少于3次针对性</w:t>
            </w:r>
            <w:r>
              <w:rPr>
                <w:rFonts w:hint="eastAsia" w:hAnsi="宋体" w:cs="宋体"/>
                <w:szCs w:val="24"/>
                <w:highlight w:val="none"/>
                <w:lang w:eastAsia="zh-CN" w:bidi="ar"/>
              </w:rPr>
              <w:t>网络生态</w:t>
            </w:r>
            <w:r>
              <w:rPr>
                <w:rFonts w:hAnsi="宋体" w:cs="宋体"/>
                <w:szCs w:val="24"/>
                <w:highlight w:val="none"/>
                <w:lang w:bidi="ar"/>
              </w:rPr>
              <w:t>培训</w:t>
            </w:r>
            <w:r>
              <w:rPr>
                <w:rFonts w:hint="eastAsia" w:hAnsi="宋体" w:cs="宋体"/>
                <w:szCs w:val="24"/>
                <w:highlight w:val="none"/>
              </w:rPr>
              <w:t>②</w:t>
            </w:r>
            <w:r>
              <w:rPr>
                <w:rFonts w:hAnsi="宋体" w:cs="宋体"/>
                <w:szCs w:val="24"/>
                <w:highlight w:val="none"/>
                <w:lang w:bidi="ar"/>
              </w:rPr>
              <w:t>整体性</w:t>
            </w:r>
            <w:r>
              <w:rPr>
                <w:rFonts w:hint="eastAsia" w:hAnsi="宋体" w:cs="宋体"/>
                <w:szCs w:val="24"/>
                <w:highlight w:val="none"/>
                <w:lang w:eastAsia="zh-CN" w:bidi="ar"/>
              </w:rPr>
              <w:t>网络生态</w:t>
            </w:r>
            <w:r>
              <w:rPr>
                <w:rFonts w:hAnsi="宋体" w:cs="宋体"/>
                <w:szCs w:val="24"/>
                <w:highlight w:val="none"/>
                <w:lang w:bidi="ar"/>
              </w:rPr>
              <w:t>应急预案</w:t>
            </w:r>
            <w:r>
              <w:rPr>
                <w:rFonts w:hint="eastAsia" w:hAnsi="宋体" w:cs="宋体"/>
                <w:szCs w:val="24"/>
                <w:highlight w:val="none"/>
              </w:rPr>
              <w:t xml:space="preserve">③总体培训方案 </w:t>
            </w:r>
          </w:p>
          <w:p w14:paraId="0A4789B8">
            <w:pPr>
              <w:numPr>
                <w:ilvl w:val="0"/>
                <w:numId w:val="10"/>
              </w:numPr>
              <w:spacing w:line="480" w:lineRule="exact"/>
              <w:rPr>
                <w:rFonts w:hAnsi="宋体" w:cs="宋体"/>
                <w:szCs w:val="24"/>
                <w:highlight w:val="none"/>
              </w:rPr>
            </w:pPr>
            <w:r>
              <w:rPr>
                <w:rFonts w:hint="eastAsia" w:hAnsi="宋体" w:cs="宋体"/>
                <w:szCs w:val="24"/>
                <w:highlight w:val="none"/>
              </w:rPr>
              <w:t xml:space="preserve">评审标准 </w:t>
            </w:r>
          </w:p>
          <w:p w14:paraId="757AFC08">
            <w:pPr>
              <w:numPr>
                <w:ilvl w:val="0"/>
                <w:numId w:val="11"/>
              </w:numPr>
              <w:spacing w:line="480" w:lineRule="exact"/>
              <w:rPr>
                <w:rFonts w:hAnsi="宋体" w:cs="宋体"/>
                <w:szCs w:val="24"/>
                <w:highlight w:val="none"/>
              </w:rPr>
            </w:pPr>
            <w:r>
              <w:rPr>
                <w:rFonts w:hint="eastAsia" w:hAnsi="宋体" w:cs="宋体"/>
                <w:szCs w:val="24"/>
                <w:highlight w:val="none"/>
              </w:rPr>
              <w:t>完整性：方案必须全面，对评审内容中的各项要求有详细描述； 2、可实施性：切合本项目实际情况，提出步骤清晰、合理的方案； 3、针对性：方案能够紧扣项目实际情况，内容科学合理。</w:t>
            </w:r>
          </w:p>
          <w:p w14:paraId="0A23B4D9">
            <w:pPr>
              <w:numPr>
                <w:ilvl w:val="0"/>
                <w:numId w:val="10"/>
              </w:numPr>
              <w:spacing w:line="480" w:lineRule="exact"/>
              <w:rPr>
                <w:rFonts w:hAnsi="宋体" w:cs="宋体"/>
                <w:szCs w:val="24"/>
                <w:highlight w:val="none"/>
              </w:rPr>
            </w:pPr>
            <w:r>
              <w:rPr>
                <w:rFonts w:hint="eastAsia" w:hAnsi="宋体" w:cs="宋体"/>
                <w:szCs w:val="24"/>
                <w:highlight w:val="none"/>
              </w:rPr>
              <w:t>赋分标准（满分9分）</w:t>
            </w:r>
          </w:p>
          <w:p w14:paraId="16DD98B7">
            <w:pPr>
              <w:spacing w:line="480" w:lineRule="exact"/>
              <w:rPr>
                <w:rFonts w:hAnsi="宋体" w:cs="宋体"/>
                <w:szCs w:val="24"/>
                <w:highlight w:val="none"/>
              </w:rPr>
            </w:pPr>
            <w:r>
              <w:rPr>
                <w:rFonts w:hint="eastAsia" w:hAnsi="宋体" w:cs="宋体"/>
                <w:szCs w:val="24"/>
                <w:highlight w:val="none"/>
              </w:rPr>
              <w:t xml:space="preserve"> ①</w:t>
            </w:r>
            <w:r>
              <w:rPr>
                <w:rFonts w:hAnsi="宋体" w:cs="宋体"/>
                <w:szCs w:val="24"/>
                <w:highlight w:val="none"/>
                <w:lang w:bidi="ar"/>
              </w:rPr>
              <w:t>每年不少于3次针对性</w:t>
            </w:r>
            <w:r>
              <w:rPr>
                <w:rFonts w:hint="eastAsia" w:hAnsi="宋体" w:cs="宋体"/>
                <w:szCs w:val="24"/>
                <w:highlight w:val="none"/>
                <w:lang w:eastAsia="zh-CN" w:bidi="ar"/>
              </w:rPr>
              <w:t>网络生态</w:t>
            </w:r>
            <w:r>
              <w:rPr>
                <w:rFonts w:hAnsi="宋体" w:cs="宋体"/>
                <w:szCs w:val="24"/>
                <w:highlight w:val="none"/>
                <w:lang w:bidi="ar"/>
              </w:rPr>
              <w:t>培训</w:t>
            </w:r>
            <w:r>
              <w:rPr>
                <w:rFonts w:hint="eastAsia" w:hAnsi="宋体" w:cs="宋体"/>
                <w:szCs w:val="24"/>
                <w:highlight w:val="none"/>
              </w:rPr>
              <w:t>：每完全满足一个评审标准得1分，满分3分； ②</w:t>
            </w:r>
            <w:r>
              <w:rPr>
                <w:rFonts w:hAnsi="宋体" w:cs="宋体"/>
                <w:szCs w:val="24"/>
                <w:highlight w:val="none"/>
                <w:lang w:bidi="ar"/>
              </w:rPr>
              <w:t>整体性</w:t>
            </w:r>
            <w:r>
              <w:rPr>
                <w:rFonts w:hint="eastAsia" w:hAnsi="宋体" w:cs="宋体"/>
                <w:szCs w:val="24"/>
                <w:highlight w:val="none"/>
                <w:lang w:eastAsia="zh-CN" w:bidi="ar"/>
              </w:rPr>
              <w:t>网络生态</w:t>
            </w:r>
            <w:r>
              <w:rPr>
                <w:rFonts w:hAnsi="宋体" w:cs="宋体"/>
                <w:szCs w:val="24"/>
                <w:highlight w:val="none"/>
                <w:lang w:bidi="ar"/>
              </w:rPr>
              <w:t>应急预案</w:t>
            </w:r>
            <w:r>
              <w:rPr>
                <w:rFonts w:hint="eastAsia" w:hAnsi="宋体" w:cs="宋体"/>
                <w:szCs w:val="24"/>
                <w:highlight w:val="none"/>
              </w:rPr>
              <w:t>：每完全满足一个评审标准得1分，满分3分； ③总体培训方案：每完全满足一个评审标准得1分，满分3分。</w:t>
            </w:r>
          </w:p>
        </w:tc>
      </w:tr>
      <w:tr w14:paraId="2A639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36" w:type="dxa"/>
            <w:vMerge w:val="continue"/>
            <w:vAlign w:val="center"/>
          </w:tcPr>
          <w:p w14:paraId="62F7BF26">
            <w:pPr>
              <w:spacing w:line="480" w:lineRule="exact"/>
              <w:jc w:val="center"/>
              <w:rPr>
                <w:rFonts w:hAnsi="宋体" w:cs="宋体"/>
                <w:szCs w:val="24"/>
                <w:highlight w:val="none"/>
              </w:rPr>
            </w:pPr>
          </w:p>
        </w:tc>
        <w:tc>
          <w:tcPr>
            <w:tcW w:w="1276" w:type="dxa"/>
            <w:vMerge w:val="continue"/>
            <w:vAlign w:val="center"/>
          </w:tcPr>
          <w:p w14:paraId="556CF769">
            <w:pPr>
              <w:spacing w:line="480" w:lineRule="exact"/>
              <w:jc w:val="center"/>
              <w:rPr>
                <w:rFonts w:hAnsi="宋体" w:cs="宋体"/>
                <w:szCs w:val="24"/>
                <w:highlight w:val="none"/>
              </w:rPr>
            </w:pPr>
          </w:p>
        </w:tc>
        <w:tc>
          <w:tcPr>
            <w:tcW w:w="1297" w:type="dxa"/>
            <w:vAlign w:val="center"/>
          </w:tcPr>
          <w:p w14:paraId="505C527B">
            <w:pPr>
              <w:spacing w:line="480" w:lineRule="exact"/>
              <w:jc w:val="center"/>
              <w:rPr>
                <w:rFonts w:hAnsi="宋体" w:cs="宋体"/>
                <w:szCs w:val="24"/>
                <w:highlight w:val="none"/>
              </w:rPr>
            </w:pPr>
            <w:r>
              <w:rPr>
                <w:rFonts w:hAnsi="宋体" w:cs="宋体"/>
                <w:szCs w:val="24"/>
                <w:highlight w:val="none"/>
                <w:lang w:bidi="ar"/>
              </w:rPr>
              <w:t>全周期项目服务保障</w:t>
            </w:r>
            <w:r>
              <w:rPr>
                <w:rFonts w:hint="eastAsia" w:hAnsi="宋体" w:cs="宋体"/>
                <w:szCs w:val="24"/>
                <w:highlight w:val="none"/>
                <w:lang w:bidi="ar"/>
              </w:rPr>
              <w:t>方案</w:t>
            </w:r>
            <w:r>
              <w:rPr>
                <w:rFonts w:hint="eastAsia" w:hAnsi="宋体" w:cs="宋体"/>
                <w:szCs w:val="24"/>
                <w:highlight w:val="none"/>
              </w:rPr>
              <w:t>（10分）</w:t>
            </w:r>
          </w:p>
        </w:tc>
        <w:tc>
          <w:tcPr>
            <w:tcW w:w="5962" w:type="dxa"/>
            <w:vAlign w:val="center"/>
          </w:tcPr>
          <w:p w14:paraId="00D522A3">
            <w:pPr>
              <w:numPr>
                <w:ilvl w:val="0"/>
                <w:numId w:val="12"/>
              </w:numPr>
              <w:spacing w:line="480" w:lineRule="exact"/>
              <w:rPr>
                <w:rFonts w:hAnsi="宋体" w:cs="宋体"/>
                <w:szCs w:val="24"/>
                <w:highlight w:val="none"/>
              </w:rPr>
            </w:pPr>
            <w:r>
              <w:rPr>
                <w:rFonts w:hint="eastAsia" w:hAnsi="宋体" w:cs="宋体"/>
                <w:szCs w:val="24"/>
                <w:highlight w:val="none"/>
              </w:rPr>
              <w:t>评审内容</w:t>
            </w:r>
          </w:p>
          <w:p w14:paraId="3A9BC568">
            <w:pPr>
              <w:pStyle w:val="8"/>
              <w:spacing w:line="360" w:lineRule="auto"/>
              <w:rPr>
                <w:highlight w:val="none"/>
              </w:rPr>
            </w:pPr>
            <w:r>
              <w:rPr>
                <w:rFonts w:hint="eastAsia" w:hAnsi="宋体" w:cs="宋体"/>
                <w:szCs w:val="24"/>
                <w:highlight w:val="none"/>
              </w:rPr>
              <w:t xml:space="preserve"> 针对本项目提出适用于本项目的</w:t>
            </w:r>
            <w:r>
              <w:rPr>
                <w:rFonts w:hAnsi="宋体" w:cs="宋体"/>
                <w:szCs w:val="24"/>
                <w:highlight w:val="none"/>
                <w:lang w:bidi="ar"/>
              </w:rPr>
              <w:t>全周期项目服务保障</w:t>
            </w:r>
            <w:r>
              <w:rPr>
                <w:rFonts w:hint="eastAsia" w:hAnsi="宋体" w:cs="宋体"/>
                <w:szCs w:val="24"/>
                <w:highlight w:val="none"/>
                <w:lang w:bidi="ar"/>
              </w:rPr>
              <w:t>方案</w:t>
            </w:r>
            <w:r>
              <w:rPr>
                <w:rFonts w:hint="eastAsia" w:hAnsi="宋体" w:cs="宋体"/>
                <w:szCs w:val="24"/>
                <w:highlight w:val="none"/>
              </w:rPr>
              <w:t>，方案包括：①</w:t>
            </w:r>
            <w:r>
              <w:rPr>
                <w:rFonts w:hint="eastAsia"/>
                <w:highlight w:val="none"/>
                <w:lang w:eastAsia="zh-CN"/>
              </w:rPr>
              <w:t>网络生态</w:t>
            </w:r>
            <w:r>
              <w:rPr>
                <w:rFonts w:hint="eastAsia"/>
                <w:highlight w:val="none"/>
              </w:rPr>
              <w:t>培训方案</w:t>
            </w:r>
            <w:r>
              <w:rPr>
                <w:rFonts w:hint="eastAsia" w:hAnsi="宋体" w:cs="宋体"/>
                <w:szCs w:val="24"/>
                <w:highlight w:val="none"/>
              </w:rPr>
              <w:t>②</w:t>
            </w:r>
            <w:r>
              <w:rPr>
                <w:rFonts w:hint="eastAsia"/>
                <w:highlight w:val="none"/>
              </w:rPr>
              <w:t>售后服务保障方案</w:t>
            </w:r>
          </w:p>
          <w:p w14:paraId="0B9E748D">
            <w:pPr>
              <w:spacing w:line="360" w:lineRule="auto"/>
              <w:rPr>
                <w:rFonts w:hAnsi="宋体" w:cs="宋体"/>
                <w:szCs w:val="24"/>
                <w:highlight w:val="none"/>
                <w:lang w:bidi="ar"/>
              </w:rPr>
            </w:pPr>
            <w:r>
              <w:rPr>
                <w:rFonts w:hint="eastAsia" w:hAnsi="宋体" w:cs="宋体"/>
                <w:szCs w:val="24"/>
                <w:highlight w:val="none"/>
              </w:rPr>
              <w:t>③</w:t>
            </w:r>
            <w:r>
              <w:rPr>
                <w:rFonts w:hAnsi="宋体" w:cs="宋体"/>
                <w:szCs w:val="24"/>
                <w:highlight w:val="none"/>
                <w:lang w:bidi="ar"/>
              </w:rPr>
              <w:t>问题反馈及整改</w:t>
            </w:r>
            <w:r>
              <w:rPr>
                <w:rFonts w:hint="eastAsia" w:hAnsi="宋体" w:cs="宋体"/>
                <w:szCs w:val="24"/>
                <w:highlight w:val="none"/>
                <w:lang w:bidi="ar"/>
              </w:rPr>
              <w:t>方案</w:t>
            </w:r>
            <w:r>
              <w:rPr>
                <w:rFonts w:hint="eastAsia" w:hAnsi="宋体" w:cs="宋体"/>
                <w:szCs w:val="24"/>
                <w:highlight w:val="none"/>
              </w:rPr>
              <w:t>④</w:t>
            </w:r>
            <w:r>
              <w:rPr>
                <w:rFonts w:hAnsi="宋体" w:cs="宋体"/>
                <w:szCs w:val="24"/>
                <w:highlight w:val="none"/>
                <w:lang w:bidi="ar"/>
              </w:rPr>
              <w:t>服务期内持续优化改进措施</w:t>
            </w:r>
            <w:r>
              <w:rPr>
                <w:rFonts w:hint="eastAsia" w:hAnsi="宋体" w:cs="宋体"/>
                <w:szCs w:val="24"/>
                <w:highlight w:val="none"/>
                <w:lang w:bidi="ar"/>
              </w:rPr>
              <w:t>⑤</w:t>
            </w:r>
            <w:r>
              <w:rPr>
                <w:rFonts w:hAnsi="宋体" w:cs="宋体"/>
                <w:szCs w:val="24"/>
                <w:highlight w:val="none"/>
                <w:lang w:bidi="ar"/>
              </w:rPr>
              <w:t>7*24小时联络响应</w:t>
            </w:r>
            <w:r>
              <w:rPr>
                <w:rFonts w:hint="eastAsia" w:hAnsi="宋体" w:cs="宋体"/>
                <w:szCs w:val="24"/>
                <w:highlight w:val="none"/>
                <w:lang w:bidi="ar"/>
              </w:rPr>
              <w:t>方案</w:t>
            </w:r>
          </w:p>
          <w:p w14:paraId="58E9F494">
            <w:pPr>
              <w:numPr>
                <w:ilvl w:val="0"/>
                <w:numId w:val="12"/>
              </w:numPr>
              <w:spacing w:line="480" w:lineRule="exact"/>
              <w:rPr>
                <w:rFonts w:hAnsi="宋体" w:cs="宋体"/>
                <w:szCs w:val="24"/>
                <w:highlight w:val="none"/>
              </w:rPr>
            </w:pPr>
            <w:r>
              <w:rPr>
                <w:rFonts w:hint="eastAsia" w:hAnsi="宋体" w:cs="宋体"/>
                <w:szCs w:val="24"/>
                <w:highlight w:val="none"/>
              </w:rPr>
              <w:t>评审标准</w:t>
            </w:r>
          </w:p>
          <w:p w14:paraId="2258AF51">
            <w:pPr>
              <w:numPr>
                <w:ilvl w:val="0"/>
                <w:numId w:val="13"/>
              </w:numPr>
              <w:spacing w:line="360" w:lineRule="auto"/>
              <w:rPr>
                <w:rFonts w:hAnsi="宋体" w:cs="宋体"/>
                <w:szCs w:val="24"/>
                <w:highlight w:val="none"/>
              </w:rPr>
            </w:pPr>
            <w:r>
              <w:rPr>
                <w:rFonts w:hint="eastAsia" w:hAnsi="宋体" w:cs="宋体"/>
                <w:szCs w:val="24"/>
                <w:highlight w:val="none"/>
              </w:rPr>
              <w:t>完整性：方案必须全面，对评审内容中的各项要求有详细描述； 2、可实施性：切合本项目实际情况，提出步骤清晰、合理的方案； 3、针对性：方案能够紧扣项目实际情况，内容科学合理。</w:t>
            </w:r>
          </w:p>
          <w:p w14:paraId="3F4A749E">
            <w:pPr>
              <w:numPr>
                <w:ilvl w:val="0"/>
                <w:numId w:val="12"/>
              </w:numPr>
              <w:spacing w:line="360" w:lineRule="auto"/>
              <w:rPr>
                <w:rFonts w:hAnsi="宋体" w:cs="宋体"/>
                <w:szCs w:val="24"/>
                <w:highlight w:val="none"/>
              </w:rPr>
            </w:pPr>
            <w:r>
              <w:rPr>
                <w:rFonts w:hint="eastAsia" w:hAnsi="宋体" w:cs="宋体"/>
                <w:szCs w:val="24"/>
                <w:highlight w:val="none"/>
              </w:rPr>
              <w:t xml:space="preserve">赋分标准（满分10分） </w:t>
            </w:r>
          </w:p>
          <w:p w14:paraId="2668A219">
            <w:pPr>
              <w:pStyle w:val="48"/>
              <w:adjustRightInd w:val="0"/>
              <w:snapToGrid w:val="0"/>
              <w:spacing w:line="360" w:lineRule="auto"/>
              <w:rPr>
                <w:rFonts w:hint="default" w:ascii="宋体" w:hAnsi="宋体" w:eastAsia="宋体" w:cs="宋体"/>
                <w:sz w:val="24"/>
                <w:szCs w:val="24"/>
                <w:highlight w:val="none"/>
              </w:rPr>
            </w:pPr>
            <w:r>
              <w:rPr>
                <w:rFonts w:ascii="宋体" w:hAnsi="宋体" w:eastAsia="宋体" w:cs="宋体"/>
                <w:sz w:val="24"/>
                <w:szCs w:val="24"/>
                <w:highlight w:val="none"/>
              </w:rPr>
              <w:t>上述5项评审内容全部满足评审标准得</w:t>
            </w:r>
            <w:r>
              <w:rPr>
                <w:rFonts w:ascii="宋体" w:hAnsi="宋体" w:eastAsia="宋体" w:cs="宋体"/>
                <w:sz w:val="24"/>
                <w:szCs w:val="24"/>
                <w:highlight w:val="none"/>
                <w:lang w:eastAsia="zh-CN"/>
              </w:rPr>
              <w:t>10</w:t>
            </w:r>
            <w:r>
              <w:rPr>
                <w:rFonts w:ascii="宋体" w:hAnsi="宋体" w:eastAsia="宋体" w:cs="宋体"/>
                <w:sz w:val="24"/>
                <w:szCs w:val="24"/>
                <w:highlight w:val="none"/>
              </w:rPr>
              <w:t>分，每有一个评审内容缺项扣</w:t>
            </w:r>
            <w:r>
              <w:rPr>
                <w:rFonts w:ascii="宋体" w:hAnsi="宋体" w:eastAsia="宋体" w:cs="宋体"/>
                <w:sz w:val="24"/>
                <w:szCs w:val="24"/>
                <w:highlight w:val="none"/>
                <w:lang w:eastAsia="zh-CN"/>
              </w:rPr>
              <w:t>2</w:t>
            </w:r>
            <w:r>
              <w:rPr>
                <w:rFonts w:ascii="宋体" w:hAnsi="宋体" w:eastAsia="宋体" w:cs="宋体"/>
                <w:sz w:val="24"/>
                <w:szCs w:val="24"/>
                <w:highlight w:val="none"/>
              </w:rPr>
              <w:t xml:space="preserve">分，评审内容中每有一项缺陷扣1分，扣完为止。 </w:t>
            </w:r>
          </w:p>
          <w:p w14:paraId="171F649D">
            <w:pPr>
              <w:spacing w:line="360" w:lineRule="auto"/>
              <w:rPr>
                <w:rFonts w:hAnsi="宋体" w:cs="宋体"/>
                <w:szCs w:val="24"/>
                <w:highlight w:val="none"/>
              </w:rPr>
            </w:pPr>
            <w:r>
              <w:rPr>
                <w:rFonts w:hAnsi="宋体" w:cs="宋体"/>
                <w:szCs w:val="24"/>
                <w:highlight w:val="none"/>
              </w:rPr>
              <w:t>说明:缺陷是指内容没有结合项目实际需求、虽有内容但不完善、内容表述前后不一致、套用其他项目方案或与项目需求不匹配及其他不利于项目实施的等任意一种情形。</w:t>
            </w:r>
          </w:p>
        </w:tc>
      </w:tr>
      <w:tr w14:paraId="35496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6" w:type="dxa"/>
            <w:vMerge w:val="restart"/>
            <w:vAlign w:val="center"/>
          </w:tcPr>
          <w:p w14:paraId="48E9030E">
            <w:pPr>
              <w:spacing w:line="480" w:lineRule="exact"/>
              <w:jc w:val="center"/>
              <w:rPr>
                <w:rFonts w:hAnsi="宋体" w:cs="宋体"/>
                <w:szCs w:val="24"/>
                <w:highlight w:val="none"/>
              </w:rPr>
            </w:pPr>
            <w:r>
              <w:rPr>
                <w:rFonts w:hint="eastAsia" w:hAnsi="宋体" w:cs="宋体"/>
                <w:szCs w:val="24"/>
                <w:highlight w:val="none"/>
              </w:rPr>
              <w:t>客观评标部分</w:t>
            </w:r>
          </w:p>
          <w:p w14:paraId="2E27037C">
            <w:pPr>
              <w:spacing w:line="480" w:lineRule="exact"/>
              <w:jc w:val="center"/>
              <w:rPr>
                <w:rFonts w:hAnsi="宋体" w:cs="宋体"/>
                <w:szCs w:val="24"/>
                <w:highlight w:val="none"/>
              </w:rPr>
            </w:pPr>
          </w:p>
        </w:tc>
        <w:tc>
          <w:tcPr>
            <w:tcW w:w="1276" w:type="dxa"/>
            <w:vMerge w:val="restart"/>
            <w:vAlign w:val="center"/>
          </w:tcPr>
          <w:p w14:paraId="29BD65E5">
            <w:pPr>
              <w:spacing w:line="480" w:lineRule="exact"/>
              <w:jc w:val="center"/>
              <w:rPr>
                <w:rFonts w:hAnsi="宋体" w:cs="宋体"/>
                <w:szCs w:val="24"/>
                <w:highlight w:val="none"/>
              </w:rPr>
            </w:pPr>
            <w:r>
              <w:rPr>
                <w:rFonts w:hint="eastAsia" w:hAnsi="宋体" w:cs="宋体"/>
                <w:szCs w:val="24"/>
                <w:highlight w:val="none"/>
              </w:rPr>
              <w:t>（60分）</w:t>
            </w:r>
          </w:p>
        </w:tc>
        <w:tc>
          <w:tcPr>
            <w:tcW w:w="1297" w:type="dxa"/>
            <w:vAlign w:val="center"/>
          </w:tcPr>
          <w:p w14:paraId="61FABE5B">
            <w:pPr>
              <w:spacing w:line="480" w:lineRule="exact"/>
              <w:jc w:val="center"/>
              <w:rPr>
                <w:rFonts w:hAnsi="宋体" w:cs="宋体"/>
                <w:szCs w:val="24"/>
                <w:highlight w:val="none"/>
              </w:rPr>
            </w:pPr>
            <w:r>
              <w:rPr>
                <w:rFonts w:hint="eastAsia"/>
                <w:szCs w:val="24"/>
                <w:highlight w:val="none"/>
              </w:rPr>
              <w:t>技术参数</w:t>
            </w:r>
            <w:r>
              <w:rPr>
                <w:rFonts w:hint="eastAsia" w:hAnsi="宋体" w:cs="宋体"/>
                <w:szCs w:val="24"/>
                <w:highlight w:val="none"/>
              </w:rPr>
              <w:t>（</w:t>
            </w:r>
            <w:r>
              <w:rPr>
                <w:rFonts w:hAnsi="宋体" w:cs="宋体"/>
                <w:szCs w:val="24"/>
                <w:highlight w:val="none"/>
              </w:rPr>
              <w:t>5</w:t>
            </w:r>
            <w:r>
              <w:rPr>
                <w:rFonts w:hint="eastAsia" w:hAnsi="宋体" w:cs="宋体"/>
                <w:szCs w:val="24"/>
                <w:highlight w:val="none"/>
              </w:rPr>
              <w:t>分）</w:t>
            </w:r>
          </w:p>
        </w:tc>
        <w:tc>
          <w:tcPr>
            <w:tcW w:w="5962" w:type="dxa"/>
            <w:vAlign w:val="center"/>
          </w:tcPr>
          <w:p w14:paraId="6B65A3CA">
            <w:pPr>
              <w:spacing w:line="480" w:lineRule="exact"/>
              <w:rPr>
                <w:rFonts w:hAnsi="宋体" w:cs="宋体"/>
                <w:szCs w:val="24"/>
                <w:highlight w:val="none"/>
              </w:rPr>
            </w:pPr>
            <w:r>
              <w:rPr>
                <w:rFonts w:hint="eastAsia" w:hAnsi="宋体" w:cs="宋体"/>
                <w:szCs w:val="24"/>
                <w:highlight w:val="none"/>
              </w:rPr>
              <w:t>所投产品所有技术参数完全符合磋商⽂件规定要求的，得5分。其中“▲”技术参数每出现⼀项不满⾜或未响应情形，扣</w:t>
            </w:r>
            <w:r>
              <w:rPr>
                <w:rFonts w:hAnsi="宋体" w:cs="宋体"/>
                <w:szCs w:val="24"/>
                <w:highlight w:val="none"/>
              </w:rPr>
              <w:t>1</w:t>
            </w:r>
            <w:r>
              <w:rPr>
                <w:rFonts w:hint="eastAsia" w:hAnsi="宋体" w:cs="宋体"/>
                <w:szCs w:val="24"/>
                <w:highlight w:val="none"/>
              </w:rPr>
              <w:t>分，扣完为止。备注：“▲”技术参数需要提供证明材料（须提供对应功能实质性描述+系统界面截图佐证），并加盖单位公章。</w:t>
            </w:r>
          </w:p>
        </w:tc>
      </w:tr>
      <w:tr w14:paraId="45F0B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6" w:type="dxa"/>
            <w:vMerge w:val="continue"/>
            <w:vAlign w:val="center"/>
          </w:tcPr>
          <w:p w14:paraId="5C85B789">
            <w:pPr>
              <w:spacing w:line="480" w:lineRule="exact"/>
              <w:jc w:val="center"/>
              <w:rPr>
                <w:rFonts w:hAnsi="宋体" w:cs="宋体"/>
                <w:szCs w:val="24"/>
                <w:highlight w:val="none"/>
              </w:rPr>
            </w:pPr>
          </w:p>
        </w:tc>
        <w:tc>
          <w:tcPr>
            <w:tcW w:w="1276" w:type="dxa"/>
            <w:vMerge w:val="continue"/>
            <w:vAlign w:val="center"/>
          </w:tcPr>
          <w:p w14:paraId="10DEE2FB">
            <w:pPr>
              <w:spacing w:line="480" w:lineRule="exact"/>
              <w:jc w:val="center"/>
              <w:rPr>
                <w:rFonts w:hAnsi="宋体" w:cs="宋体"/>
                <w:szCs w:val="24"/>
                <w:highlight w:val="none"/>
              </w:rPr>
            </w:pPr>
          </w:p>
        </w:tc>
        <w:tc>
          <w:tcPr>
            <w:tcW w:w="1297" w:type="dxa"/>
            <w:vAlign w:val="center"/>
          </w:tcPr>
          <w:p w14:paraId="51B6735A">
            <w:pPr>
              <w:spacing w:line="480" w:lineRule="exact"/>
              <w:jc w:val="center"/>
              <w:rPr>
                <w:rFonts w:hAnsi="宋体" w:cs="宋体"/>
                <w:szCs w:val="24"/>
                <w:highlight w:val="none"/>
              </w:rPr>
            </w:pPr>
            <w:r>
              <w:rPr>
                <w:rFonts w:hAnsi="宋体" w:cs="宋体"/>
                <w:szCs w:val="24"/>
                <w:highlight w:val="none"/>
                <w:lang w:bidi="ar"/>
              </w:rPr>
              <w:t>短视频监测</w:t>
            </w:r>
            <w:r>
              <w:rPr>
                <w:rFonts w:hint="eastAsia" w:hAnsi="宋体" w:cs="宋体"/>
                <w:szCs w:val="24"/>
                <w:highlight w:val="none"/>
                <w:lang w:bidi="ar"/>
              </w:rPr>
              <w:t>服务方案</w:t>
            </w:r>
          </w:p>
          <w:p w14:paraId="5F741810">
            <w:pPr>
              <w:spacing w:line="480" w:lineRule="exact"/>
              <w:jc w:val="center"/>
              <w:rPr>
                <w:rFonts w:hAnsi="宋体" w:cs="宋体"/>
                <w:szCs w:val="24"/>
                <w:highlight w:val="none"/>
              </w:rPr>
            </w:pPr>
            <w:r>
              <w:rPr>
                <w:rFonts w:hint="eastAsia" w:hAnsi="宋体" w:cs="宋体"/>
                <w:szCs w:val="24"/>
                <w:highlight w:val="none"/>
              </w:rPr>
              <w:t>（</w:t>
            </w:r>
            <w:r>
              <w:rPr>
                <w:rFonts w:hint="eastAsia" w:hAnsi="宋体" w:cs="宋体"/>
                <w:szCs w:val="24"/>
                <w:highlight w:val="none"/>
                <w:lang w:val="en-US" w:eastAsia="zh-CN"/>
              </w:rPr>
              <w:t>9</w:t>
            </w:r>
            <w:r>
              <w:rPr>
                <w:rFonts w:hint="eastAsia" w:hAnsi="宋体" w:cs="宋体"/>
                <w:szCs w:val="24"/>
                <w:highlight w:val="none"/>
              </w:rPr>
              <w:t>分）</w:t>
            </w:r>
          </w:p>
        </w:tc>
        <w:tc>
          <w:tcPr>
            <w:tcW w:w="5962" w:type="dxa"/>
            <w:vAlign w:val="center"/>
          </w:tcPr>
          <w:p w14:paraId="03CC0BE3">
            <w:pPr>
              <w:spacing w:line="360" w:lineRule="auto"/>
              <w:rPr>
                <w:rFonts w:hAnsi="宋体" w:cs="宋体"/>
                <w:szCs w:val="24"/>
                <w:highlight w:val="none"/>
              </w:rPr>
            </w:pPr>
            <w:r>
              <w:rPr>
                <w:rFonts w:hAnsi="宋体" w:cs="宋体"/>
                <w:szCs w:val="24"/>
                <w:highlight w:val="none"/>
                <w:lang w:bidi="ar"/>
              </w:rPr>
              <w:t>1.短视频平台≥15个；</w:t>
            </w:r>
            <w:r>
              <w:rPr>
                <w:rFonts w:hAnsi="宋体" w:cs="宋体"/>
                <w:szCs w:val="24"/>
                <w:highlight w:val="none"/>
                <w:lang w:bidi="ar"/>
              </w:rPr>
              <w:br w:type="textWrapping"/>
            </w:r>
            <w:r>
              <w:rPr>
                <w:rFonts w:hAnsi="宋体" w:cs="宋体"/>
                <w:szCs w:val="24"/>
                <w:highlight w:val="none"/>
                <w:lang w:bidi="ar"/>
              </w:rPr>
              <w:t>2.抖音短视频全时长抽帧能力；</w:t>
            </w:r>
            <w:r>
              <w:rPr>
                <w:rFonts w:hAnsi="宋体" w:cs="宋体"/>
                <w:szCs w:val="24"/>
                <w:highlight w:val="none"/>
                <w:lang w:bidi="ar"/>
              </w:rPr>
              <w:br w:type="textWrapping"/>
            </w:r>
            <w:r>
              <w:rPr>
                <w:rFonts w:hAnsi="宋体" w:cs="宋体"/>
                <w:szCs w:val="24"/>
                <w:highlight w:val="none"/>
                <w:lang w:bidi="ar"/>
              </w:rPr>
              <w:t>3.短视频信息失效实时检测。</w:t>
            </w:r>
            <w:r>
              <w:rPr>
                <w:rFonts w:hAnsi="宋体" w:cs="宋体"/>
                <w:szCs w:val="24"/>
                <w:highlight w:val="none"/>
                <w:lang w:bidi="ar"/>
              </w:rPr>
              <w:br w:type="textWrapping"/>
            </w:r>
            <w:r>
              <w:rPr>
                <w:rFonts w:hint="eastAsia" w:hAnsi="宋体" w:cs="宋体"/>
                <w:szCs w:val="24"/>
                <w:highlight w:val="none"/>
                <w:lang w:bidi="ar"/>
              </w:rPr>
              <w:t>以上</w:t>
            </w:r>
            <w:r>
              <w:rPr>
                <w:rFonts w:hAnsi="宋体" w:cs="宋体"/>
                <w:szCs w:val="24"/>
                <w:highlight w:val="none"/>
                <w:lang w:bidi="ar"/>
              </w:rPr>
              <w:t>3</w:t>
            </w:r>
            <w:r>
              <w:rPr>
                <w:rFonts w:hint="eastAsia" w:hAnsi="宋体" w:cs="宋体"/>
                <w:szCs w:val="24"/>
                <w:highlight w:val="none"/>
                <w:lang w:bidi="ar"/>
              </w:rPr>
              <w:t>条内容</w:t>
            </w:r>
            <w:r>
              <w:rPr>
                <w:rFonts w:hAnsi="宋体" w:cs="宋体"/>
                <w:szCs w:val="24"/>
                <w:highlight w:val="none"/>
                <w:lang w:bidi="ar"/>
              </w:rPr>
              <w:t>每项</w:t>
            </w:r>
            <w:r>
              <w:rPr>
                <w:rFonts w:hint="eastAsia" w:hAnsi="宋体" w:cs="宋体"/>
                <w:szCs w:val="24"/>
                <w:highlight w:val="none"/>
                <w:lang w:val="en-US" w:eastAsia="zh-CN" w:bidi="ar"/>
              </w:rPr>
              <w:t>3</w:t>
            </w:r>
            <w:r>
              <w:rPr>
                <w:rFonts w:hAnsi="宋体" w:cs="宋体"/>
                <w:szCs w:val="24"/>
                <w:highlight w:val="none"/>
                <w:lang w:bidi="ar"/>
              </w:rPr>
              <w:t>分，全部满足得</w:t>
            </w:r>
            <w:r>
              <w:rPr>
                <w:rFonts w:hint="eastAsia" w:hAnsi="宋体" w:cs="宋体"/>
                <w:szCs w:val="24"/>
                <w:highlight w:val="none"/>
                <w:lang w:val="en-US" w:eastAsia="zh-CN" w:bidi="ar"/>
              </w:rPr>
              <w:t>9</w:t>
            </w:r>
            <w:r>
              <w:rPr>
                <w:rFonts w:hAnsi="宋体" w:cs="宋体"/>
                <w:szCs w:val="24"/>
                <w:highlight w:val="none"/>
                <w:lang w:bidi="ar"/>
              </w:rPr>
              <w:t>分，缺1项扣</w:t>
            </w:r>
            <w:r>
              <w:rPr>
                <w:rFonts w:hint="eastAsia" w:hAnsi="宋体" w:cs="宋体"/>
                <w:szCs w:val="24"/>
                <w:highlight w:val="none"/>
                <w:lang w:val="en-US" w:eastAsia="zh-CN" w:bidi="ar"/>
              </w:rPr>
              <w:t>3</w:t>
            </w:r>
            <w:r>
              <w:rPr>
                <w:rFonts w:hAnsi="宋体" w:cs="宋体"/>
                <w:szCs w:val="24"/>
                <w:highlight w:val="none"/>
                <w:lang w:bidi="ar"/>
              </w:rPr>
              <w:t>分，扣完为止。</w:t>
            </w:r>
            <w:r>
              <w:rPr>
                <w:rFonts w:hAnsi="宋体" w:cs="宋体"/>
                <w:szCs w:val="24"/>
                <w:highlight w:val="none"/>
                <w:lang w:bidi="ar"/>
              </w:rPr>
              <w:br w:type="textWrapping"/>
            </w:r>
            <w:r>
              <w:rPr>
                <w:rFonts w:hint="eastAsia" w:hAnsi="宋体" w:cs="宋体"/>
                <w:szCs w:val="24"/>
                <w:highlight w:val="none"/>
                <w:lang w:bidi="ar"/>
              </w:rPr>
              <w:t>备注：</w:t>
            </w:r>
            <w:r>
              <w:rPr>
                <w:rFonts w:hAnsi="宋体" w:cs="宋体"/>
                <w:szCs w:val="24"/>
                <w:highlight w:val="none"/>
                <w:lang w:bidi="ar"/>
              </w:rPr>
              <w:t>响应文件</w:t>
            </w:r>
            <w:r>
              <w:rPr>
                <w:rFonts w:hint="eastAsia" w:hAnsi="宋体" w:cs="宋体"/>
                <w:szCs w:val="24"/>
                <w:highlight w:val="none"/>
                <w:lang w:bidi="ar"/>
              </w:rPr>
              <w:t>须提供</w:t>
            </w:r>
            <w:r>
              <w:rPr>
                <w:rFonts w:hAnsi="宋体" w:cs="宋体"/>
                <w:szCs w:val="24"/>
                <w:highlight w:val="none"/>
                <w:lang w:bidi="ar"/>
              </w:rPr>
              <w:t>功能响应说明、系统操作界面截图（</w:t>
            </w:r>
            <w:r>
              <w:rPr>
                <w:rFonts w:hint="eastAsia" w:hAnsi="宋体" w:cs="宋体"/>
                <w:szCs w:val="24"/>
                <w:highlight w:val="none"/>
                <w:lang w:bidi="ar"/>
              </w:rPr>
              <w:t>并</w:t>
            </w:r>
            <w:r>
              <w:rPr>
                <w:rFonts w:hAnsi="宋体" w:cs="宋体"/>
                <w:szCs w:val="24"/>
                <w:highlight w:val="none"/>
                <w:lang w:bidi="ar"/>
              </w:rPr>
              <w:t>加盖供应商公章）；仅简单写“满足/响应”无截图佐证，该条不得分；功能不具备该条不得分。</w:t>
            </w:r>
          </w:p>
        </w:tc>
      </w:tr>
      <w:tr w14:paraId="5A69C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6" w:type="dxa"/>
            <w:vMerge w:val="continue"/>
            <w:vAlign w:val="center"/>
          </w:tcPr>
          <w:p w14:paraId="1D4856D0">
            <w:pPr>
              <w:spacing w:line="480" w:lineRule="exact"/>
              <w:jc w:val="center"/>
              <w:rPr>
                <w:rFonts w:hAnsi="宋体" w:cs="宋体"/>
                <w:szCs w:val="24"/>
                <w:highlight w:val="none"/>
              </w:rPr>
            </w:pPr>
          </w:p>
        </w:tc>
        <w:tc>
          <w:tcPr>
            <w:tcW w:w="1276" w:type="dxa"/>
            <w:vMerge w:val="continue"/>
            <w:vAlign w:val="center"/>
          </w:tcPr>
          <w:p w14:paraId="4C2B06C4">
            <w:pPr>
              <w:spacing w:line="480" w:lineRule="exact"/>
              <w:jc w:val="center"/>
              <w:rPr>
                <w:rFonts w:hAnsi="宋体" w:cs="宋体"/>
                <w:szCs w:val="24"/>
                <w:highlight w:val="none"/>
              </w:rPr>
            </w:pPr>
          </w:p>
        </w:tc>
        <w:tc>
          <w:tcPr>
            <w:tcW w:w="1297" w:type="dxa"/>
            <w:vAlign w:val="center"/>
          </w:tcPr>
          <w:p w14:paraId="6659D261">
            <w:pPr>
              <w:spacing w:line="480" w:lineRule="exact"/>
              <w:jc w:val="center"/>
              <w:rPr>
                <w:rFonts w:hAnsi="宋体" w:cs="宋体"/>
                <w:szCs w:val="24"/>
                <w:highlight w:val="none"/>
              </w:rPr>
            </w:pPr>
            <w:r>
              <w:rPr>
                <w:rFonts w:hint="eastAsia" w:hAnsi="宋体" w:cs="宋体"/>
                <w:szCs w:val="24"/>
                <w:highlight w:val="none"/>
              </w:rPr>
              <w:t>应急专项服务（11分）</w:t>
            </w:r>
          </w:p>
        </w:tc>
        <w:tc>
          <w:tcPr>
            <w:tcW w:w="5962" w:type="dxa"/>
            <w:vAlign w:val="center"/>
          </w:tcPr>
          <w:p w14:paraId="46A1C6F7">
            <w:pPr>
              <w:spacing w:line="360" w:lineRule="auto"/>
              <w:rPr>
                <w:rFonts w:hint="eastAsia" w:hAnsi="宋体" w:cs="宋体"/>
                <w:szCs w:val="24"/>
                <w:highlight w:val="none"/>
                <w:lang w:bidi="ar"/>
              </w:rPr>
            </w:pPr>
            <w:r>
              <w:rPr>
                <w:rFonts w:hint="eastAsia" w:hAnsi="宋体" w:cs="宋体"/>
                <w:szCs w:val="24"/>
                <w:highlight w:val="none"/>
                <w:lang w:bidi="ar"/>
              </w:rPr>
              <w:t>应急服务承诺：（满分2分）</w:t>
            </w:r>
          </w:p>
          <w:p w14:paraId="475AD935">
            <w:pPr>
              <w:spacing w:line="360" w:lineRule="auto"/>
              <w:rPr>
                <w:rFonts w:hint="eastAsia" w:hAnsi="宋体" w:cs="宋体"/>
                <w:szCs w:val="24"/>
                <w:highlight w:val="none"/>
                <w:lang w:bidi="ar"/>
              </w:rPr>
            </w:pPr>
            <w:r>
              <w:rPr>
                <w:rFonts w:hint="eastAsia" w:hAnsi="宋体" w:cs="宋体"/>
                <w:szCs w:val="24"/>
                <w:highlight w:val="none"/>
                <w:lang w:bidi="ar"/>
              </w:rPr>
              <w:t>提供：①7×24 小时</w:t>
            </w:r>
            <w:r>
              <w:rPr>
                <w:rFonts w:hint="eastAsia" w:hAnsi="宋体" w:cs="宋体"/>
                <w:szCs w:val="24"/>
                <w:highlight w:val="none"/>
                <w:lang w:eastAsia="zh-CN" w:bidi="ar"/>
              </w:rPr>
              <w:t>网络生态</w:t>
            </w:r>
            <w:r>
              <w:rPr>
                <w:rFonts w:hint="eastAsia" w:hAnsi="宋体" w:cs="宋体"/>
                <w:szCs w:val="24"/>
                <w:highlight w:val="none"/>
                <w:lang w:bidi="ar"/>
              </w:rPr>
              <w:t>应急服务承诺函（加盖公章）；②配套 7*24 值班运维体系管理制度文件；两项同时具备得 2分；每缺一项扣</w:t>
            </w:r>
            <w:r>
              <w:rPr>
                <w:rFonts w:hAnsi="宋体" w:cs="宋体"/>
                <w:szCs w:val="24"/>
                <w:highlight w:val="none"/>
                <w:lang w:bidi="ar"/>
              </w:rPr>
              <w:t>1</w:t>
            </w:r>
            <w:r>
              <w:rPr>
                <w:rFonts w:hint="eastAsia" w:hAnsi="宋体" w:cs="宋体"/>
                <w:szCs w:val="24"/>
                <w:highlight w:val="none"/>
                <w:lang w:bidi="ar"/>
              </w:rPr>
              <w:t>分，最高 2分。</w:t>
            </w:r>
          </w:p>
          <w:p w14:paraId="0666749C">
            <w:pPr>
              <w:spacing w:line="360" w:lineRule="auto"/>
              <w:rPr>
                <w:rFonts w:hint="eastAsia" w:hAnsi="宋体" w:cs="宋体"/>
                <w:szCs w:val="24"/>
                <w:highlight w:val="none"/>
                <w:lang w:bidi="ar"/>
              </w:rPr>
            </w:pPr>
            <w:r>
              <w:rPr>
                <w:rFonts w:hint="eastAsia" w:hAnsi="宋体" w:cs="宋体"/>
                <w:szCs w:val="24"/>
                <w:highlight w:val="none"/>
                <w:lang w:bidi="ar"/>
              </w:rPr>
              <w:t>应急专项服务：（满分9分）</w:t>
            </w:r>
          </w:p>
          <w:p w14:paraId="23944A5C">
            <w:pPr>
              <w:spacing w:line="360" w:lineRule="auto"/>
              <w:rPr>
                <w:rFonts w:hint="eastAsia" w:hAnsi="宋体" w:cs="宋体"/>
                <w:szCs w:val="24"/>
                <w:highlight w:val="none"/>
                <w:lang w:bidi="ar"/>
              </w:rPr>
            </w:pPr>
            <w:r>
              <w:rPr>
                <w:rFonts w:hint="eastAsia" w:hAnsi="宋体" w:cs="宋体"/>
                <w:szCs w:val="24"/>
                <w:highlight w:val="none"/>
                <w:lang w:bidi="ar"/>
              </w:rPr>
              <w:t>1.基于客户指示，协助处理应急事项，包含事件导出、标记、报送、简要研判等。</w:t>
            </w:r>
          </w:p>
          <w:p w14:paraId="0AF5730C">
            <w:pPr>
              <w:spacing w:line="360" w:lineRule="auto"/>
              <w:rPr>
                <w:rFonts w:hint="eastAsia" w:hAnsi="宋体" w:cs="宋体"/>
                <w:szCs w:val="24"/>
                <w:highlight w:val="none"/>
                <w:lang w:bidi="ar"/>
              </w:rPr>
            </w:pPr>
            <w:r>
              <w:rPr>
                <w:rFonts w:hint="eastAsia" w:hAnsi="宋体" w:cs="宋体"/>
                <w:szCs w:val="24"/>
                <w:highlight w:val="none"/>
                <w:lang w:bidi="ar"/>
              </w:rPr>
              <w:t>2.</w:t>
            </w:r>
            <w:r>
              <w:rPr>
                <w:rFonts w:hint="eastAsia" w:hAnsi="宋体" w:cs="宋体"/>
                <w:szCs w:val="24"/>
                <w:highlight w:val="none"/>
                <w:lang w:eastAsia="zh-CN" w:bidi="ar"/>
              </w:rPr>
              <w:t>网络生态</w:t>
            </w:r>
            <w:r>
              <w:rPr>
                <w:rFonts w:hint="eastAsia" w:hAnsi="宋体" w:cs="宋体"/>
                <w:szCs w:val="24"/>
                <w:highlight w:val="none"/>
                <w:lang w:bidi="ar"/>
              </w:rPr>
              <w:t>引导服务：若出现重大</w:t>
            </w:r>
            <w:r>
              <w:rPr>
                <w:rFonts w:hint="eastAsia" w:hAnsi="宋体" w:cs="宋体"/>
                <w:szCs w:val="24"/>
                <w:highlight w:val="none"/>
                <w:lang w:eastAsia="zh-CN" w:bidi="ar"/>
              </w:rPr>
              <w:t>网络生态</w:t>
            </w:r>
            <w:r>
              <w:rPr>
                <w:rFonts w:hint="eastAsia" w:hAnsi="宋体" w:cs="宋体"/>
                <w:szCs w:val="24"/>
                <w:highlight w:val="none"/>
                <w:lang w:bidi="ar"/>
              </w:rPr>
              <w:t>协助用户做</w:t>
            </w:r>
            <w:r>
              <w:rPr>
                <w:rFonts w:hint="eastAsia" w:hAnsi="宋体" w:cs="宋体"/>
                <w:szCs w:val="24"/>
                <w:highlight w:val="none"/>
                <w:lang w:eastAsia="zh-CN" w:bidi="ar"/>
              </w:rPr>
              <w:t>网络生态</w:t>
            </w:r>
            <w:r>
              <w:rPr>
                <w:rFonts w:hint="eastAsia" w:hAnsi="宋体" w:cs="宋体"/>
                <w:szCs w:val="24"/>
                <w:highlight w:val="none"/>
                <w:lang w:bidi="ar"/>
              </w:rPr>
              <w:t>引导服务包含不限于提供抖音，头条，火山视频，快手，小红书，微博，腾讯微视频等平台做</w:t>
            </w:r>
            <w:r>
              <w:rPr>
                <w:rFonts w:hint="eastAsia" w:hAnsi="宋体" w:cs="宋体"/>
                <w:szCs w:val="24"/>
                <w:highlight w:val="none"/>
                <w:lang w:eastAsia="zh-CN" w:bidi="ar"/>
              </w:rPr>
              <w:t>网络生态</w:t>
            </w:r>
            <w:r>
              <w:rPr>
                <w:rFonts w:hint="eastAsia" w:hAnsi="宋体" w:cs="宋体"/>
                <w:szCs w:val="24"/>
                <w:highlight w:val="none"/>
                <w:lang w:bidi="ar"/>
              </w:rPr>
              <w:t>导控服务。</w:t>
            </w:r>
          </w:p>
          <w:p w14:paraId="054B5078">
            <w:pPr>
              <w:spacing w:line="360" w:lineRule="auto"/>
              <w:rPr>
                <w:rFonts w:hint="eastAsia" w:hAnsi="宋体" w:cs="宋体"/>
                <w:szCs w:val="24"/>
                <w:highlight w:val="none"/>
                <w:lang w:bidi="ar"/>
              </w:rPr>
            </w:pPr>
            <w:r>
              <w:rPr>
                <w:rFonts w:hint="eastAsia" w:hAnsi="宋体" w:cs="宋体"/>
                <w:szCs w:val="24"/>
                <w:highlight w:val="none"/>
                <w:lang w:bidi="ar"/>
              </w:rPr>
              <w:t>3.投诉维权举报服务：若出现重大</w:t>
            </w:r>
            <w:r>
              <w:rPr>
                <w:rFonts w:hint="eastAsia" w:hAnsi="宋体" w:cs="宋体"/>
                <w:szCs w:val="24"/>
                <w:highlight w:val="none"/>
                <w:lang w:eastAsia="zh-CN" w:bidi="ar"/>
              </w:rPr>
              <w:t>网络生态</w:t>
            </w:r>
            <w:r>
              <w:rPr>
                <w:rFonts w:hint="eastAsia" w:hAnsi="宋体" w:cs="宋体"/>
                <w:szCs w:val="24"/>
                <w:highlight w:val="none"/>
                <w:lang w:bidi="ar"/>
              </w:rPr>
              <w:t>必须协助用户做虚假谣言，造谣信息，不实言论,投诉举报下架处理，协助用户处理历史遗留有害信息作投举报清淤处理，并提供投诉维权软件系统平台。（须提供对应功能实质性描述+系统界面截图佐证，并加盖单位公章。）</w:t>
            </w:r>
          </w:p>
          <w:p w14:paraId="355AB0CC">
            <w:pPr>
              <w:spacing w:line="360" w:lineRule="auto"/>
              <w:rPr>
                <w:rFonts w:hint="eastAsia" w:hAnsi="宋体" w:cs="宋体"/>
                <w:szCs w:val="24"/>
                <w:highlight w:val="none"/>
                <w:lang w:bidi="ar"/>
              </w:rPr>
            </w:pPr>
            <w:r>
              <w:rPr>
                <w:rFonts w:hint="eastAsia" w:hAnsi="宋体" w:cs="宋体"/>
                <w:szCs w:val="24"/>
                <w:highlight w:val="none"/>
                <w:lang w:bidi="ar"/>
              </w:rPr>
              <w:t>三项同时具备得 9分；每缺一项扣3分，最高扣9</w:t>
            </w:r>
          </w:p>
          <w:p w14:paraId="47282697">
            <w:pPr>
              <w:spacing w:line="360" w:lineRule="auto"/>
              <w:rPr>
                <w:rFonts w:hAnsi="宋体" w:cs="宋体"/>
                <w:szCs w:val="24"/>
                <w:highlight w:val="none"/>
                <w:lang w:bidi="ar"/>
              </w:rPr>
            </w:pPr>
            <w:r>
              <w:rPr>
                <w:rFonts w:hint="eastAsia" w:hAnsi="宋体" w:cs="宋体"/>
                <w:szCs w:val="24"/>
                <w:highlight w:val="none"/>
                <w:lang w:bidi="ar"/>
              </w:rPr>
              <w:t>分。</w:t>
            </w:r>
          </w:p>
        </w:tc>
      </w:tr>
      <w:tr w14:paraId="0077E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6" w:type="dxa"/>
            <w:vMerge w:val="continue"/>
            <w:vAlign w:val="center"/>
          </w:tcPr>
          <w:p w14:paraId="4315ADA8">
            <w:pPr>
              <w:spacing w:line="480" w:lineRule="exact"/>
              <w:jc w:val="center"/>
              <w:rPr>
                <w:rFonts w:hAnsi="宋体" w:cs="宋体"/>
                <w:szCs w:val="24"/>
                <w:highlight w:val="none"/>
              </w:rPr>
            </w:pPr>
          </w:p>
        </w:tc>
        <w:tc>
          <w:tcPr>
            <w:tcW w:w="1276" w:type="dxa"/>
            <w:vMerge w:val="continue"/>
            <w:vAlign w:val="center"/>
          </w:tcPr>
          <w:p w14:paraId="71B92BD9">
            <w:pPr>
              <w:spacing w:line="480" w:lineRule="exact"/>
              <w:jc w:val="center"/>
              <w:rPr>
                <w:rFonts w:hAnsi="宋体" w:cs="宋体"/>
                <w:szCs w:val="24"/>
                <w:highlight w:val="none"/>
              </w:rPr>
            </w:pPr>
          </w:p>
        </w:tc>
        <w:tc>
          <w:tcPr>
            <w:tcW w:w="1297" w:type="dxa"/>
            <w:vAlign w:val="center"/>
          </w:tcPr>
          <w:p w14:paraId="0C67C0D2">
            <w:pPr>
              <w:spacing w:line="480" w:lineRule="exact"/>
              <w:jc w:val="center"/>
              <w:rPr>
                <w:rFonts w:hAnsi="宋体" w:cs="宋体"/>
                <w:szCs w:val="24"/>
                <w:highlight w:val="none"/>
              </w:rPr>
            </w:pPr>
            <w:r>
              <w:rPr>
                <w:rFonts w:hint="eastAsia" w:hAnsi="宋体" w:cs="宋体"/>
                <w:szCs w:val="24"/>
                <w:highlight w:val="none"/>
              </w:rPr>
              <w:t>企业实力（</w:t>
            </w:r>
            <w:r>
              <w:rPr>
                <w:rFonts w:hint="eastAsia" w:hAnsi="宋体" w:cs="宋体"/>
                <w:szCs w:val="24"/>
                <w:highlight w:val="none"/>
                <w:lang w:val="en-US" w:eastAsia="zh-CN"/>
              </w:rPr>
              <w:t>4</w:t>
            </w:r>
            <w:r>
              <w:rPr>
                <w:rFonts w:hint="eastAsia" w:hAnsi="宋体" w:cs="宋体"/>
                <w:szCs w:val="24"/>
                <w:highlight w:val="none"/>
              </w:rPr>
              <w:t>分）</w:t>
            </w:r>
          </w:p>
        </w:tc>
        <w:tc>
          <w:tcPr>
            <w:tcW w:w="5962" w:type="dxa"/>
            <w:vAlign w:val="center"/>
          </w:tcPr>
          <w:p w14:paraId="35B2C516">
            <w:pPr>
              <w:spacing w:line="360" w:lineRule="auto"/>
              <w:rPr>
                <w:rFonts w:hAnsi="宋体" w:cs="宋体"/>
                <w:szCs w:val="24"/>
                <w:highlight w:val="none"/>
                <w:lang w:bidi="ar"/>
              </w:rPr>
            </w:pPr>
            <w:r>
              <w:rPr>
                <w:rFonts w:hAnsi="宋体" w:cs="宋体"/>
                <w:szCs w:val="24"/>
                <w:highlight w:val="none"/>
                <w:lang w:bidi="ar"/>
              </w:rPr>
              <w:t>1、供应商提供</w:t>
            </w:r>
            <w:r>
              <w:rPr>
                <w:rFonts w:hint="eastAsia" w:hAnsi="宋体" w:cs="宋体"/>
                <w:szCs w:val="24"/>
                <w:highlight w:val="none"/>
                <w:lang w:eastAsia="zh-CN" w:bidi="ar"/>
              </w:rPr>
              <w:t>网络生态治理服务</w:t>
            </w:r>
            <w:r>
              <w:rPr>
                <w:rFonts w:hAnsi="宋体" w:cs="宋体"/>
                <w:szCs w:val="24"/>
                <w:highlight w:val="none"/>
                <w:lang w:bidi="ar"/>
              </w:rPr>
              <w:t>平台合法互联网信息数据合作</w:t>
            </w:r>
            <w:r>
              <w:rPr>
                <w:rFonts w:hint="eastAsia" w:hAnsi="宋体" w:cs="宋体"/>
                <w:szCs w:val="24"/>
                <w:highlight w:val="none"/>
                <w:lang w:bidi="ar"/>
              </w:rPr>
              <w:t>/</w:t>
            </w:r>
            <w:r>
              <w:rPr>
                <w:rFonts w:hAnsi="宋体" w:cs="宋体"/>
                <w:szCs w:val="24"/>
                <w:highlight w:val="none"/>
                <w:lang w:bidi="ar"/>
              </w:rPr>
              <w:t xml:space="preserve">数据源授权合作协议复印件，协议在有效期内，可覆盖主流监测数据源，得 </w:t>
            </w:r>
            <w:r>
              <w:rPr>
                <w:rFonts w:hint="eastAsia" w:hAnsi="宋体" w:cs="宋体"/>
                <w:szCs w:val="24"/>
                <w:highlight w:val="none"/>
                <w:lang w:val="en-US" w:eastAsia="zh-CN" w:bidi="ar"/>
              </w:rPr>
              <w:t>2</w:t>
            </w:r>
            <w:r>
              <w:rPr>
                <w:rFonts w:hAnsi="宋体" w:cs="宋体"/>
                <w:szCs w:val="24"/>
                <w:highlight w:val="none"/>
                <w:lang w:bidi="ar"/>
              </w:rPr>
              <w:t xml:space="preserve"> 分；</w:t>
            </w:r>
          </w:p>
          <w:p w14:paraId="1E53F2BC">
            <w:pPr>
              <w:spacing w:line="360" w:lineRule="auto"/>
              <w:rPr>
                <w:rFonts w:hAnsi="宋体" w:cs="宋体"/>
                <w:szCs w:val="24"/>
                <w:highlight w:val="none"/>
                <w:lang w:bidi="ar"/>
              </w:rPr>
            </w:pPr>
            <w:r>
              <w:rPr>
                <w:rFonts w:hAnsi="宋体" w:cs="宋体"/>
                <w:szCs w:val="24"/>
                <w:highlight w:val="none"/>
                <w:lang w:bidi="ar"/>
              </w:rPr>
              <w:t>2、提供平台功能检测报告</w:t>
            </w:r>
            <w:r>
              <w:rPr>
                <w:rFonts w:hint="eastAsia" w:hAnsi="宋体" w:cs="宋体"/>
                <w:szCs w:val="24"/>
                <w:highlight w:val="none"/>
                <w:lang w:bidi="ar"/>
              </w:rPr>
              <w:t>/</w:t>
            </w:r>
            <w:r>
              <w:rPr>
                <w:rFonts w:hAnsi="宋体" w:cs="宋体"/>
                <w:szCs w:val="24"/>
                <w:highlight w:val="none"/>
                <w:lang w:bidi="ar"/>
              </w:rPr>
              <w:t>第三方评测报告，报告能够体现平台具备关键词监测、信息抓取、情感研判、告警推送、多维度统计分析功能，</w:t>
            </w:r>
            <w:r>
              <w:rPr>
                <w:rFonts w:hint="eastAsia" w:hAnsi="宋体" w:cs="宋体"/>
                <w:szCs w:val="24"/>
                <w:highlight w:val="none"/>
                <w:lang w:bidi="ar"/>
              </w:rPr>
              <w:t>得</w:t>
            </w:r>
            <w:r>
              <w:rPr>
                <w:rFonts w:hint="eastAsia" w:hAnsi="宋体" w:cs="宋体"/>
                <w:szCs w:val="24"/>
                <w:highlight w:val="none"/>
                <w:lang w:val="en-US" w:eastAsia="zh-CN" w:bidi="ar"/>
              </w:rPr>
              <w:t>2</w:t>
            </w:r>
            <w:r>
              <w:rPr>
                <w:rFonts w:hAnsi="宋体" w:cs="宋体"/>
                <w:szCs w:val="24"/>
                <w:highlight w:val="none"/>
                <w:lang w:bidi="ar"/>
              </w:rPr>
              <w:t>分。</w:t>
            </w:r>
          </w:p>
        </w:tc>
      </w:tr>
      <w:tr w14:paraId="58206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6" w:type="dxa"/>
            <w:vMerge w:val="continue"/>
            <w:vAlign w:val="center"/>
          </w:tcPr>
          <w:p w14:paraId="6378E2F8">
            <w:pPr>
              <w:spacing w:line="480" w:lineRule="exact"/>
              <w:jc w:val="center"/>
              <w:rPr>
                <w:rFonts w:hAnsi="宋体" w:cs="宋体"/>
                <w:szCs w:val="24"/>
                <w:highlight w:val="none"/>
              </w:rPr>
            </w:pPr>
          </w:p>
        </w:tc>
        <w:tc>
          <w:tcPr>
            <w:tcW w:w="1276" w:type="dxa"/>
            <w:vMerge w:val="continue"/>
            <w:vAlign w:val="center"/>
          </w:tcPr>
          <w:p w14:paraId="2FC5209C">
            <w:pPr>
              <w:spacing w:line="480" w:lineRule="exact"/>
              <w:jc w:val="center"/>
              <w:rPr>
                <w:rFonts w:hAnsi="宋体" w:cs="宋体"/>
                <w:szCs w:val="24"/>
                <w:highlight w:val="none"/>
              </w:rPr>
            </w:pPr>
          </w:p>
        </w:tc>
        <w:tc>
          <w:tcPr>
            <w:tcW w:w="1297" w:type="dxa"/>
            <w:vAlign w:val="center"/>
          </w:tcPr>
          <w:p w14:paraId="3880D4AB">
            <w:pPr>
              <w:spacing w:line="480" w:lineRule="exact"/>
              <w:jc w:val="center"/>
              <w:rPr>
                <w:rFonts w:hAnsi="宋体" w:cs="宋体"/>
                <w:szCs w:val="24"/>
                <w:highlight w:val="none"/>
              </w:rPr>
            </w:pPr>
            <w:r>
              <w:rPr>
                <w:rFonts w:hAnsi="宋体" w:cs="宋体"/>
                <w:szCs w:val="24"/>
                <w:highlight w:val="none"/>
                <w:lang w:bidi="ar"/>
              </w:rPr>
              <w:t>项目专职服务团队配置</w:t>
            </w:r>
          </w:p>
          <w:p w14:paraId="416B6F59">
            <w:pPr>
              <w:spacing w:line="480" w:lineRule="exact"/>
              <w:jc w:val="center"/>
              <w:rPr>
                <w:rFonts w:hAnsi="宋体" w:cs="宋体"/>
                <w:szCs w:val="24"/>
                <w:highlight w:val="none"/>
              </w:rPr>
            </w:pPr>
            <w:r>
              <w:rPr>
                <w:rFonts w:hint="eastAsia" w:hAnsi="宋体" w:cs="宋体"/>
                <w:szCs w:val="24"/>
                <w:highlight w:val="none"/>
              </w:rPr>
              <w:t>（6分）</w:t>
            </w:r>
          </w:p>
        </w:tc>
        <w:tc>
          <w:tcPr>
            <w:tcW w:w="5962" w:type="dxa"/>
            <w:vAlign w:val="center"/>
          </w:tcPr>
          <w:p w14:paraId="519B9142">
            <w:pPr>
              <w:spacing w:line="480" w:lineRule="exact"/>
              <w:rPr>
                <w:highlight w:val="none"/>
              </w:rPr>
            </w:pPr>
            <w:r>
              <w:rPr>
                <w:rFonts w:hAnsi="宋体" w:cs="宋体"/>
                <w:szCs w:val="24"/>
                <w:highlight w:val="none"/>
                <w:lang w:bidi="ar"/>
              </w:rPr>
              <w:t>1.配置项目总负责人1名、专职网络舆情分析师不少于2名、系统技术保障人员不少于</w:t>
            </w:r>
            <w:r>
              <w:rPr>
                <w:rFonts w:hint="eastAsia" w:hAnsi="宋体" w:cs="宋体"/>
                <w:szCs w:val="24"/>
                <w:highlight w:val="none"/>
                <w:lang w:bidi="ar"/>
              </w:rPr>
              <w:t>2</w:t>
            </w:r>
            <w:r>
              <w:rPr>
                <w:rFonts w:hAnsi="宋体" w:cs="宋体"/>
                <w:szCs w:val="24"/>
                <w:highlight w:val="none"/>
                <w:lang w:bidi="ar"/>
              </w:rPr>
              <w:t>名</w:t>
            </w:r>
            <w:r>
              <w:rPr>
                <w:rFonts w:hint="eastAsia" w:hAnsi="宋体" w:cs="宋体"/>
                <w:szCs w:val="24"/>
                <w:highlight w:val="none"/>
                <w:lang w:bidi="ar"/>
              </w:rPr>
              <w:t>，每提供1人得1分，本项最高得6分。</w:t>
            </w:r>
            <w:r>
              <w:rPr>
                <w:rFonts w:hAnsi="宋体" w:cs="宋体"/>
                <w:szCs w:val="24"/>
                <w:highlight w:val="none"/>
                <w:lang w:bidi="ar"/>
              </w:rPr>
              <w:br w:type="textWrapping"/>
            </w:r>
            <w:r>
              <w:rPr>
                <w:rFonts w:hAnsi="宋体" w:cs="宋体"/>
                <w:szCs w:val="24"/>
                <w:highlight w:val="none"/>
                <w:lang w:bidi="ar"/>
              </w:rPr>
              <w:t>备注：</w:t>
            </w:r>
            <w:r>
              <w:rPr>
                <w:rFonts w:hint="eastAsia" w:hAnsi="宋体" w:cs="宋体"/>
                <w:szCs w:val="24"/>
                <w:highlight w:val="none"/>
                <w:lang w:bidi="ar"/>
              </w:rPr>
              <w:t>以上人员需提供身份证复印件、相关信息化专业证书、近3个月由供应商所缴纳的社保缴纳证明。</w:t>
            </w:r>
          </w:p>
        </w:tc>
      </w:tr>
      <w:tr w14:paraId="17AFB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6" w:type="dxa"/>
            <w:vMerge w:val="continue"/>
            <w:vAlign w:val="center"/>
          </w:tcPr>
          <w:p w14:paraId="6E4FC9DD">
            <w:pPr>
              <w:spacing w:line="480" w:lineRule="exact"/>
              <w:jc w:val="center"/>
              <w:rPr>
                <w:rFonts w:hAnsi="宋体" w:cs="宋体"/>
                <w:szCs w:val="24"/>
                <w:highlight w:val="none"/>
              </w:rPr>
            </w:pPr>
          </w:p>
        </w:tc>
        <w:tc>
          <w:tcPr>
            <w:tcW w:w="1276" w:type="dxa"/>
            <w:vMerge w:val="continue"/>
            <w:vAlign w:val="center"/>
          </w:tcPr>
          <w:p w14:paraId="06001195">
            <w:pPr>
              <w:spacing w:line="480" w:lineRule="exact"/>
              <w:jc w:val="center"/>
              <w:rPr>
                <w:rFonts w:hAnsi="宋体" w:cs="宋体"/>
                <w:szCs w:val="24"/>
                <w:highlight w:val="none"/>
              </w:rPr>
            </w:pPr>
          </w:p>
        </w:tc>
        <w:tc>
          <w:tcPr>
            <w:tcW w:w="1297" w:type="dxa"/>
            <w:vAlign w:val="center"/>
          </w:tcPr>
          <w:p w14:paraId="4BAF42FE">
            <w:pPr>
              <w:spacing w:line="480" w:lineRule="exact"/>
              <w:jc w:val="center"/>
              <w:rPr>
                <w:rFonts w:hAnsi="宋体" w:cs="宋体"/>
                <w:szCs w:val="24"/>
                <w:highlight w:val="none"/>
              </w:rPr>
            </w:pPr>
            <w:r>
              <w:rPr>
                <w:rFonts w:hint="eastAsia" w:hAnsi="宋体" w:cs="宋体"/>
                <w:szCs w:val="24"/>
                <w:highlight w:val="none"/>
              </w:rPr>
              <w:t>业绩（10分）</w:t>
            </w:r>
          </w:p>
        </w:tc>
        <w:tc>
          <w:tcPr>
            <w:tcW w:w="5962" w:type="dxa"/>
            <w:vAlign w:val="center"/>
          </w:tcPr>
          <w:p w14:paraId="1DA9D727">
            <w:pPr>
              <w:spacing w:line="480" w:lineRule="exact"/>
              <w:rPr>
                <w:rFonts w:hAnsi="宋体" w:cs="宋体"/>
                <w:szCs w:val="24"/>
                <w:highlight w:val="none"/>
              </w:rPr>
            </w:pPr>
            <w:r>
              <w:rPr>
                <w:highlight w:val="none"/>
              </w:rPr>
              <w:t>投标人近三年（202</w:t>
            </w:r>
            <w:r>
              <w:rPr>
                <w:rFonts w:hint="eastAsia"/>
                <w:highlight w:val="none"/>
              </w:rPr>
              <w:t>3</w:t>
            </w:r>
            <w:r>
              <w:rPr>
                <w:highlight w:val="none"/>
              </w:rPr>
              <w:t>年</w:t>
            </w:r>
            <w:r>
              <w:rPr>
                <w:rFonts w:hint="eastAsia"/>
                <w:highlight w:val="none"/>
              </w:rPr>
              <w:t>1</w:t>
            </w:r>
            <w:r>
              <w:rPr>
                <w:highlight w:val="none"/>
              </w:rPr>
              <w:t>月至今）具有类似项目业绩，每提供一份计</w:t>
            </w:r>
            <w:r>
              <w:rPr>
                <w:rFonts w:hint="eastAsia"/>
                <w:highlight w:val="none"/>
              </w:rPr>
              <w:t>2</w:t>
            </w:r>
            <w:r>
              <w:rPr>
                <w:highlight w:val="none"/>
              </w:rPr>
              <w:t>分，满分</w:t>
            </w:r>
            <w:r>
              <w:rPr>
                <w:rFonts w:hint="eastAsia"/>
                <w:highlight w:val="none"/>
              </w:rPr>
              <w:t>10</w:t>
            </w:r>
            <w:r>
              <w:rPr>
                <w:highlight w:val="none"/>
              </w:rPr>
              <w:t>分。 评审依据：提供</w:t>
            </w:r>
            <w:r>
              <w:rPr>
                <w:rFonts w:hint="eastAsia"/>
                <w:highlight w:val="none"/>
              </w:rPr>
              <w:t>供应商</w:t>
            </w:r>
            <w:r>
              <w:rPr>
                <w:highlight w:val="none"/>
              </w:rPr>
              <w:t>加盖公章的合同协议书复印件</w:t>
            </w:r>
            <w:r>
              <w:rPr>
                <w:rFonts w:hint="eastAsia"/>
                <w:highlight w:val="none"/>
              </w:rPr>
              <w:t>或中标通知书</w:t>
            </w:r>
            <w:r>
              <w:rPr>
                <w:highlight w:val="none"/>
              </w:rPr>
              <w:t>，以合同签订时间为准。</w:t>
            </w:r>
          </w:p>
        </w:tc>
      </w:tr>
      <w:tr w14:paraId="6DE26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6" w:type="dxa"/>
            <w:vMerge w:val="continue"/>
            <w:vAlign w:val="center"/>
          </w:tcPr>
          <w:p w14:paraId="4AAF818F">
            <w:pPr>
              <w:spacing w:line="480" w:lineRule="exact"/>
              <w:jc w:val="center"/>
              <w:rPr>
                <w:rFonts w:hAnsi="宋体" w:cs="宋体"/>
                <w:szCs w:val="24"/>
                <w:highlight w:val="none"/>
              </w:rPr>
            </w:pPr>
          </w:p>
        </w:tc>
        <w:tc>
          <w:tcPr>
            <w:tcW w:w="1276" w:type="dxa"/>
            <w:vMerge w:val="continue"/>
            <w:vAlign w:val="center"/>
          </w:tcPr>
          <w:p w14:paraId="4A0A2516">
            <w:pPr>
              <w:spacing w:line="480" w:lineRule="exact"/>
              <w:jc w:val="center"/>
              <w:rPr>
                <w:rFonts w:hAnsi="宋体" w:cs="宋体"/>
                <w:szCs w:val="24"/>
                <w:highlight w:val="none"/>
              </w:rPr>
            </w:pPr>
          </w:p>
        </w:tc>
        <w:tc>
          <w:tcPr>
            <w:tcW w:w="1297" w:type="dxa"/>
            <w:vAlign w:val="center"/>
          </w:tcPr>
          <w:p w14:paraId="023DAA8B">
            <w:pPr>
              <w:spacing w:line="480" w:lineRule="exact"/>
              <w:jc w:val="center"/>
              <w:rPr>
                <w:rFonts w:hAnsi="宋体" w:cs="宋体"/>
                <w:szCs w:val="24"/>
                <w:highlight w:val="none"/>
              </w:rPr>
            </w:pPr>
            <w:r>
              <w:rPr>
                <w:rFonts w:hint="eastAsia" w:hAnsi="宋体" w:cs="宋体"/>
                <w:szCs w:val="24"/>
                <w:highlight w:val="none"/>
              </w:rPr>
              <w:t>投标报价</w:t>
            </w:r>
          </w:p>
          <w:p w14:paraId="12C4390B">
            <w:pPr>
              <w:spacing w:line="480" w:lineRule="exact"/>
              <w:jc w:val="center"/>
              <w:rPr>
                <w:rFonts w:hAnsi="宋体" w:cs="宋体"/>
                <w:szCs w:val="24"/>
                <w:highlight w:val="none"/>
              </w:rPr>
            </w:pPr>
            <w:r>
              <w:rPr>
                <w:rFonts w:hint="eastAsia" w:hAnsi="宋体" w:cs="宋体"/>
                <w:szCs w:val="24"/>
                <w:highlight w:val="none"/>
              </w:rPr>
              <w:t>（15分）</w:t>
            </w:r>
          </w:p>
        </w:tc>
        <w:tc>
          <w:tcPr>
            <w:tcW w:w="5962" w:type="dxa"/>
            <w:vAlign w:val="center"/>
          </w:tcPr>
          <w:p w14:paraId="0CCD045D">
            <w:pPr>
              <w:spacing w:line="480" w:lineRule="exact"/>
              <w:rPr>
                <w:rFonts w:hAnsi="宋体" w:cs="宋体"/>
                <w:szCs w:val="24"/>
                <w:highlight w:val="none"/>
              </w:rPr>
            </w:pPr>
            <w:r>
              <w:rPr>
                <w:rFonts w:hint="eastAsia" w:hAnsi="宋体" w:cs="宋体"/>
                <w:szCs w:val="24"/>
                <w:highlight w:val="none"/>
              </w:rPr>
              <w:t>1.经初审合格的投标文件，其投标报价为有效投标价。</w:t>
            </w:r>
          </w:p>
          <w:p w14:paraId="302D1218">
            <w:pPr>
              <w:spacing w:line="480" w:lineRule="exact"/>
              <w:rPr>
                <w:rFonts w:hAnsi="宋体" w:cs="宋体"/>
                <w:szCs w:val="24"/>
                <w:highlight w:val="none"/>
              </w:rPr>
            </w:pPr>
            <w:r>
              <w:rPr>
                <w:rFonts w:hint="eastAsia" w:hAnsi="宋体" w:cs="宋体"/>
                <w:szCs w:val="24"/>
                <w:highlight w:val="none"/>
              </w:rPr>
              <w:t>2.有效最低报价为基准价得15分。</w:t>
            </w:r>
          </w:p>
          <w:p w14:paraId="4C1BDFEF">
            <w:pPr>
              <w:spacing w:line="480" w:lineRule="exact"/>
              <w:rPr>
                <w:rFonts w:hAnsi="宋体" w:cs="宋体"/>
                <w:szCs w:val="24"/>
                <w:highlight w:val="none"/>
              </w:rPr>
            </w:pPr>
            <w:r>
              <w:rPr>
                <w:rFonts w:hint="eastAsia" w:hAnsi="宋体" w:cs="宋体"/>
                <w:szCs w:val="24"/>
                <w:highlight w:val="none"/>
              </w:rPr>
              <w:t>3.按（有效最低报价/有效投标报价）×15的公式计算其得分。</w:t>
            </w:r>
          </w:p>
          <w:p w14:paraId="646ABD06">
            <w:pPr>
              <w:spacing w:line="480" w:lineRule="exact"/>
              <w:rPr>
                <w:rFonts w:hAnsi="宋体" w:cs="宋体"/>
                <w:szCs w:val="24"/>
                <w:highlight w:val="none"/>
              </w:rPr>
            </w:pPr>
            <w:r>
              <w:rPr>
                <w:rFonts w:hint="eastAsia" w:hAnsi="宋体" w:cs="宋体"/>
                <w:szCs w:val="24"/>
                <w:highlight w:val="none"/>
              </w:rPr>
              <w:t>4.经评委一致认定，投标人的投标总报价低于公认市场成本，或超过采购预算,其投标将被拒绝。</w:t>
            </w:r>
          </w:p>
        </w:tc>
      </w:tr>
      <w:tr w14:paraId="505DB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2112" w:type="dxa"/>
            <w:gridSpan w:val="2"/>
            <w:vAlign w:val="center"/>
          </w:tcPr>
          <w:p w14:paraId="220634F0">
            <w:pPr>
              <w:spacing w:line="480" w:lineRule="exact"/>
              <w:jc w:val="center"/>
              <w:rPr>
                <w:rFonts w:hAnsi="宋体" w:cs="宋体"/>
                <w:szCs w:val="24"/>
                <w:highlight w:val="none"/>
              </w:rPr>
            </w:pPr>
            <w:r>
              <w:rPr>
                <w:rFonts w:hint="eastAsia" w:hAnsi="宋体" w:cs="宋体"/>
                <w:szCs w:val="24"/>
                <w:highlight w:val="none"/>
              </w:rPr>
              <w:t>异常低价审查</w:t>
            </w:r>
          </w:p>
        </w:tc>
        <w:tc>
          <w:tcPr>
            <w:tcW w:w="7259" w:type="dxa"/>
            <w:gridSpan w:val="2"/>
            <w:vAlign w:val="center"/>
          </w:tcPr>
          <w:p w14:paraId="6329A9A3">
            <w:pPr>
              <w:tabs>
                <w:tab w:val="left" w:pos="1599"/>
              </w:tabs>
              <w:spacing w:line="360" w:lineRule="auto"/>
              <w:jc w:val="left"/>
              <w:rPr>
                <w:rFonts w:hAnsi="宋体" w:cs="宋体"/>
                <w:szCs w:val="24"/>
                <w:highlight w:val="none"/>
              </w:rPr>
            </w:pPr>
            <w:r>
              <w:rPr>
                <w:rFonts w:hint="eastAsia" w:hAnsi="宋体" w:cs="宋体"/>
                <w:szCs w:val="24"/>
                <w:highlight w:val="none"/>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r>
      <w:tr w14:paraId="50966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2112" w:type="dxa"/>
            <w:gridSpan w:val="2"/>
            <w:vAlign w:val="center"/>
          </w:tcPr>
          <w:p w14:paraId="35A3FAFD">
            <w:pPr>
              <w:spacing w:line="480" w:lineRule="exact"/>
              <w:jc w:val="center"/>
              <w:rPr>
                <w:rFonts w:hAnsi="宋体" w:cs="宋体"/>
                <w:szCs w:val="24"/>
                <w:highlight w:val="none"/>
              </w:rPr>
            </w:pPr>
            <w:r>
              <w:rPr>
                <w:rFonts w:hint="eastAsia" w:hAnsi="宋体" w:cs="宋体"/>
                <w:szCs w:val="24"/>
                <w:highlight w:val="none"/>
              </w:rPr>
              <w:t>备注</w:t>
            </w:r>
          </w:p>
        </w:tc>
        <w:tc>
          <w:tcPr>
            <w:tcW w:w="7259" w:type="dxa"/>
            <w:gridSpan w:val="2"/>
            <w:vAlign w:val="center"/>
          </w:tcPr>
          <w:p w14:paraId="6EE09DEA">
            <w:pPr>
              <w:spacing w:line="360" w:lineRule="auto"/>
              <w:jc w:val="left"/>
              <w:rPr>
                <w:rFonts w:hAnsi="宋体" w:cs="宋体"/>
                <w:szCs w:val="24"/>
                <w:highlight w:val="none"/>
              </w:rPr>
            </w:pPr>
            <w:r>
              <w:rPr>
                <w:rFonts w:hint="eastAsia" w:hAnsi="宋体" w:cs="宋体"/>
                <w:szCs w:val="24"/>
                <w:highlight w:val="none"/>
              </w:rPr>
              <w:t>1）各评标委员会独立打分。</w:t>
            </w:r>
          </w:p>
          <w:p w14:paraId="3A170A53">
            <w:pPr>
              <w:spacing w:line="360" w:lineRule="auto"/>
              <w:jc w:val="left"/>
              <w:rPr>
                <w:rFonts w:hAnsi="宋体" w:cs="宋体"/>
                <w:szCs w:val="24"/>
                <w:highlight w:val="none"/>
              </w:rPr>
            </w:pPr>
            <w:r>
              <w:rPr>
                <w:rFonts w:hint="eastAsia" w:hAnsi="宋体" w:cs="宋体"/>
                <w:szCs w:val="24"/>
                <w:highlight w:val="none"/>
              </w:rPr>
              <w:t>2）评标委员会成员打分超过得分界限或未按本表规定赋分时，该成员的打分作废，不计入汇总分。</w:t>
            </w:r>
          </w:p>
          <w:p w14:paraId="20F3F6C9">
            <w:pPr>
              <w:spacing w:line="360" w:lineRule="auto"/>
              <w:jc w:val="left"/>
              <w:rPr>
                <w:rFonts w:hAnsi="宋体" w:cs="宋体"/>
                <w:szCs w:val="24"/>
                <w:highlight w:val="none"/>
              </w:rPr>
            </w:pPr>
            <w:r>
              <w:rPr>
                <w:rFonts w:hint="eastAsia" w:hAnsi="宋体" w:cs="宋体"/>
                <w:szCs w:val="24"/>
                <w:highlight w:val="none"/>
              </w:rPr>
              <w:t>3）若出现综合得分并列时，比较价格得分，此分项得分高者排序在前；若价格得分仍相同，比较技术得分，此分项得分高者排序在前；若技术得分仍相同，则由全体评标委员会成员无记名投票，得票高者排序在前。</w:t>
            </w:r>
          </w:p>
          <w:p w14:paraId="4A4F2E52">
            <w:pPr>
              <w:spacing w:line="360" w:lineRule="auto"/>
              <w:jc w:val="left"/>
              <w:rPr>
                <w:rFonts w:hAnsi="宋体" w:cs="宋体"/>
                <w:szCs w:val="24"/>
                <w:highlight w:val="none"/>
              </w:rPr>
            </w:pPr>
            <w:r>
              <w:rPr>
                <w:rFonts w:hint="eastAsia" w:hAnsi="宋体" w:cs="宋体"/>
                <w:szCs w:val="24"/>
                <w:highlight w:val="none"/>
              </w:rPr>
              <w:t>4）各种计算采用插入法，数字均保留一位小数，第二位“四舍五入”。</w:t>
            </w:r>
          </w:p>
          <w:p w14:paraId="5AB0ED8F">
            <w:pPr>
              <w:tabs>
                <w:tab w:val="left" w:pos="1599"/>
              </w:tabs>
              <w:jc w:val="left"/>
              <w:rPr>
                <w:rFonts w:hAnsi="宋体" w:cs="宋体"/>
                <w:b/>
                <w:bCs/>
                <w:szCs w:val="24"/>
                <w:highlight w:val="none"/>
              </w:rPr>
            </w:pPr>
            <w:r>
              <w:rPr>
                <w:rFonts w:hint="eastAsia" w:hAnsi="宋体" w:cs="宋体"/>
                <w:szCs w:val="24"/>
                <w:highlight w:val="none"/>
              </w:rPr>
              <w:t>5）评审过程中，若出现特殊情况时，由评审委员会决定暂停评审，并提出具体处理意见。</w:t>
            </w:r>
          </w:p>
        </w:tc>
      </w:tr>
    </w:tbl>
    <w:p w14:paraId="34A45034">
      <w:pPr>
        <w:spacing w:line="360" w:lineRule="auto"/>
        <w:rPr>
          <w:rFonts w:hAnsi="宋体" w:cs="宋体"/>
          <w:szCs w:val="24"/>
          <w:highlight w:val="none"/>
        </w:rPr>
      </w:pPr>
    </w:p>
    <w:p w14:paraId="1EA599AF">
      <w:pPr>
        <w:spacing w:line="460" w:lineRule="exact"/>
        <w:rPr>
          <w:rFonts w:hAnsi="宋体" w:cs="宋体"/>
          <w:b/>
          <w:spacing w:val="4"/>
          <w:sz w:val="28"/>
          <w:szCs w:val="24"/>
          <w:highlight w:val="none"/>
        </w:rPr>
      </w:pPr>
      <w:r>
        <w:rPr>
          <w:rFonts w:hint="eastAsia" w:hAnsi="宋体" w:cs="宋体"/>
          <w:b/>
          <w:spacing w:val="4"/>
          <w:sz w:val="28"/>
          <w:szCs w:val="24"/>
          <w:highlight w:val="none"/>
        </w:rPr>
        <w:t>五、定标：</w:t>
      </w:r>
    </w:p>
    <w:p w14:paraId="52058A4B">
      <w:pPr>
        <w:spacing w:line="460" w:lineRule="exact"/>
        <w:ind w:firstLine="496" w:firstLineChars="200"/>
        <w:rPr>
          <w:rFonts w:hAnsi="宋体" w:cs="宋体"/>
          <w:spacing w:val="4"/>
          <w:szCs w:val="24"/>
          <w:highlight w:val="none"/>
        </w:rPr>
      </w:pPr>
      <w:r>
        <w:rPr>
          <w:rFonts w:hint="eastAsia" w:hAnsi="宋体" w:cs="宋体"/>
          <w:spacing w:val="4"/>
          <w:szCs w:val="24"/>
          <w:highlight w:val="none"/>
        </w:rPr>
        <w:t>1、评标结果由</w:t>
      </w:r>
      <w:r>
        <w:rPr>
          <w:rFonts w:hint="eastAsia" w:hAnsi="宋体" w:cs="宋体"/>
          <w:szCs w:val="24"/>
          <w:highlight w:val="none"/>
        </w:rPr>
        <w:t>磋商小组</w:t>
      </w:r>
      <w:r>
        <w:rPr>
          <w:rFonts w:hint="eastAsia" w:hAnsi="宋体" w:cs="宋体"/>
          <w:spacing w:val="4"/>
          <w:szCs w:val="24"/>
          <w:highlight w:val="none"/>
        </w:rPr>
        <w:t>全体</w:t>
      </w:r>
      <w:r>
        <w:rPr>
          <w:rFonts w:hint="eastAsia" w:hAnsi="宋体" w:cs="宋体"/>
          <w:szCs w:val="24"/>
          <w:highlight w:val="none"/>
        </w:rPr>
        <w:t>成员</w:t>
      </w:r>
      <w:r>
        <w:rPr>
          <w:rFonts w:hint="eastAsia" w:hAnsi="宋体" w:cs="宋体"/>
          <w:spacing w:val="4"/>
          <w:szCs w:val="24"/>
          <w:highlight w:val="none"/>
        </w:rPr>
        <w:t>签字确认。</w:t>
      </w:r>
    </w:p>
    <w:p w14:paraId="3997302B">
      <w:pPr>
        <w:spacing w:line="460" w:lineRule="exact"/>
        <w:ind w:firstLine="496" w:firstLineChars="200"/>
        <w:rPr>
          <w:rFonts w:hAnsi="宋体" w:cs="宋体"/>
          <w:spacing w:val="4"/>
          <w:szCs w:val="24"/>
          <w:highlight w:val="none"/>
        </w:rPr>
      </w:pPr>
      <w:r>
        <w:rPr>
          <w:rFonts w:hint="eastAsia" w:hAnsi="宋体" w:cs="宋体"/>
          <w:spacing w:val="4"/>
          <w:szCs w:val="24"/>
          <w:highlight w:val="none"/>
        </w:rPr>
        <w:t>2、采购人根据评标报告中推荐的成交候选人排列顺序确定供应商，以复函通知招标代理机构。</w:t>
      </w:r>
    </w:p>
    <w:p w14:paraId="781FC20D">
      <w:pPr>
        <w:rPr>
          <w:rFonts w:hAnsi="宋体" w:cs="宋体"/>
          <w:highlight w:val="none"/>
        </w:rPr>
      </w:pPr>
    </w:p>
    <w:p w14:paraId="75646428">
      <w:pPr>
        <w:pStyle w:val="18"/>
        <w:spacing w:line="360" w:lineRule="auto"/>
        <w:ind w:left="0" w:leftChars="0" w:firstLine="0" w:firstLineChars="0"/>
        <w:rPr>
          <w:rFonts w:cs="宋体"/>
          <w:b/>
          <w:sz w:val="24"/>
          <w:szCs w:val="24"/>
          <w:highlight w:val="none"/>
        </w:rPr>
      </w:pPr>
      <w:r>
        <w:rPr>
          <w:rFonts w:hint="eastAsia" w:cs="宋体"/>
          <w:b/>
          <w:sz w:val="24"/>
          <w:szCs w:val="24"/>
          <w:highlight w:val="none"/>
        </w:rPr>
        <w:br w:type="page"/>
      </w:r>
    </w:p>
    <w:p w14:paraId="2763410D">
      <w:pPr>
        <w:pStyle w:val="2"/>
        <w:rPr>
          <w:rFonts w:ascii="宋体" w:cs="宋体"/>
          <w:bCs/>
          <w:szCs w:val="36"/>
          <w:highlight w:val="none"/>
        </w:rPr>
      </w:pPr>
      <w:bookmarkStart w:id="93" w:name="_Toc8788"/>
      <w:bookmarkStart w:id="94" w:name="_Toc17239"/>
      <w:bookmarkStart w:id="95" w:name="_Toc10029"/>
      <w:r>
        <w:rPr>
          <w:rFonts w:hint="eastAsia" w:ascii="宋体" w:cs="宋体"/>
          <w:bCs/>
          <w:szCs w:val="36"/>
          <w:highlight w:val="none"/>
        </w:rPr>
        <w:t>第四章  合同条款及格式</w:t>
      </w:r>
      <w:bookmarkEnd w:id="67"/>
      <w:bookmarkEnd w:id="68"/>
      <w:bookmarkEnd w:id="69"/>
      <w:bookmarkEnd w:id="93"/>
      <w:bookmarkEnd w:id="94"/>
      <w:bookmarkEnd w:id="95"/>
    </w:p>
    <w:p w14:paraId="25C36691">
      <w:pPr>
        <w:tabs>
          <w:tab w:val="left" w:pos="210"/>
          <w:tab w:val="left" w:pos="525"/>
        </w:tabs>
        <w:spacing w:line="360" w:lineRule="auto"/>
        <w:jc w:val="center"/>
        <w:outlineLvl w:val="1"/>
        <w:rPr>
          <w:rFonts w:hAnsi="宋体" w:cs="宋体"/>
          <w:sz w:val="32"/>
          <w:szCs w:val="32"/>
          <w:highlight w:val="none"/>
        </w:rPr>
      </w:pPr>
      <w:bookmarkStart w:id="96" w:name="_Toc32476"/>
      <w:bookmarkStart w:id="97" w:name="_Toc24218"/>
      <w:bookmarkStart w:id="98" w:name="_Toc23705"/>
      <w:bookmarkStart w:id="99" w:name="_Toc28492"/>
      <w:bookmarkStart w:id="100" w:name="_Toc3424"/>
      <w:r>
        <w:rPr>
          <w:rFonts w:hint="eastAsia" w:hAnsi="宋体" w:cs="宋体"/>
          <w:b/>
          <w:bCs/>
          <w:sz w:val="32"/>
          <w:szCs w:val="32"/>
          <w:highlight w:val="none"/>
        </w:rPr>
        <w:t>合同前附表</w:t>
      </w:r>
      <w:bookmarkEnd w:id="96"/>
      <w:bookmarkEnd w:id="97"/>
      <w:bookmarkEnd w:id="98"/>
      <w:bookmarkEnd w:id="99"/>
      <w:bookmarkEnd w:id="100"/>
    </w:p>
    <w:p w14:paraId="54429028">
      <w:pPr>
        <w:rPr>
          <w:rFonts w:hAnsi="宋体" w:cs="宋体"/>
          <w:highlight w:val="none"/>
        </w:rPr>
      </w:pPr>
    </w:p>
    <w:p w14:paraId="18A13350">
      <w:pPr>
        <w:rPr>
          <w:rFonts w:hAnsi="宋体" w:cs="宋体"/>
          <w:szCs w:val="24"/>
          <w:highlight w:val="none"/>
        </w:rPr>
      </w:pPr>
      <w:r>
        <w:rPr>
          <w:rFonts w:hint="eastAsia" w:hAnsi="宋体" w:cs="宋体"/>
          <w:szCs w:val="24"/>
          <w:highlight w:val="none"/>
        </w:rPr>
        <w:t>本表是对合同条款的具体补充和修改，如有矛盾，应以本资料表为准。</w:t>
      </w:r>
    </w:p>
    <w:tbl>
      <w:tblPr>
        <w:tblStyle w:val="2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71"/>
        <w:gridCol w:w="8181"/>
      </w:tblGrid>
      <w:tr w14:paraId="54AFFB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rPr>
        <w:tc>
          <w:tcPr>
            <w:tcW w:w="1171" w:type="dxa"/>
            <w:vAlign w:val="center"/>
          </w:tcPr>
          <w:p w14:paraId="7B3A434C">
            <w:pPr>
              <w:spacing w:line="360" w:lineRule="auto"/>
              <w:jc w:val="center"/>
              <w:rPr>
                <w:rFonts w:hAnsi="宋体" w:cs="宋体"/>
                <w:szCs w:val="24"/>
                <w:highlight w:val="none"/>
              </w:rPr>
            </w:pPr>
            <w:r>
              <w:rPr>
                <w:rFonts w:hint="eastAsia" w:hAnsi="宋体" w:cs="宋体"/>
                <w:szCs w:val="24"/>
                <w:highlight w:val="none"/>
              </w:rPr>
              <w:t>条款号</w:t>
            </w:r>
          </w:p>
        </w:tc>
        <w:tc>
          <w:tcPr>
            <w:tcW w:w="8181" w:type="dxa"/>
            <w:vAlign w:val="center"/>
          </w:tcPr>
          <w:p w14:paraId="0534C681">
            <w:pPr>
              <w:spacing w:line="360" w:lineRule="auto"/>
              <w:jc w:val="center"/>
              <w:rPr>
                <w:rFonts w:hAnsi="宋体" w:cs="宋体"/>
                <w:szCs w:val="24"/>
                <w:highlight w:val="none"/>
              </w:rPr>
            </w:pPr>
            <w:r>
              <w:rPr>
                <w:rFonts w:hint="eastAsia" w:hAnsi="宋体" w:cs="宋体"/>
                <w:szCs w:val="24"/>
                <w:highlight w:val="none"/>
              </w:rPr>
              <w:t>内      容</w:t>
            </w:r>
          </w:p>
        </w:tc>
      </w:tr>
      <w:tr w14:paraId="00D82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477" w:hRule="exact"/>
        </w:trPr>
        <w:tc>
          <w:tcPr>
            <w:tcW w:w="1171" w:type="dxa"/>
            <w:vAlign w:val="center"/>
          </w:tcPr>
          <w:p w14:paraId="7E4230FF">
            <w:pPr>
              <w:spacing w:line="360" w:lineRule="auto"/>
              <w:jc w:val="center"/>
              <w:rPr>
                <w:rFonts w:hAnsi="宋体" w:cs="宋体"/>
                <w:szCs w:val="24"/>
                <w:highlight w:val="none"/>
              </w:rPr>
            </w:pPr>
            <w:r>
              <w:rPr>
                <w:rFonts w:hint="eastAsia" w:hAnsi="宋体" w:cs="宋体"/>
                <w:szCs w:val="24"/>
                <w:highlight w:val="none"/>
              </w:rPr>
              <w:t>1</w:t>
            </w:r>
          </w:p>
        </w:tc>
        <w:tc>
          <w:tcPr>
            <w:tcW w:w="8181" w:type="dxa"/>
            <w:vAlign w:val="center"/>
          </w:tcPr>
          <w:p w14:paraId="4C5EAB2F">
            <w:pPr>
              <w:spacing w:line="360" w:lineRule="auto"/>
              <w:rPr>
                <w:rFonts w:hAnsi="宋体" w:cs="宋体"/>
                <w:szCs w:val="24"/>
                <w:highlight w:val="none"/>
              </w:rPr>
            </w:pPr>
            <w:r>
              <w:rPr>
                <w:rFonts w:hint="eastAsia" w:hAnsi="宋体" w:cs="宋体"/>
                <w:szCs w:val="24"/>
                <w:highlight w:val="none"/>
              </w:rPr>
              <w:t>采购人名称：秦始皇帝陵博物院</w:t>
            </w:r>
          </w:p>
          <w:p w14:paraId="66DA1059">
            <w:pPr>
              <w:tabs>
                <w:tab w:val="left" w:pos="1440"/>
                <w:tab w:val="left" w:pos="1680"/>
              </w:tabs>
              <w:spacing w:line="360" w:lineRule="auto"/>
              <w:jc w:val="left"/>
              <w:rPr>
                <w:rFonts w:hAnsi="宋体" w:cs="宋体"/>
                <w:szCs w:val="24"/>
                <w:highlight w:val="none"/>
              </w:rPr>
            </w:pPr>
            <w:r>
              <w:rPr>
                <w:rFonts w:hint="eastAsia" w:hAnsi="宋体" w:cs="宋体"/>
                <w:szCs w:val="24"/>
                <w:highlight w:val="none"/>
              </w:rPr>
              <w:t>地      址： 西安市临潼区秦陵街办</w:t>
            </w:r>
          </w:p>
          <w:p w14:paraId="56B22436">
            <w:pPr>
              <w:tabs>
                <w:tab w:val="left" w:pos="1440"/>
                <w:tab w:val="left" w:pos="1680"/>
              </w:tabs>
              <w:spacing w:line="360" w:lineRule="auto"/>
              <w:jc w:val="left"/>
              <w:rPr>
                <w:rFonts w:hAnsi="宋体" w:cs="宋体"/>
                <w:szCs w:val="24"/>
                <w:highlight w:val="none"/>
              </w:rPr>
            </w:pPr>
            <w:r>
              <w:rPr>
                <w:rFonts w:hint="eastAsia" w:hAnsi="宋体" w:cs="宋体"/>
                <w:szCs w:val="24"/>
                <w:highlight w:val="none"/>
              </w:rPr>
              <w:t>项目名称：</w:t>
            </w:r>
            <w:r>
              <w:rPr>
                <w:rFonts w:hint="eastAsia" w:hAnsi="宋体" w:cs="宋体"/>
                <w:szCs w:val="24"/>
                <w:highlight w:val="none"/>
                <w:lang w:eastAsia="zh-CN"/>
              </w:rPr>
              <w:t>网络生态治理服务</w:t>
            </w:r>
            <w:r>
              <w:rPr>
                <w:rFonts w:hint="eastAsia" w:hAnsi="宋体" w:cs="宋体"/>
                <w:szCs w:val="24"/>
                <w:highlight w:val="none"/>
              </w:rPr>
              <w:t>项目</w:t>
            </w:r>
          </w:p>
          <w:p w14:paraId="0B240B74">
            <w:pPr>
              <w:tabs>
                <w:tab w:val="left" w:pos="1440"/>
                <w:tab w:val="left" w:pos="1680"/>
              </w:tabs>
              <w:spacing w:line="360" w:lineRule="auto"/>
              <w:jc w:val="left"/>
              <w:rPr>
                <w:rFonts w:hAnsi="宋体" w:cs="宋体"/>
                <w:szCs w:val="24"/>
                <w:highlight w:val="none"/>
              </w:rPr>
            </w:pPr>
            <w:r>
              <w:rPr>
                <w:rFonts w:hint="eastAsia" w:hAnsi="宋体" w:cs="宋体"/>
                <w:szCs w:val="24"/>
                <w:highlight w:val="none"/>
              </w:rPr>
              <w:t>资金来源：财政资金</w:t>
            </w:r>
          </w:p>
        </w:tc>
      </w:tr>
      <w:tr w14:paraId="2A522F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exact"/>
        </w:trPr>
        <w:tc>
          <w:tcPr>
            <w:tcW w:w="1171" w:type="dxa"/>
            <w:vAlign w:val="center"/>
          </w:tcPr>
          <w:p w14:paraId="7E704DFD">
            <w:pPr>
              <w:spacing w:line="360" w:lineRule="auto"/>
              <w:jc w:val="center"/>
              <w:rPr>
                <w:rFonts w:hAnsi="宋体" w:cs="宋体"/>
                <w:szCs w:val="24"/>
                <w:highlight w:val="none"/>
              </w:rPr>
            </w:pPr>
            <w:r>
              <w:rPr>
                <w:rFonts w:hint="eastAsia" w:hAnsi="宋体" w:cs="宋体"/>
                <w:szCs w:val="24"/>
                <w:highlight w:val="none"/>
              </w:rPr>
              <w:t>2</w:t>
            </w:r>
          </w:p>
        </w:tc>
        <w:tc>
          <w:tcPr>
            <w:tcW w:w="8181" w:type="dxa"/>
            <w:vAlign w:val="center"/>
          </w:tcPr>
          <w:p w14:paraId="356CCF1C">
            <w:pPr>
              <w:spacing w:line="360" w:lineRule="auto"/>
              <w:rPr>
                <w:rFonts w:hAnsi="宋体" w:cs="宋体"/>
                <w:szCs w:val="24"/>
                <w:highlight w:val="none"/>
              </w:rPr>
            </w:pPr>
            <w:r>
              <w:rPr>
                <w:rFonts w:hint="eastAsia" w:hAnsi="宋体" w:cs="宋体"/>
                <w:szCs w:val="24"/>
                <w:highlight w:val="none"/>
              </w:rPr>
              <w:t>项目实施地点：秦始皇帝陵博物院</w:t>
            </w:r>
          </w:p>
        </w:tc>
      </w:tr>
      <w:tr w14:paraId="49E204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04" w:hRule="exact"/>
        </w:trPr>
        <w:tc>
          <w:tcPr>
            <w:tcW w:w="1171" w:type="dxa"/>
            <w:vAlign w:val="center"/>
          </w:tcPr>
          <w:p w14:paraId="2DEC82EC">
            <w:pPr>
              <w:spacing w:line="360" w:lineRule="auto"/>
              <w:jc w:val="center"/>
              <w:rPr>
                <w:rFonts w:hAnsi="宋体" w:cs="宋体"/>
                <w:szCs w:val="24"/>
                <w:highlight w:val="none"/>
              </w:rPr>
            </w:pPr>
            <w:r>
              <w:rPr>
                <w:rFonts w:hint="eastAsia" w:hAnsi="宋体" w:cs="宋体"/>
                <w:szCs w:val="24"/>
                <w:highlight w:val="none"/>
              </w:rPr>
              <w:t>3</w:t>
            </w:r>
          </w:p>
        </w:tc>
        <w:tc>
          <w:tcPr>
            <w:tcW w:w="8181" w:type="dxa"/>
            <w:vAlign w:val="center"/>
          </w:tcPr>
          <w:p w14:paraId="65676030">
            <w:pPr>
              <w:spacing w:line="360" w:lineRule="auto"/>
              <w:rPr>
                <w:rFonts w:hAnsi="宋体" w:cs="宋体"/>
                <w:szCs w:val="24"/>
                <w:highlight w:val="none"/>
              </w:rPr>
            </w:pPr>
            <w:r>
              <w:rPr>
                <w:rFonts w:hint="eastAsia" w:hAnsi="宋体" w:cs="宋体"/>
                <w:szCs w:val="24"/>
                <w:highlight w:val="none"/>
              </w:rPr>
              <w:t>服务期：</w:t>
            </w:r>
            <w:r>
              <w:rPr>
                <w:rFonts w:hint="eastAsia" w:cs="宋体"/>
                <w:color w:val="333333"/>
                <w:highlight w:val="none"/>
                <w:shd w:val="clear" w:color="auto" w:fill="FFFFFF"/>
              </w:rPr>
              <w:t>自合同签订之日起1年（服务期满后，如服务内容和价格无变化，委托人可根据服务期内的考核情况决定是否续签下一年度合同，合同续签最长不超过两年。）</w:t>
            </w:r>
          </w:p>
        </w:tc>
      </w:tr>
      <w:tr w14:paraId="229EBF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87" w:hRule="atLeast"/>
        </w:trPr>
        <w:tc>
          <w:tcPr>
            <w:tcW w:w="1171" w:type="dxa"/>
            <w:vAlign w:val="center"/>
          </w:tcPr>
          <w:p w14:paraId="7EC349A8">
            <w:pPr>
              <w:spacing w:line="360" w:lineRule="auto"/>
              <w:jc w:val="center"/>
              <w:rPr>
                <w:rFonts w:hAnsi="宋体" w:cs="宋体"/>
                <w:szCs w:val="24"/>
                <w:highlight w:val="none"/>
              </w:rPr>
            </w:pPr>
            <w:r>
              <w:rPr>
                <w:rFonts w:hint="eastAsia" w:hAnsi="宋体" w:cs="宋体"/>
                <w:szCs w:val="24"/>
                <w:highlight w:val="none"/>
              </w:rPr>
              <w:t>4</w:t>
            </w:r>
          </w:p>
        </w:tc>
        <w:tc>
          <w:tcPr>
            <w:tcW w:w="8181" w:type="dxa"/>
            <w:vAlign w:val="center"/>
          </w:tcPr>
          <w:p w14:paraId="24ED9C6E">
            <w:pPr>
              <w:spacing w:line="360" w:lineRule="auto"/>
              <w:rPr>
                <w:rFonts w:hAnsi="宋体" w:cs="宋体"/>
                <w:b/>
                <w:sz w:val="28"/>
                <w:szCs w:val="28"/>
                <w:highlight w:val="none"/>
              </w:rPr>
            </w:pPr>
            <w:r>
              <w:rPr>
                <w:rFonts w:hint="eastAsia" w:hAnsi="宋体" w:cs="宋体"/>
                <w:b/>
                <w:sz w:val="28"/>
                <w:szCs w:val="28"/>
                <w:highlight w:val="none"/>
              </w:rPr>
              <w:t>付款：</w:t>
            </w:r>
          </w:p>
          <w:p w14:paraId="4A96FF1A">
            <w:pPr>
              <w:spacing w:line="360" w:lineRule="auto"/>
              <w:rPr>
                <w:rFonts w:hAnsi="宋体" w:cs="宋体"/>
                <w:szCs w:val="24"/>
                <w:highlight w:val="none"/>
              </w:rPr>
            </w:pPr>
            <w:r>
              <w:rPr>
                <w:rFonts w:hint="eastAsia" w:hAnsi="宋体" w:cs="宋体"/>
                <w:szCs w:val="24"/>
                <w:highlight w:val="none"/>
              </w:rPr>
              <w:t>1.合同总价即成交价，不受市场价变化或实际工作量变化的影响。供应商应在磋商报价表中标明完成本次磋商所要求的全部服务的所有费用。</w:t>
            </w:r>
          </w:p>
          <w:p w14:paraId="1DC56BCD">
            <w:pPr>
              <w:spacing w:line="360" w:lineRule="auto"/>
              <w:ind w:firstLine="480" w:firstLineChars="200"/>
              <w:rPr>
                <w:rFonts w:hAnsi="宋体" w:cs="宋体"/>
                <w:szCs w:val="24"/>
                <w:highlight w:val="none"/>
              </w:rPr>
            </w:pPr>
            <w:r>
              <w:rPr>
                <w:rFonts w:hint="eastAsia" w:hAnsi="宋体" w:cs="宋体"/>
                <w:szCs w:val="24"/>
                <w:highlight w:val="none"/>
              </w:rPr>
              <w:t>2.付款方式和程序：</w:t>
            </w:r>
          </w:p>
          <w:p w14:paraId="39C56BC5">
            <w:pPr>
              <w:spacing w:line="360" w:lineRule="auto"/>
              <w:ind w:firstLine="480" w:firstLineChars="200"/>
              <w:rPr>
                <w:rFonts w:hAnsi="宋体" w:cs="宋体"/>
                <w:szCs w:val="24"/>
                <w:highlight w:val="none"/>
              </w:rPr>
            </w:pPr>
            <w:r>
              <w:rPr>
                <w:rFonts w:hint="eastAsia" w:hAnsi="宋体" w:cs="宋体"/>
                <w:szCs w:val="24"/>
                <w:highlight w:val="none"/>
              </w:rPr>
              <w:t>2.1由采购人负责结算，在付款前，供应商必须开具全额发票给采购人（附详细清单）。</w:t>
            </w:r>
          </w:p>
          <w:p w14:paraId="65C4254D">
            <w:pPr>
              <w:spacing w:line="360" w:lineRule="auto"/>
              <w:ind w:firstLine="480" w:firstLineChars="200"/>
              <w:rPr>
                <w:rFonts w:hAnsi="宋体" w:cs="宋体"/>
                <w:szCs w:val="24"/>
                <w:highlight w:val="none"/>
              </w:rPr>
            </w:pPr>
            <w:r>
              <w:rPr>
                <w:rFonts w:hint="eastAsia" w:hAnsi="宋体" w:cs="宋体"/>
                <w:szCs w:val="24"/>
                <w:highlight w:val="none"/>
              </w:rPr>
              <w:t>2.2付款方式：</w:t>
            </w:r>
          </w:p>
          <w:p w14:paraId="30D7F8C7">
            <w:pPr>
              <w:pStyle w:val="48"/>
              <w:spacing w:line="360" w:lineRule="auto"/>
              <w:rPr>
                <w:rFonts w:hint="default"/>
                <w:sz w:val="22"/>
                <w:szCs w:val="22"/>
                <w:highlight w:val="none"/>
                <w:lang w:eastAsia="zh-CN"/>
              </w:rPr>
            </w:pPr>
            <w:r>
              <w:rPr>
                <w:sz w:val="22"/>
                <w:szCs w:val="22"/>
                <w:highlight w:val="none"/>
              </w:rPr>
              <w:t xml:space="preserve"> </w:t>
            </w:r>
            <w:r>
              <w:rPr>
                <w:sz w:val="22"/>
                <w:szCs w:val="22"/>
                <w:highlight w:val="none"/>
                <w:lang w:eastAsia="zh-CN"/>
              </w:rPr>
              <w:t xml:space="preserve">   </w:t>
            </w:r>
            <w:r>
              <w:rPr>
                <w:rFonts w:ascii="宋体" w:hAnsi="宋体" w:eastAsia="宋体" w:cs="宋体"/>
                <w:sz w:val="24"/>
                <w:szCs w:val="24"/>
                <w:highlight w:val="none"/>
                <w:lang w:eastAsia="zh-CN"/>
              </w:rPr>
              <w:t>合同签订后，支付合同总金额的40%，服务期项目验收合格后支付合同总金额的60%。</w:t>
            </w:r>
          </w:p>
          <w:p w14:paraId="686FC328">
            <w:pPr>
              <w:spacing w:line="360" w:lineRule="auto"/>
              <w:ind w:firstLine="480" w:firstLineChars="200"/>
              <w:rPr>
                <w:rFonts w:hAnsi="宋体" w:cs="宋体"/>
                <w:szCs w:val="24"/>
                <w:highlight w:val="none"/>
              </w:rPr>
            </w:pPr>
            <w:r>
              <w:rPr>
                <w:rFonts w:hint="eastAsia" w:hAnsi="宋体" w:cs="宋体"/>
                <w:szCs w:val="24"/>
                <w:highlight w:val="none"/>
              </w:rPr>
              <w:t>4</w:t>
            </w:r>
            <w:r>
              <w:rPr>
                <w:rFonts w:hint="eastAsia" w:hAnsi="宋体" w:cs="宋体"/>
                <w:b/>
                <w:szCs w:val="24"/>
                <w:highlight w:val="none"/>
              </w:rPr>
              <w:t>2.3支付方式：银行转账</w:t>
            </w:r>
          </w:p>
        </w:tc>
      </w:tr>
      <w:tr w14:paraId="64C81A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171" w:type="dxa"/>
            <w:vAlign w:val="center"/>
          </w:tcPr>
          <w:p w14:paraId="3F2D44FE">
            <w:pPr>
              <w:spacing w:line="360" w:lineRule="auto"/>
              <w:jc w:val="center"/>
              <w:rPr>
                <w:rFonts w:hAnsi="宋体" w:cs="宋体"/>
                <w:szCs w:val="24"/>
                <w:highlight w:val="none"/>
              </w:rPr>
            </w:pPr>
            <w:r>
              <w:rPr>
                <w:rFonts w:hint="eastAsia" w:hAnsi="宋体" w:cs="宋体"/>
                <w:szCs w:val="24"/>
                <w:highlight w:val="none"/>
              </w:rPr>
              <w:t>5</w:t>
            </w:r>
          </w:p>
        </w:tc>
        <w:tc>
          <w:tcPr>
            <w:tcW w:w="8181" w:type="dxa"/>
            <w:vAlign w:val="center"/>
          </w:tcPr>
          <w:p w14:paraId="46BC8DA1">
            <w:pPr>
              <w:pStyle w:val="13"/>
              <w:spacing w:line="360" w:lineRule="auto"/>
              <w:rPr>
                <w:rFonts w:hAnsi="宋体" w:cs="宋体"/>
                <w:b/>
                <w:bCs/>
                <w:kern w:val="0"/>
                <w:sz w:val="24"/>
                <w:szCs w:val="24"/>
                <w:highlight w:val="none"/>
              </w:rPr>
            </w:pPr>
            <w:r>
              <w:rPr>
                <w:rFonts w:hint="eastAsia" w:hAnsi="宋体" w:cs="宋体"/>
                <w:b/>
                <w:bCs/>
                <w:kern w:val="0"/>
                <w:sz w:val="24"/>
                <w:szCs w:val="24"/>
                <w:highlight w:val="none"/>
              </w:rPr>
              <w:t>质量保证：</w:t>
            </w:r>
          </w:p>
          <w:p w14:paraId="4A922CA9">
            <w:pPr>
              <w:spacing w:line="360" w:lineRule="auto"/>
              <w:ind w:firstLine="480" w:firstLineChars="200"/>
              <w:jc w:val="left"/>
              <w:rPr>
                <w:rFonts w:hAnsi="宋体" w:cs="宋体"/>
                <w:szCs w:val="24"/>
                <w:highlight w:val="none"/>
              </w:rPr>
            </w:pPr>
            <w:r>
              <w:rPr>
                <w:rFonts w:hint="eastAsia" w:hAnsi="宋体" w:cs="宋体"/>
                <w:szCs w:val="24"/>
                <w:highlight w:val="none"/>
              </w:rPr>
              <w:t>供应商必须保证工程及服务质量可靠，并全面满足招标文件的要求，招标文件未明确要求的内容，供应商须按采购人的补充要求为准。技术标准严格按国家最新发布的规范标准执行，如发生质量问题由供应商承担全部责任。</w:t>
            </w:r>
          </w:p>
        </w:tc>
      </w:tr>
      <w:tr w14:paraId="7C81E7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171" w:type="dxa"/>
            <w:vAlign w:val="center"/>
          </w:tcPr>
          <w:p w14:paraId="6BB50D8E">
            <w:pPr>
              <w:spacing w:line="360" w:lineRule="auto"/>
              <w:jc w:val="center"/>
              <w:rPr>
                <w:rFonts w:hAnsi="宋体" w:cs="宋体"/>
                <w:szCs w:val="24"/>
                <w:highlight w:val="none"/>
              </w:rPr>
            </w:pPr>
            <w:r>
              <w:rPr>
                <w:rFonts w:hint="eastAsia" w:hAnsi="宋体" w:cs="宋体"/>
                <w:szCs w:val="24"/>
                <w:highlight w:val="none"/>
              </w:rPr>
              <w:t>6</w:t>
            </w:r>
          </w:p>
        </w:tc>
        <w:tc>
          <w:tcPr>
            <w:tcW w:w="8181" w:type="dxa"/>
            <w:vAlign w:val="center"/>
          </w:tcPr>
          <w:p w14:paraId="1BD5FA32">
            <w:pPr>
              <w:spacing w:line="360" w:lineRule="auto"/>
              <w:rPr>
                <w:rFonts w:hAnsi="宋体" w:cs="宋体"/>
                <w:b/>
                <w:szCs w:val="24"/>
                <w:highlight w:val="none"/>
              </w:rPr>
            </w:pPr>
            <w:r>
              <w:rPr>
                <w:rFonts w:hint="eastAsia" w:hAnsi="宋体" w:cs="宋体"/>
                <w:b/>
                <w:szCs w:val="24"/>
                <w:highlight w:val="none"/>
              </w:rPr>
              <w:t>违约责任：</w:t>
            </w:r>
          </w:p>
          <w:p w14:paraId="7AEC2282">
            <w:pPr>
              <w:tabs>
                <w:tab w:val="left" w:pos="152"/>
              </w:tabs>
              <w:spacing w:line="360" w:lineRule="auto"/>
              <w:ind w:firstLine="480" w:firstLineChars="200"/>
              <w:rPr>
                <w:rFonts w:hAnsi="宋体" w:cs="宋体"/>
                <w:szCs w:val="24"/>
                <w:highlight w:val="none"/>
              </w:rPr>
            </w:pPr>
            <w:r>
              <w:rPr>
                <w:rFonts w:hint="eastAsia" w:hAnsi="宋体" w:cs="宋体"/>
                <w:szCs w:val="24"/>
                <w:highlight w:val="none"/>
              </w:rPr>
              <w:t>1、按《中华人民共和国民法典》中的相关条款执行。</w:t>
            </w:r>
          </w:p>
          <w:p w14:paraId="4FF4C6F8">
            <w:pPr>
              <w:snapToGrid w:val="0"/>
              <w:spacing w:line="360" w:lineRule="auto"/>
              <w:ind w:firstLine="480" w:firstLineChars="200"/>
              <w:rPr>
                <w:rFonts w:hAnsi="宋体" w:cs="宋体"/>
                <w:szCs w:val="24"/>
                <w:highlight w:val="none"/>
              </w:rPr>
            </w:pPr>
            <w:r>
              <w:rPr>
                <w:rFonts w:hint="eastAsia" w:hAnsi="宋体" w:cs="宋体"/>
                <w:szCs w:val="24"/>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highlight w:val="none"/>
              </w:rPr>
              <w:fldChar w:fldCharType="begin"/>
            </w:r>
            <w:r>
              <w:rPr>
                <w:highlight w:val="none"/>
              </w:rPr>
              <w:instrText xml:space="preserve"> HYPERLINK "https://www.ccgp-shaanxi.gov.cn/freecms/site/shaanxi/ggxx/info/oldweb/4028807e62394cf101623bd796a20016.html" \t "https://www.ccgp-shaanxi.gov.cn/cms-sx/site/shanxi/zcfg/_blank" </w:instrText>
            </w:r>
            <w:r>
              <w:rPr>
                <w:highlight w:val="none"/>
              </w:rPr>
              <w:fldChar w:fldCharType="separate"/>
            </w:r>
            <w:r>
              <w:rPr>
                <w:rFonts w:hint="eastAsia" w:hAnsi="宋体" w:cs="宋体"/>
                <w:szCs w:val="24"/>
                <w:highlight w:val="none"/>
              </w:rPr>
              <w:t>中华人民共和国政府采购法</w:t>
            </w:r>
            <w:r>
              <w:rPr>
                <w:rFonts w:hint="eastAsia" w:hAnsi="宋体" w:cs="宋体"/>
                <w:szCs w:val="24"/>
                <w:highlight w:val="none"/>
              </w:rPr>
              <w:fldChar w:fldCharType="end"/>
            </w:r>
            <w:r>
              <w:rPr>
                <w:rFonts w:hint="eastAsia" w:hAnsi="宋体" w:cs="宋体"/>
                <w:szCs w:val="24"/>
                <w:highlight w:val="none"/>
              </w:rPr>
              <w:t>》及相关法律法规对服务商的违法行为进行相应的处罚。</w:t>
            </w:r>
          </w:p>
        </w:tc>
      </w:tr>
      <w:tr w14:paraId="5B2E23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171" w:type="dxa"/>
            <w:vAlign w:val="center"/>
          </w:tcPr>
          <w:p w14:paraId="1EA44116">
            <w:pPr>
              <w:spacing w:line="360" w:lineRule="auto"/>
              <w:jc w:val="center"/>
              <w:rPr>
                <w:rFonts w:hAnsi="宋体" w:cs="宋体"/>
                <w:szCs w:val="24"/>
                <w:highlight w:val="none"/>
              </w:rPr>
            </w:pPr>
            <w:r>
              <w:rPr>
                <w:rFonts w:hint="eastAsia" w:hAnsi="宋体" w:cs="宋体"/>
                <w:szCs w:val="24"/>
                <w:highlight w:val="none"/>
              </w:rPr>
              <w:t>7</w:t>
            </w:r>
          </w:p>
        </w:tc>
        <w:tc>
          <w:tcPr>
            <w:tcW w:w="8181" w:type="dxa"/>
            <w:vAlign w:val="center"/>
          </w:tcPr>
          <w:p w14:paraId="1E61B38C">
            <w:pPr>
              <w:spacing w:line="360" w:lineRule="auto"/>
              <w:rPr>
                <w:rFonts w:hAnsi="宋体" w:cs="宋体"/>
                <w:b/>
                <w:szCs w:val="24"/>
                <w:highlight w:val="none"/>
              </w:rPr>
            </w:pPr>
            <w:r>
              <w:rPr>
                <w:rFonts w:hint="eastAsia" w:hAnsi="宋体" w:cs="宋体"/>
                <w:b/>
                <w:szCs w:val="24"/>
                <w:highlight w:val="none"/>
              </w:rPr>
              <w:t>政府采购合同：</w:t>
            </w:r>
          </w:p>
          <w:p w14:paraId="2531D16F">
            <w:pPr>
              <w:spacing w:line="360" w:lineRule="auto"/>
              <w:ind w:firstLine="480" w:firstLineChars="200"/>
              <w:rPr>
                <w:rFonts w:hAnsi="宋体" w:cs="宋体"/>
                <w:szCs w:val="24"/>
                <w:highlight w:val="none"/>
              </w:rPr>
            </w:pPr>
            <w:r>
              <w:rPr>
                <w:rFonts w:hint="eastAsia" w:hAnsi="宋体" w:cs="宋体"/>
                <w:szCs w:val="24"/>
                <w:highlight w:val="none"/>
              </w:rPr>
              <w:t>政府采购合同适用中华人民共和国民法典。采购人和供应商之间的权利和义务，应当按照平等、自愿的原则以合同方式约定。</w:t>
            </w:r>
          </w:p>
          <w:p w14:paraId="033C656C">
            <w:pPr>
              <w:spacing w:line="360" w:lineRule="auto"/>
              <w:ind w:firstLine="480" w:firstLineChars="200"/>
              <w:rPr>
                <w:rFonts w:hAnsi="宋体" w:cs="宋体"/>
                <w:szCs w:val="24"/>
                <w:highlight w:val="none"/>
              </w:rPr>
            </w:pPr>
            <w:r>
              <w:rPr>
                <w:rFonts w:hint="eastAsia" w:hAnsi="宋体" w:cs="宋体"/>
                <w:szCs w:val="24"/>
                <w:highlight w:val="none"/>
              </w:rPr>
              <w:t xml:space="preserve">    采购人可以委托采购代理机构代表其与供应商签订政府采购合同。由采购代理机构以采购人名义签订合同的，应当提交采购人的授权委托书，作为合同附件。</w:t>
            </w:r>
          </w:p>
          <w:p w14:paraId="3F0B8865">
            <w:pPr>
              <w:spacing w:line="360" w:lineRule="auto"/>
              <w:ind w:firstLine="480" w:firstLineChars="200"/>
              <w:rPr>
                <w:rFonts w:hAnsi="宋体" w:cs="宋体"/>
                <w:szCs w:val="24"/>
                <w:highlight w:val="none"/>
              </w:rPr>
            </w:pPr>
            <w:r>
              <w:rPr>
                <w:rFonts w:hint="eastAsia" w:hAnsi="宋体" w:cs="宋体"/>
                <w:szCs w:val="24"/>
                <w:highlight w:val="none"/>
              </w:rPr>
              <w:t xml:space="preserve">    采购人与中标、成交供应商应当在中标、成交通知书发出之日起三十日内，按照采购文件确定的事项签订政府采购合同。</w:t>
            </w:r>
          </w:p>
          <w:p w14:paraId="387C7252">
            <w:pPr>
              <w:spacing w:line="360" w:lineRule="auto"/>
              <w:ind w:firstLine="480" w:firstLineChars="200"/>
              <w:rPr>
                <w:rFonts w:hAnsi="宋体" w:cs="宋体"/>
                <w:szCs w:val="24"/>
                <w:highlight w:val="none"/>
              </w:rPr>
            </w:pPr>
            <w:r>
              <w:rPr>
                <w:rFonts w:hint="eastAsia" w:hAnsi="宋体" w:cs="宋体"/>
                <w:szCs w:val="24"/>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193A864A">
            <w:pPr>
              <w:pStyle w:val="13"/>
              <w:spacing w:line="360" w:lineRule="auto"/>
              <w:ind w:firstLine="480" w:firstLineChars="200"/>
              <w:rPr>
                <w:rFonts w:hAnsi="宋体" w:cs="宋体"/>
                <w:sz w:val="24"/>
                <w:szCs w:val="24"/>
                <w:highlight w:val="none"/>
              </w:rPr>
            </w:pPr>
            <w:r>
              <w:rPr>
                <w:rFonts w:hint="eastAsia" w:hAnsi="宋体" w:cs="宋体"/>
                <w:sz w:val="24"/>
                <w:szCs w:val="24"/>
                <w:highlight w:val="none"/>
              </w:rPr>
              <w:t>经采购人同意，中标、成交供应商可以依法采取分包方式履行合同。政府采购合同分包履行的，中标、成交供应商就采购项目和分包项目向采购人负责，分包供应商就分包项目承担责任。</w:t>
            </w:r>
          </w:p>
          <w:p w14:paraId="753E77D5">
            <w:pPr>
              <w:pStyle w:val="13"/>
              <w:spacing w:line="360" w:lineRule="auto"/>
              <w:ind w:firstLine="480" w:firstLineChars="200"/>
              <w:rPr>
                <w:rFonts w:hAnsi="宋体" w:cs="宋体"/>
                <w:sz w:val="24"/>
                <w:szCs w:val="24"/>
                <w:highlight w:val="none"/>
              </w:rPr>
            </w:pPr>
            <w:r>
              <w:rPr>
                <w:rFonts w:hint="eastAsia" w:hAnsi="宋体" w:cs="宋体"/>
                <w:sz w:val="24"/>
                <w:szCs w:val="24"/>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788813FF">
            <w:pPr>
              <w:pStyle w:val="13"/>
              <w:spacing w:line="360" w:lineRule="auto"/>
              <w:ind w:firstLine="480" w:firstLineChars="200"/>
              <w:rPr>
                <w:rFonts w:hAnsi="宋体" w:cs="宋体"/>
                <w:sz w:val="24"/>
                <w:szCs w:val="24"/>
                <w:highlight w:val="none"/>
              </w:rPr>
            </w:pPr>
            <w:r>
              <w:rPr>
                <w:rFonts w:hint="eastAsia" w:hAnsi="宋体" w:cs="宋体"/>
                <w:sz w:val="24"/>
                <w:szCs w:val="24"/>
                <w:highlight w:val="none"/>
              </w:rPr>
              <w:t xml:space="preserve">    政府采购合同的双方当事人不得擅自变更、中止或者终止合同。</w:t>
            </w:r>
          </w:p>
          <w:p w14:paraId="177413F4">
            <w:pPr>
              <w:pStyle w:val="13"/>
              <w:spacing w:line="360" w:lineRule="auto"/>
              <w:ind w:firstLine="480" w:firstLineChars="200"/>
              <w:rPr>
                <w:rFonts w:hAnsi="宋体" w:cs="宋体"/>
                <w:kern w:val="0"/>
                <w:sz w:val="24"/>
                <w:szCs w:val="24"/>
                <w:highlight w:val="none"/>
              </w:rPr>
            </w:pPr>
            <w:r>
              <w:rPr>
                <w:rFonts w:hint="eastAsia" w:hAnsi="宋体" w:cs="宋体"/>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1424FBFD">
      <w:pPr>
        <w:rPr>
          <w:rFonts w:hAnsi="宋体" w:cs="宋体"/>
          <w:sz w:val="32"/>
          <w:highlight w:val="none"/>
        </w:rPr>
      </w:pPr>
      <w:bookmarkStart w:id="101" w:name="_Toc31520"/>
      <w:bookmarkStart w:id="102" w:name="_Toc423973075"/>
      <w:bookmarkStart w:id="103" w:name="_Toc19199"/>
      <w:bookmarkStart w:id="104" w:name="_Toc4679"/>
      <w:bookmarkStart w:id="105" w:name="_Toc389582037"/>
      <w:bookmarkStart w:id="106" w:name="_Toc29888"/>
      <w:bookmarkStart w:id="107" w:name="_Toc26595"/>
      <w:bookmarkStart w:id="108" w:name="_Toc8333"/>
      <w:bookmarkStart w:id="109" w:name="_Toc19246"/>
    </w:p>
    <w:tbl>
      <w:tblPr>
        <w:tblStyle w:val="24"/>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64DF6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tcPr>
          <w:p w14:paraId="69E3D7EC">
            <w:pPr>
              <w:jc w:val="center"/>
              <w:rPr>
                <w:rFonts w:hAnsi="宋体" w:cs="宋体"/>
                <w:b/>
                <w:sz w:val="30"/>
                <w:szCs w:val="30"/>
                <w:highlight w:val="none"/>
              </w:rPr>
            </w:pPr>
            <w:r>
              <w:rPr>
                <w:rFonts w:hint="eastAsia" w:hAnsi="宋体" w:cs="宋体"/>
                <w:b/>
                <w:sz w:val="30"/>
                <w:szCs w:val="30"/>
                <w:highlight w:val="none"/>
              </w:rPr>
              <w:t>竞争性磋商采购</w:t>
            </w:r>
          </w:p>
        </w:tc>
      </w:tr>
    </w:tbl>
    <w:p w14:paraId="6ACDD0C4">
      <w:pPr>
        <w:outlineLvl w:val="1"/>
        <w:rPr>
          <w:rFonts w:hAnsi="宋体" w:cs="宋体"/>
          <w:b/>
          <w:sz w:val="32"/>
          <w:szCs w:val="32"/>
          <w:highlight w:val="none"/>
        </w:rPr>
      </w:pPr>
      <w:bookmarkStart w:id="110" w:name="_Toc18120"/>
      <w:bookmarkStart w:id="111" w:name="_Toc12463"/>
      <w:bookmarkStart w:id="112" w:name="_Toc7874"/>
      <w:bookmarkStart w:id="113" w:name="_Toc5216"/>
      <w:bookmarkStart w:id="114" w:name="_Toc1362"/>
      <w:r>
        <w:rPr>
          <w:rFonts w:hint="eastAsia" w:hAnsi="宋体" w:cs="宋体"/>
          <w:b/>
          <w:sz w:val="32"/>
          <w:szCs w:val="32"/>
          <w:highlight w:val="none"/>
        </w:rPr>
        <w:t>政府采购项目</w:t>
      </w:r>
      <w:r>
        <w:rPr>
          <w:rFonts w:hint="eastAsia" w:hAnsi="宋体" w:cs="宋体"/>
          <w:b/>
          <w:bCs/>
          <w:sz w:val="28"/>
          <w:szCs w:val="28"/>
          <w:highlight w:val="none"/>
        </w:rPr>
        <w:t>（</w:t>
      </w:r>
      <w:r>
        <w:rPr>
          <w:rFonts w:hint="eastAsia" w:hAnsi="宋体" w:cs="宋体"/>
          <w:b/>
          <w:sz w:val="32"/>
          <w:szCs w:val="32"/>
          <w:highlight w:val="none"/>
        </w:rPr>
        <w:t>仅供参考）</w:t>
      </w:r>
      <w:bookmarkEnd w:id="110"/>
      <w:bookmarkEnd w:id="111"/>
      <w:bookmarkEnd w:id="112"/>
      <w:bookmarkEnd w:id="113"/>
      <w:bookmarkEnd w:id="114"/>
      <w:r>
        <w:rPr>
          <w:rFonts w:hint="eastAsia" w:hAnsi="宋体" w:cs="宋体"/>
          <w:b/>
          <w:sz w:val="32"/>
          <w:szCs w:val="32"/>
          <w:highlight w:val="none"/>
        </w:rPr>
        <w:t xml:space="preserve">                  </w:t>
      </w:r>
    </w:p>
    <w:p w14:paraId="74CED0C2">
      <w:pPr>
        <w:rPr>
          <w:rFonts w:hAnsi="宋体" w:cs="宋体"/>
          <w:b/>
          <w:sz w:val="32"/>
          <w:szCs w:val="32"/>
          <w:highlight w:val="none"/>
        </w:rPr>
      </w:pPr>
      <w:r>
        <w:rPr>
          <w:rFonts w:hint="eastAsia" w:hAnsi="宋体" w:cs="宋体"/>
          <w:b/>
          <w:sz w:val="32"/>
          <w:szCs w:val="32"/>
          <w:highlight w:val="none"/>
        </w:rPr>
        <w:t xml:space="preserve">          </w:t>
      </w:r>
    </w:p>
    <w:p w14:paraId="3D2B8F7F">
      <w:pPr>
        <w:jc w:val="center"/>
        <w:rPr>
          <w:rFonts w:hAnsi="宋体" w:cs="宋体"/>
          <w:sz w:val="52"/>
          <w:szCs w:val="52"/>
          <w:highlight w:val="none"/>
        </w:rPr>
      </w:pPr>
    </w:p>
    <w:p w14:paraId="4B2CE011">
      <w:pPr>
        <w:jc w:val="center"/>
        <w:rPr>
          <w:rFonts w:hAnsi="宋体" w:cs="宋体"/>
          <w:sz w:val="52"/>
          <w:szCs w:val="52"/>
          <w:highlight w:val="none"/>
        </w:rPr>
      </w:pPr>
    </w:p>
    <w:p w14:paraId="139CB95B">
      <w:pPr>
        <w:jc w:val="center"/>
        <w:rPr>
          <w:rFonts w:hAnsi="宋体" w:cs="宋体"/>
          <w:b/>
          <w:snapToGrid w:val="0"/>
          <w:sz w:val="48"/>
          <w:szCs w:val="48"/>
          <w:highlight w:val="none"/>
          <w:u w:val="single"/>
        </w:rPr>
      </w:pPr>
      <w:r>
        <w:rPr>
          <w:rFonts w:hint="eastAsia" w:hAnsi="宋体" w:cs="宋体"/>
          <w:b/>
          <w:snapToGrid w:val="0"/>
          <w:sz w:val="48"/>
          <w:szCs w:val="48"/>
          <w:highlight w:val="none"/>
          <w:u w:val="single"/>
        </w:rPr>
        <w:t>(项目名称)</w:t>
      </w:r>
    </w:p>
    <w:p w14:paraId="7E7F8EFA">
      <w:pPr>
        <w:jc w:val="center"/>
        <w:rPr>
          <w:rFonts w:hAnsi="宋体" w:cs="宋体"/>
          <w:b/>
          <w:sz w:val="72"/>
          <w:szCs w:val="72"/>
          <w:highlight w:val="none"/>
        </w:rPr>
      </w:pPr>
      <w:r>
        <w:rPr>
          <w:rFonts w:hint="eastAsia" w:hAnsi="宋体" w:cs="宋体"/>
          <w:b/>
          <w:sz w:val="72"/>
          <w:szCs w:val="72"/>
          <w:highlight w:val="none"/>
        </w:rPr>
        <w:t>服 务 合 同</w:t>
      </w:r>
    </w:p>
    <w:p w14:paraId="7E9D127D">
      <w:pPr>
        <w:jc w:val="center"/>
        <w:rPr>
          <w:rFonts w:hAnsi="宋体" w:cs="宋体"/>
          <w:sz w:val="30"/>
          <w:szCs w:val="30"/>
          <w:highlight w:val="none"/>
        </w:rPr>
      </w:pPr>
      <w:r>
        <w:rPr>
          <w:rFonts w:hint="eastAsia" w:hAnsi="宋体" w:cs="宋体"/>
          <w:sz w:val="30"/>
          <w:szCs w:val="30"/>
          <w:highlight w:val="none"/>
        </w:rPr>
        <w:t xml:space="preserve">（项目编号：      </w:t>
      </w:r>
      <w:r>
        <w:rPr>
          <w:rFonts w:hint="eastAsia" w:hAnsi="宋体" w:cs="宋体"/>
          <w:sz w:val="28"/>
          <w:szCs w:val="28"/>
          <w:highlight w:val="none"/>
        </w:rPr>
        <w:t>）</w:t>
      </w:r>
    </w:p>
    <w:p w14:paraId="6ADB4769">
      <w:pPr>
        <w:jc w:val="center"/>
        <w:rPr>
          <w:rFonts w:hAnsi="宋体" w:cs="宋体"/>
          <w:sz w:val="30"/>
          <w:szCs w:val="30"/>
          <w:highlight w:val="none"/>
        </w:rPr>
      </w:pPr>
    </w:p>
    <w:p w14:paraId="794F66AD">
      <w:pPr>
        <w:jc w:val="center"/>
        <w:rPr>
          <w:rFonts w:hAnsi="宋体" w:cs="宋体"/>
          <w:sz w:val="30"/>
          <w:szCs w:val="30"/>
          <w:highlight w:val="none"/>
        </w:rPr>
      </w:pPr>
    </w:p>
    <w:p w14:paraId="7622EB76">
      <w:pPr>
        <w:jc w:val="center"/>
        <w:rPr>
          <w:rFonts w:hAnsi="宋体" w:cs="宋体"/>
          <w:sz w:val="30"/>
          <w:szCs w:val="30"/>
          <w:highlight w:val="none"/>
        </w:rPr>
      </w:pPr>
    </w:p>
    <w:p w14:paraId="34B00E5F">
      <w:pPr>
        <w:jc w:val="center"/>
        <w:rPr>
          <w:rFonts w:hAnsi="宋体" w:cs="宋体"/>
          <w:sz w:val="30"/>
          <w:szCs w:val="30"/>
          <w:highlight w:val="none"/>
        </w:rPr>
      </w:pPr>
    </w:p>
    <w:p w14:paraId="612419C4">
      <w:pPr>
        <w:jc w:val="center"/>
        <w:rPr>
          <w:rFonts w:hAnsi="宋体" w:cs="宋体"/>
          <w:sz w:val="30"/>
          <w:szCs w:val="30"/>
          <w:highlight w:val="none"/>
        </w:rPr>
      </w:pPr>
    </w:p>
    <w:p w14:paraId="40FD6A71">
      <w:pPr>
        <w:ind w:firstLine="2080" w:firstLineChars="650"/>
        <w:rPr>
          <w:rFonts w:hAnsi="宋体" w:cs="宋体"/>
          <w:sz w:val="32"/>
          <w:szCs w:val="32"/>
          <w:highlight w:val="none"/>
        </w:rPr>
      </w:pPr>
      <w:r>
        <w:rPr>
          <w:rFonts w:hint="eastAsia" w:hAnsi="宋体" w:cs="宋体"/>
          <w:sz w:val="32"/>
          <w:szCs w:val="32"/>
          <w:highlight w:val="none"/>
        </w:rPr>
        <w:t xml:space="preserve">甲  方： </w:t>
      </w:r>
    </w:p>
    <w:p w14:paraId="54E93CA7">
      <w:pPr>
        <w:tabs>
          <w:tab w:val="left" w:pos="480"/>
        </w:tabs>
        <w:ind w:firstLine="640" w:firstLineChars="200"/>
        <w:rPr>
          <w:rFonts w:hAnsi="宋体" w:cs="宋体"/>
          <w:sz w:val="32"/>
          <w:szCs w:val="32"/>
          <w:highlight w:val="none"/>
        </w:rPr>
      </w:pPr>
      <w:r>
        <w:rPr>
          <w:rFonts w:hint="eastAsia" w:hAnsi="宋体" w:cs="宋体"/>
          <w:sz w:val="32"/>
          <w:szCs w:val="32"/>
          <w:highlight w:val="none"/>
        </w:rPr>
        <w:t xml:space="preserve">         乙  方：</w:t>
      </w:r>
    </w:p>
    <w:p w14:paraId="12C8B713">
      <w:pPr>
        <w:jc w:val="center"/>
        <w:rPr>
          <w:rFonts w:hAnsi="宋体" w:cs="宋体"/>
          <w:sz w:val="30"/>
          <w:szCs w:val="30"/>
          <w:highlight w:val="none"/>
        </w:rPr>
      </w:pPr>
    </w:p>
    <w:p w14:paraId="392416AA">
      <w:pPr>
        <w:jc w:val="center"/>
        <w:rPr>
          <w:rFonts w:hAnsi="宋体" w:cs="宋体"/>
          <w:sz w:val="32"/>
          <w:szCs w:val="32"/>
          <w:highlight w:val="none"/>
        </w:rPr>
      </w:pPr>
      <w:r>
        <w:rPr>
          <w:rFonts w:hint="eastAsia" w:hAnsi="宋体" w:cs="宋体"/>
          <w:sz w:val="32"/>
          <w:szCs w:val="32"/>
          <w:highlight w:val="none"/>
        </w:rPr>
        <w:t xml:space="preserve">  年  月</w:t>
      </w:r>
    </w:p>
    <w:p w14:paraId="38864B87">
      <w:pPr>
        <w:jc w:val="center"/>
        <w:rPr>
          <w:rFonts w:hAnsi="宋体" w:cs="宋体"/>
          <w:sz w:val="32"/>
          <w:szCs w:val="32"/>
          <w:highlight w:val="none"/>
        </w:rPr>
      </w:pPr>
    </w:p>
    <w:p w14:paraId="130C56BB">
      <w:pPr>
        <w:spacing w:line="590" w:lineRule="exact"/>
        <w:rPr>
          <w:rFonts w:hAnsi="宋体" w:cs="宋体"/>
          <w:b/>
          <w:sz w:val="36"/>
          <w:szCs w:val="36"/>
          <w:highlight w:val="none"/>
        </w:rPr>
      </w:pPr>
    </w:p>
    <w:p w14:paraId="5B6811DC">
      <w:pPr>
        <w:jc w:val="center"/>
        <w:outlineLvl w:val="2"/>
        <w:rPr>
          <w:rFonts w:ascii="黑体"/>
          <w:b/>
          <w:sz w:val="36"/>
          <w:szCs w:val="36"/>
          <w:highlight w:val="none"/>
        </w:rPr>
      </w:pPr>
      <w:r>
        <w:rPr>
          <w:rFonts w:hint="eastAsia" w:hAnsi="宋体" w:cs="宋体"/>
          <w:b/>
          <w:szCs w:val="21"/>
          <w:highlight w:val="none"/>
        </w:rPr>
        <w:br w:type="page"/>
      </w:r>
      <w:bookmarkStart w:id="115" w:name="_Toc7965"/>
      <w:bookmarkStart w:id="116" w:name="_Toc22771"/>
      <w:bookmarkStart w:id="117" w:name="_Toc28398"/>
      <w:r>
        <w:rPr>
          <w:rFonts w:hint="eastAsia" w:ascii="黑体" w:eastAsia="黑体"/>
          <w:b/>
          <w:sz w:val="36"/>
          <w:szCs w:val="36"/>
          <w:highlight w:val="none"/>
        </w:rPr>
        <w:t>协 议 书</w:t>
      </w:r>
      <w:bookmarkEnd w:id="115"/>
      <w:bookmarkEnd w:id="116"/>
      <w:bookmarkEnd w:id="117"/>
    </w:p>
    <w:p w14:paraId="4281FB2A">
      <w:pPr>
        <w:spacing w:line="360" w:lineRule="auto"/>
        <w:rPr>
          <w:rFonts w:hAnsi="宋体" w:cs="宋体"/>
          <w:szCs w:val="21"/>
          <w:highlight w:val="none"/>
          <w:u w:val="single"/>
        </w:rPr>
      </w:pPr>
      <w:r>
        <w:rPr>
          <w:rFonts w:hint="eastAsia" w:hAnsi="宋体" w:cs="宋体"/>
          <w:szCs w:val="21"/>
          <w:highlight w:val="none"/>
        </w:rPr>
        <w:t>甲方：</w:t>
      </w:r>
      <w:r>
        <w:rPr>
          <w:rFonts w:hint="eastAsia" w:hAnsi="宋体" w:cs="宋体"/>
          <w:szCs w:val="21"/>
          <w:highlight w:val="none"/>
          <w:u w:val="single"/>
        </w:rPr>
        <w:t xml:space="preserve">             </w:t>
      </w:r>
    </w:p>
    <w:p w14:paraId="0F8D56B9">
      <w:pPr>
        <w:spacing w:line="360" w:lineRule="auto"/>
        <w:rPr>
          <w:rFonts w:hAnsi="宋体" w:cs="宋体"/>
          <w:szCs w:val="21"/>
          <w:highlight w:val="none"/>
          <w:u w:val="single"/>
        </w:rPr>
      </w:pPr>
      <w:r>
        <w:rPr>
          <w:rFonts w:hint="eastAsia" w:hAnsi="宋体" w:cs="宋体"/>
          <w:szCs w:val="21"/>
          <w:highlight w:val="none"/>
        </w:rPr>
        <w:t>乙方：</w:t>
      </w:r>
      <w:r>
        <w:rPr>
          <w:rFonts w:hint="eastAsia" w:hAnsi="宋体" w:cs="宋体"/>
          <w:szCs w:val="21"/>
          <w:highlight w:val="none"/>
          <w:u w:val="single"/>
        </w:rPr>
        <w:t xml:space="preserve">             </w:t>
      </w:r>
    </w:p>
    <w:p w14:paraId="3C44B03A">
      <w:pPr>
        <w:spacing w:line="360" w:lineRule="auto"/>
        <w:ind w:firstLine="480" w:firstLineChars="200"/>
        <w:rPr>
          <w:rFonts w:hAnsi="宋体" w:cs="宋体"/>
          <w:szCs w:val="21"/>
          <w:highlight w:val="none"/>
        </w:rPr>
      </w:pPr>
      <w:r>
        <w:rPr>
          <w:rFonts w:hint="eastAsia" w:hAnsi="宋体" w:cs="宋体"/>
          <w:szCs w:val="21"/>
          <w:highlight w:val="none"/>
        </w:rPr>
        <w:t>根据《</w:t>
      </w:r>
      <w:r>
        <w:rPr>
          <w:rFonts w:hint="eastAsia" w:hAnsi="宋体" w:cs="宋体"/>
          <w:szCs w:val="24"/>
          <w:highlight w:val="none"/>
        </w:rPr>
        <w:t>中华人民共和国民法典</w:t>
      </w:r>
      <w:r>
        <w:rPr>
          <w:rFonts w:hint="eastAsia" w:hAnsi="宋体" w:cs="宋体"/>
          <w:szCs w:val="21"/>
          <w:highlight w:val="none"/>
        </w:rPr>
        <w:t>》、《中华人民共和国政府采购法》与项目行业有关的法律法规，以及本项目（</w:t>
      </w:r>
      <w:r>
        <w:rPr>
          <w:rFonts w:hint="eastAsia" w:hAnsi="宋体" w:cs="宋体"/>
          <w:szCs w:val="21"/>
          <w:highlight w:val="none"/>
          <w:u w:val="single"/>
          <w:lang w:eastAsia="zh-CN"/>
        </w:rPr>
        <w:t>网络生态治理服务</w:t>
      </w:r>
      <w:r>
        <w:rPr>
          <w:rFonts w:hint="eastAsia" w:hAnsi="宋体" w:cs="宋体"/>
          <w:szCs w:val="21"/>
          <w:highlight w:val="none"/>
          <w:u w:val="single"/>
        </w:rPr>
        <w:t>项目</w:t>
      </w:r>
      <w:r>
        <w:rPr>
          <w:rFonts w:hint="eastAsia" w:hAnsi="宋体" w:cs="宋体"/>
          <w:szCs w:val="21"/>
          <w:highlight w:val="none"/>
        </w:rPr>
        <w:t>）相关采购要求的规定，合同双方就乙方向采购方提供</w:t>
      </w:r>
      <w:r>
        <w:rPr>
          <w:rFonts w:hint="eastAsia" w:hAnsi="宋体" w:cs="宋体"/>
          <w:szCs w:val="21"/>
          <w:highlight w:val="none"/>
          <w:u w:val="single"/>
          <w:lang w:eastAsia="zh-CN"/>
        </w:rPr>
        <w:t>网络生态治理服务</w:t>
      </w:r>
      <w:r>
        <w:rPr>
          <w:rFonts w:hint="eastAsia" w:hAnsi="宋体" w:cs="宋体"/>
          <w:szCs w:val="21"/>
          <w:highlight w:val="none"/>
          <w:u w:val="single"/>
        </w:rPr>
        <w:t>项目</w:t>
      </w:r>
      <w:r>
        <w:rPr>
          <w:rFonts w:hint="eastAsia" w:hAnsi="宋体" w:cs="宋体"/>
          <w:szCs w:val="21"/>
          <w:highlight w:val="none"/>
        </w:rPr>
        <w:t>协商达成一致，确立本合同。</w:t>
      </w:r>
    </w:p>
    <w:p w14:paraId="322983AD">
      <w:pPr>
        <w:tabs>
          <w:tab w:val="left" w:pos="480"/>
        </w:tabs>
        <w:spacing w:line="360" w:lineRule="auto"/>
        <w:outlineLvl w:val="1"/>
        <w:rPr>
          <w:rFonts w:hAnsi="宋体" w:cs="宋体"/>
          <w:b/>
          <w:szCs w:val="21"/>
          <w:highlight w:val="none"/>
        </w:rPr>
      </w:pPr>
      <w:bookmarkStart w:id="118" w:name="_Toc8841"/>
      <w:bookmarkStart w:id="119" w:name="_Toc30883"/>
      <w:bookmarkStart w:id="120" w:name="_Toc7407"/>
      <w:bookmarkStart w:id="121" w:name="_Toc9810"/>
      <w:r>
        <w:rPr>
          <w:rFonts w:hint="eastAsia" w:hAnsi="宋体" w:cs="宋体"/>
          <w:b/>
          <w:szCs w:val="21"/>
          <w:highlight w:val="none"/>
        </w:rPr>
        <w:t>一、合同标的物内容、数量及单价</w:t>
      </w:r>
      <w:r>
        <w:rPr>
          <w:rFonts w:hint="eastAsia" w:hAnsi="宋体" w:cs="宋体"/>
          <w:szCs w:val="21"/>
          <w:highlight w:val="none"/>
        </w:rPr>
        <w:t>（以竞争性磋商响应文件正本和澄清表〈函〉为准）</w:t>
      </w:r>
      <w:bookmarkEnd w:id="118"/>
      <w:bookmarkEnd w:id="119"/>
      <w:bookmarkEnd w:id="120"/>
      <w:bookmarkEnd w:id="121"/>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5"/>
        <w:gridCol w:w="2147"/>
        <w:gridCol w:w="1644"/>
        <w:gridCol w:w="3066"/>
        <w:gridCol w:w="1268"/>
      </w:tblGrid>
      <w:tr w14:paraId="02281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28" w:type="pct"/>
            <w:tcBorders>
              <w:top w:val="single" w:color="auto" w:sz="4" w:space="0"/>
              <w:left w:val="single" w:color="auto" w:sz="4" w:space="0"/>
              <w:bottom w:val="single" w:color="auto" w:sz="4" w:space="0"/>
              <w:right w:val="single" w:color="auto" w:sz="4" w:space="0"/>
            </w:tcBorders>
            <w:vAlign w:val="center"/>
          </w:tcPr>
          <w:p w14:paraId="7DAD5F2F">
            <w:pPr>
              <w:tabs>
                <w:tab w:val="left" w:pos="480"/>
              </w:tabs>
              <w:spacing w:line="396" w:lineRule="exact"/>
              <w:jc w:val="center"/>
              <w:rPr>
                <w:rFonts w:hAnsi="宋体" w:cs="宋体"/>
                <w:szCs w:val="21"/>
                <w:highlight w:val="none"/>
              </w:rPr>
            </w:pPr>
            <w:r>
              <w:rPr>
                <w:rFonts w:hint="eastAsia" w:hAnsi="宋体" w:cs="宋体"/>
                <w:szCs w:val="21"/>
                <w:highlight w:val="none"/>
              </w:rPr>
              <w:t>序号</w:t>
            </w:r>
          </w:p>
        </w:tc>
        <w:tc>
          <w:tcPr>
            <w:tcW w:w="1128" w:type="pct"/>
            <w:tcBorders>
              <w:top w:val="single" w:color="auto" w:sz="4" w:space="0"/>
              <w:left w:val="single" w:color="auto" w:sz="4" w:space="0"/>
              <w:bottom w:val="single" w:color="auto" w:sz="4" w:space="0"/>
              <w:right w:val="single" w:color="auto" w:sz="4" w:space="0"/>
            </w:tcBorders>
            <w:vAlign w:val="center"/>
          </w:tcPr>
          <w:p w14:paraId="7F297805">
            <w:pPr>
              <w:tabs>
                <w:tab w:val="left" w:pos="480"/>
              </w:tabs>
              <w:spacing w:line="396" w:lineRule="exact"/>
              <w:jc w:val="center"/>
              <w:rPr>
                <w:rFonts w:hAnsi="宋体" w:cs="宋体"/>
                <w:szCs w:val="21"/>
                <w:highlight w:val="none"/>
              </w:rPr>
            </w:pPr>
            <w:r>
              <w:rPr>
                <w:rFonts w:hint="eastAsia" w:hAnsi="宋体" w:cs="宋体"/>
                <w:szCs w:val="21"/>
                <w:highlight w:val="none"/>
              </w:rPr>
              <w:t>服务内容</w:t>
            </w:r>
          </w:p>
        </w:tc>
        <w:tc>
          <w:tcPr>
            <w:tcW w:w="864" w:type="pct"/>
            <w:tcBorders>
              <w:top w:val="single" w:color="auto" w:sz="4" w:space="0"/>
              <w:left w:val="single" w:color="auto" w:sz="4" w:space="0"/>
              <w:bottom w:val="single" w:color="auto" w:sz="4" w:space="0"/>
              <w:right w:val="single" w:color="auto" w:sz="4" w:space="0"/>
            </w:tcBorders>
            <w:vAlign w:val="center"/>
          </w:tcPr>
          <w:p w14:paraId="74EE5206">
            <w:pPr>
              <w:tabs>
                <w:tab w:val="left" w:pos="480"/>
              </w:tabs>
              <w:spacing w:line="396" w:lineRule="exact"/>
              <w:jc w:val="center"/>
              <w:rPr>
                <w:rFonts w:hAnsi="宋体" w:cs="宋体"/>
                <w:szCs w:val="21"/>
                <w:highlight w:val="none"/>
              </w:rPr>
            </w:pPr>
            <w:r>
              <w:rPr>
                <w:rFonts w:hint="eastAsia" w:hAnsi="宋体" w:cs="宋体"/>
                <w:szCs w:val="21"/>
                <w:highlight w:val="none"/>
              </w:rPr>
              <w:t>服务期限</w:t>
            </w:r>
          </w:p>
        </w:tc>
        <w:tc>
          <w:tcPr>
            <w:tcW w:w="1611" w:type="pct"/>
            <w:tcBorders>
              <w:top w:val="single" w:color="auto" w:sz="4" w:space="0"/>
              <w:left w:val="single" w:color="auto" w:sz="4" w:space="0"/>
              <w:bottom w:val="single" w:color="auto" w:sz="4" w:space="0"/>
              <w:right w:val="single" w:color="auto" w:sz="4" w:space="0"/>
            </w:tcBorders>
            <w:vAlign w:val="center"/>
          </w:tcPr>
          <w:p w14:paraId="75CD93E8">
            <w:pPr>
              <w:tabs>
                <w:tab w:val="left" w:pos="480"/>
              </w:tabs>
              <w:spacing w:line="396" w:lineRule="exact"/>
              <w:jc w:val="center"/>
              <w:rPr>
                <w:rFonts w:hAnsi="宋体" w:cs="宋体"/>
                <w:szCs w:val="21"/>
                <w:highlight w:val="none"/>
              </w:rPr>
            </w:pPr>
            <w:r>
              <w:rPr>
                <w:rFonts w:hint="eastAsia" w:hAnsi="宋体" w:cs="宋体"/>
                <w:szCs w:val="21"/>
                <w:highlight w:val="none"/>
              </w:rPr>
              <w:t>相关要求</w:t>
            </w:r>
          </w:p>
        </w:tc>
        <w:tc>
          <w:tcPr>
            <w:tcW w:w="666" w:type="pct"/>
            <w:tcBorders>
              <w:top w:val="single" w:color="auto" w:sz="4" w:space="0"/>
              <w:left w:val="single" w:color="auto" w:sz="4" w:space="0"/>
              <w:bottom w:val="single" w:color="auto" w:sz="4" w:space="0"/>
              <w:right w:val="single" w:color="auto" w:sz="4" w:space="0"/>
            </w:tcBorders>
            <w:vAlign w:val="center"/>
          </w:tcPr>
          <w:p w14:paraId="6AB0227D">
            <w:pPr>
              <w:tabs>
                <w:tab w:val="left" w:pos="480"/>
              </w:tabs>
              <w:spacing w:line="396" w:lineRule="exact"/>
              <w:jc w:val="center"/>
              <w:rPr>
                <w:rFonts w:hAnsi="宋体" w:cs="宋体"/>
                <w:szCs w:val="21"/>
                <w:highlight w:val="none"/>
              </w:rPr>
            </w:pPr>
            <w:r>
              <w:rPr>
                <w:rFonts w:hint="eastAsia" w:hAnsi="宋体" w:cs="宋体"/>
                <w:szCs w:val="21"/>
                <w:highlight w:val="none"/>
              </w:rPr>
              <w:t>备注</w:t>
            </w:r>
          </w:p>
        </w:tc>
      </w:tr>
      <w:tr w14:paraId="520EE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28" w:type="pct"/>
            <w:tcBorders>
              <w:top w:val="single" w:color="auto" w:sz="4" w:space="0"/>
              <w:left w:val="single" w:color="auto" w:sz="4" w:space="0"/>
              <w:bottom w:val="single" w:color="auto" w:sz="4" w:space="0"/>
              <w:right w:val="single" w:color="auto" w:sz="4" w:space="0"/>
            </w:tcBorders>
            <w:vAlign w:val="center"/>
          </w:tcPr>
          <w:p w14:paraId="56C67A39">
            <w:pPr>
              <w:tabs>
                <w:tab w:val="left" w:pos="480"/>
              </w:tabs>
              <w:spacing w:line="396" w:lineRule="exact"/>
              <w:jc w:val="center"/>
              <w:rPr>
                <w:rFonts w:hAnsi="宋体" w:cs="宋体"/>
                <w:szCs w:val="21"/>
                <w:highlight w:val="none"/>
              </w:rPr>
            </w:pPr>
            <w:r>
              <w:rPr>
                <w:rFonts w:hint="eastAsia" w:hAnsi="宋体" w:cs="宋体"/>
                <w:szCs w:val="21"/>
                <w:highlight w:val="none"/>
              </w:rPr>
              <w:t>1</w:t>
            </w:r>
          </w:p>
        </w:tc>
        <w:tc>
          <w:tcPr>
            <w:tcW w:w="1128" w:type="pct"/>
            <w:tcBorders>
              <w:top w:val="single" w:color="auto" w:sz="4" w:space="0"/>
              <w:left w:val="single" w:color="auto" w:sz="4" w:space="0"/>
              <w:bottom w:val="single" w:color="auto" w:sz="4" w:space="0"/>
              <w:right w:val="single" w:color="auto" w:sz="4" w:space="0"/>
            </w:tcBorders>
            <w:vAlign w:val="center"/>
          </w:tcPr>
          <w:p w14:paraId="174BC696">
            <w:pPr>
              <w:tabs>
                <w:tab w:val="left" w:pos="480"/>
              </w:tabs>
              <w:spacing w:line="396" w:lineRule="exact"/>
              <w:jc w:val="center"/>
              <w:rPr>
                <w:rFonts w:hAnsi="宋体" w:cs="宋体"/>
                <w:szCs w:val="21"/>
                <w:highlight w:val="none"/>
              </w:rPr>
            </w:pPr>
          </w:p>
        </w:tc>
        <w:tc>
          <w:tcPr>
            <w:tcW w:w="864" w:type="pct"/>
            <w:tcBorders>
              <w:top w:val="single" w:color="auto" w:sz="4" w:space="0"/>
              <w:left w:val="single" w:color="auto" w:sz="4" w:space="0"/>
              <w:bottom w:val="single" w:color="auto" w:sz="4" w:space="0"/>
              <w:right w:val="single" w:color="auto" w:sz="4" w:space="0"/>
            </w:tcBorders>
            <w:vAlign w:val="center"/>
          </w:tcPr>
          <w:p w14:paraId="510E25DC">
            <w:pPr>
              <w:tabs>
                <w:tab w:val="left" w:pos="480"/>
              </w:tabs>
              <w:spacing w:line="396" w:lineRule="exact"/>
              <w:jc w:val="center"/>
              <w:rPr>
                <w:rFonts w:hAnsi="宋体" w:cs="宋体"/>
                <w:szCs w:val="21"/>
                <w:highlight w:val="none"/>
              </w:rPr>
            </w:pPr>
          </w:p>
        </w:tc>
        <w:tc>
          <w:tcPr>
            <w:tcW w:w="1611" w:type="pct"/>
            <w:tcBorders>
              <w:top w:val="single" w:color="auto" w:sz="4" w:space="0"/>
              <w:left w:val="single" w:color="auto" w:sz="4" w:space="0"/>
              <w:bottom w:val="single" w:color="auto" w:sz="4" w:space="0"/>
              <w:right w:val="single" w:color="auto" w:sz="4" w:space="0"/>
            </w:tcBorders>
            <w:vAlign w:val="center"/>
          </w:tcPr>
          <w:p w14:paraId="26CF39B2">
            <w:pPr>
              <w:tabs>
                <w:tab w:val="left" w:pos="480"/>
              </w:tabs>
              <w:spacing w:line="396" w:lineRule="exact"/>
              <w:jc w:val="center"/>
              <w:rPr>
                <w:rFonts w:hAnsi="宋体" w:cs="宋体"/>
                <w:szCs w:val="21"/>
                <w:highlight w:val="none"/>
              </w:rPr>
            </w:pPr>
          </w:p>
        </w:tc>
        <w:tc>
          <w:tcPr>
            <w:tcW w:w="666" w:type="pct"/>
            <w:tcBorders>
              <w:top w:val="single" w:color="auto" w:sz="4" w:space="0"/>
              <w:left w:val="single" w:color="auto" w:sz="4" w:space="0"/>
              <w:bottom w:val="single" w:color="auto" w:sz="4" w:space="0"/>
              <w:right w:val="single" w:color="auto" w:sz="4" w:space="0"/>
            </w:tcBorders>
            <w:vAlign w:val="center"/>
          </w:tcPr>
          <w:p w14:paraId="76E53428">
            <w:pPr>
              <w:tabs>
                <w:tab w:val="left" w:pos="480"/>
              </w:tabs>
              <w:spacing w:line="396" w:lineRule="exact"/>
              <w:jc w:val="center"/>
              <w:rPr>
                <w:rFonts w:hAnsi="宋体" w:cs="宋体"/>
                <w:szCs w:val="21"/>
                <w:highlight w:val="none"/>
              </w:rPr>
            </w:pPr>
          </w:p>
        </w:tc>
      </w:tr>
      <w:tr w14:paraId="059AA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28" w:type="pct"/>
            <w:tcBorders>
              <w:top w:val="single" w:color="auto" w:sz="4" w:space="0"/>
              <w:left w:val="single" w:color="auto" w:sz="4" w:space="0"/>
              <w:bottom w:val="single" w:color="auto" w:sz="4" w:space="0"/>
              <w:right w:val="single" w:color="auto" w:sz="4" w:space="0"/>
            </w:tcBorders>
            <w:vAlign w:val="center"/>
          </w:tcPr>
          <w:p w14:paraId="2008F8E0">
            <w:pPr>
              <w:tabs>
                <w:tab w:val="left" w:pos="480"/>
              </w:tabs>
              <w:spacing w:line="396" w:lineRule="exact"/>
              <w:jc w:val="center"/>
              <w:rPr>
                <w:rFonts w:hAnsi="宋体" w:cs="宋体"/>
                <w:szCs w:val="21"/>
                <w:highlight w:val="none"/>
              </w:rPr>
            </w:pPr>
            <w:r>
              <w:rPr>
                <w:rFonts w:hint="eastAsia" w:hAnsi="宋体" w:cs="宋体"/>
                <w:szCs w:val="21"/>
                <w:highlight w:val="none"/>
              </w:rPr>
              <w:t>……</w:t>
            </w:r>
          </w:p>
        </w:tc>
        <w:tc>
          <w:tcPr>
            <w:tcW w:w="1128" w:type="pct"/>
            <w:tcBorders>
              <w:top w:val="single" w:color="auto" w:sz="4" w:space="0"/>
              <w:left w:val="single" w:color="auto" w:sz="4" w:space="0"/>
              <w:bottom w:val="single" w:color="auto" w:sz="4" w:space="0"/>
              <w:right w:val="single" w:color="auto" w:sz="4" w:space="0"/>
            </w:tcBorders>
            <w:vAlign w:val="center"/>
          </w:tcPr>
          <w:p w14:paraId="13407940">
            <w:pPr>
              <w:tabs>
                <w:tab w:val="left" w:pos="480"/>
              </w:tabs>
              <w:spacing w:line="396" w:lineRule="exact"/>
              <w:jc w:val="center"/>
              <w:rPr>
                <w:rFonts w:hAnsi="宋体" w:cs="宋体"/>
                <w:szCs w:val="21"/>
                <w:highlight w:val="none"/>
              </w:rPr>
            </w:pPr>
          </w:p>
        </w:tc>
        <w:tc>
          <w:tcPr>
            <w:tcW w:w="864" w:type="pct"/>
            <w:tcBorders>
              <w:top w:val="single" w:color="auto" w:sz="4" w:space="0"/>
              <w:left w:val="single" w:color="auto" w:sz="4" w:space="0"/>
              <w:bottom w:val="single" w:color="auto" w:sz="4" w:space="0"/>
              <w:right w:val="single" w:color="auto" w:sz="4" w:space="0"/>
            </w:tcBorders>
            <w:vAlign w:val="center"/>
          </w:tcPr>
          <w:p w14:paraId="2B7857DB">
            <w:pPr>
              <w:tabs>
                <w:tab w:val="left" w:pos="480"/>
              </w:tabs>
              <w:spacing w:line="396" w:lineRule="exact"/>
              <w:jc w:val="center"/>
              <w:rPr>
                <w:rFonts w:hAnsi="宋体" w:cs="宋体"/>
                <w:szCs w:val="21"/>
                <w:highlight w:val="none"/>
              </w:rPr>
            </w:pPr>
          </w:p>
        </w:tc>
        <w:tc>
          <w:tcPr>
            <w:tcW w:w="1611" w:type="pct"/>
            <w:tcBorders>
              <w:top w:val="single" w:color="auto" w:sz="4" w:space="0"/>
              <w:left w:val="single" w:color="auto" w:sz="4" w:space="0"/>
              <w:bottom w:val="single" w:color="auto" w:sz="4" w:space="0"/>
              <w:right w:val="single" w:color="auto" w:sz="4" w:space="0"/>
            </w:tcBorders>
            <w:vAlign w:val="center"/>
          </w:tcPr>
          <w:p w14:paraId="42CF2A99">
            <w:pPr>
              <w:tabs>
                <w:tab w:val="left" w:pos="480"/>
              </w:tabs>
              <w:spacing w:line="396" w:lineRule="exact"/>
              <w:jc w:val="center"/>
              <w:rPr>
                <w:rFonts w:hAnsi="宋体" w:cs="宋体"/>
                <w:szCs w:val="21"/>
                <w:highlight w:val="none"/>
              </w:rPr>
            </w:pPr>
          </w:p>
        </w:tc>
        <w:tc>
          <w:tcPr>
            <w:tcW w:w="666" w:type="pct"/>
            <w:tcBorders>
              <w:top w:val="single" w:color="auto" w:sz="4" w:space="0"/>
              <w:left w:val="single" w:color="auto" w:sz="4" w:space="0"/>
              <w:bottom w:val="single" w:color="auto" w:sz="4" w:space="0"/>
              <w:right w:val="single" w:color="auto" w:sz="4" w:space="0"/>
            </w:tcBorders>
            <w:vAlign w:val="center"/>
          </w:tcPr>
          <w:p w14:paraId="20A218B5">
            <w:pPr>
              <w:tabs>
                <w:tab w:val="left" w:pos="480"/>
              </w:tabs>
              <w:spacing w:line="396" w:lineRule="exact"/>
              <w:jc w:val="center"/>
              <w:rPr>
                <w:rFonts w:hAnsi="宋体" w:cs="宋体"/>
                <w:szCs w:val="21"/>
                <w:highlight w:val="none"/>
              </w:rPr>
            </w:pPr>
          </w:p>
        </w:tc>
      </w:tr>
    </w:tbl>
    <w:p w14:paraId="19B3105E">
      <w:pPr>
        <w:tabs>
          <w:tab w:val="left" w:pos="480"/>
        </w:tabs>
        <w:spacing w:line="360" w:lineRule="auto"/>
        <w:outlineLvl w:val="1"/>
        <w:rPr>
          <w:rFonts w:hAnsi="宋体" w:cs="宋体"/>
          <w:b/>
          <w:szCs w:val="21"/>
          <w:highlight w:val="none"/>
        </w:rPr>
      </w:pPr>
      <w:bookmarkStart w:id="122" w:name="_Toc4137"/>
      <w:bookmarkStart w:id="123" w:name="_Toc8887"/>
      <w:bookmarkStart w:id="124" w:name="_Toc3926"/>
      <w:bookmarkStart w:id="125" w:name="_Toc2403"/>
      <w:r>
        <w:rPr>
          <w:rFonts w:hint="eastAsia" w:hAnsi="宋体" w:cs="宋体"/>
          <w:b/>
          <w:szCs w:val="21"/>
          <w:highlight w:val="none"/>
        </w:rPr>
        <w:t>二、合同价款</w:t>
      </w:r>
      <w:bookmarkEnd w:id="122"/>
      <w:bookmarkEnd w:id="123"/>
      <w:bookmarkEnd w:id="124"/>
      <w:bookmarkEnd w:id="125"/>
    </w:p>
    <w:p w14:paraId="0587B414">
      <w:pPr>
        <w:tabs>
          <w:tab w:val="left" w:pos="480"/>
        </w:tabs>
        <w:spacing w:line="360" w:lineRule="auto"/>
        <w:ind w:firstLine="480" w:firstLineChars="200"/>
        <w:rPr>
          <w:rFonts w:hAnsi="宋体" w:cs="宋体"/>
          <w:szCs w:val="21"/>
          <w:highlight w:val="none"/>
          <w:u w:val="single"/>
        </w:rPr>
      </w:pPr>
      <w:r>
        <w:rPr>
          <w:rFonts w:hint="eastAsia" w:hAnsi="宋体" w:cs="宋体"/>
          <w:szCs w:val="21"/>
          <w:highlight w:val="none"/>
        </w:rPr>
        <w:t>（一）本合同为总价合同，各项活动服务的合同总价为其磋商最终报价。</w:t>
      </w:r>
    </w:p>
    <w:p w14:paraId="42141325">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（二）合同价包括：</w:t>
      </w:r>
      <w:r>
        <w:rPr>
          <w:rFonts w:hint="eastAsia"/>
          <w:highlight w:val="none"/>
        </w:rPr>
        <w:t>包括但不限于人工费、设备使用费、办公费、服务费、交通费、招标代理服务费、税金等其他一切相关费用。</w:t>
      </w:r>
    </w:p>
    <w:p w14:paraId="172F4EE8">
      <w:pPr>
        <w:tabs>
          <w:tab w:val="left" w:pos="480"/>
        </w:tabs>
        <w:spacing w:line="360" w:lineRule="auto"/>
        <w:outlineLvl w:val="1"/>
        <w:rPr>
          <w:rFonts w:hAnsi="宋体" w:cs="宋体"/>
          <w:b/>
          <w:szCs w:val="21"/>
          <w:highlight w:val="none"/>
        </w:rPr>
      </w:pPr>
      <w:bookmarkStart w:id="126" w:name="_Toc28664"/>
      <w:bookmarkStart w:id="127" w:name="_Toc6296"/>
      <w:bookmarkStart w:id="128" w:name="_Toc26008"/>
      <w:bookmarkStart w:id="129" w:name="_Toc23247"/>
      <w:r>
        <w:rPr>
          <w:rFonts w:hint="eastAsia" w:hAnsi="宋体" w:cs="宋体"/>
          <w:b/>
          <w:szCs w:val="21"/>
          <w:highlight w:val="none"/>
        </w:rPr>
        <w:t>三、款项结算</w:t>
      </w:r>
      <w:bookmarkEnd w:id="126"/>
      <w:bookmarkEnd w:id="127"/>
      <w:bookmarkEnd w:id="128"/>
      <w:bookmarkEnd w:id="129"/>
    </w:p>
    <w:p w14:paraId="0CF2D34E">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详见合同前附表。</w:t>
      </w:r>
    </w:p>
    <w:p w14:paraId="5AA11394">
      <w:pPr>
        <w:tabs>
          <w:tab w:val="left" w:pos="480"/>
        </w:tabs>
        <w:spacing w:line="360" w:lineRule="auto"/>
        <w:outlineLvl w:val="1"/>
        <w:rPr>
          <w:rFonts w:hAnsi="宋体" w:cs="宋体"/>
          <w:szCs w:val="21"/>
          <w:highlight w:val="none"/>
        </w:rPr>
      </w:pPr>
      <w:bookmarkStart w:id="130" w:name="_Toc24406"/>
      <w:bookmarkStart w:id="131" w:name="_Toc21714"/>
      <w:bookmarkStart w:id="132" w:name="_Toc21110"/>
      <w:bookmarkStart w:id="133" w:name="_Toc19437"/>
      <w:r>
        <w:rPr>
          <w:rFonts w:hint="eastAsia" w:hAnsi="宋体" w:cs="宋体"/>
          <w:b/>
          <w:szCs w:val="21"/>
          <w:highlight w:val="none"/>
        </w:rPr>
        <w:t>四、服务条件：</w:t>
      </w:r>
      <w:bookmarkEnd w:id="130"/>
      <w:bookmarkEnd w:id="131"/>
      <w:bookmarkEnd w:id="132"/>
      <w:bookmarkEnd w:id="133"/>
    </w:p>
    <w:p w14:paraId="7078F01A">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（一）服务地点：</w:t>
      </w:r>
      <w:r>
        <w:rPr>
          <w:rFonts w:hint="eastAsia" w:hAnsi="宋体" w:cs="宋体"/>
          <w:szCs w:val="24"/>
          <w:highlight w:val="none"/>
        </w:rPr>
        <w:t>秦始皇帝陵博物院</w:t>
      </w:r>
      <w:r>
        <w:rPr>
          <w:rFonts w:hint="eastAsia" w:hAnsi="宋体" w:cs="宋体"/>
          <w:szCs w:val="21"/>
          <w:highlight w:val="none"/>
        </w:rPr>
        <w:t>。</w:t>
      </w:r>
    </w:p>
    <w:p w14:paraId="6A9FFF64">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（二）服务期：</w:t>
      </w:r>
      <w:r>
        <w:rPr>
          <w:rFonts w:hint="eastAsia" w:hAnsi="宋体" w:cs="宋体"/>
          <w:szCs w:val="21"/>
          <w:highlight w:val="none"/>
          <w:u w:val="single"/>
        </w:rPr>
        <w:t xml:space="preserve">              </w:t>
      </w:r>
      <w:r>
        <w:rPr>
          <w:rFonts w:hint="eastAsia" w:hAnsi="宋体" w:cs="宋体"/>
          <w:szCs w:val="21"/>
          <w:highlight w:val="none"/>
        </w:rPr>
        <w:t>。</w:t>
      </w:r>
    </w:p>
    <w:p w14:paraId="1715998A">
      <w:pPr>
        <w:tabs>
          <w:tab w:val="left" w:pos="480"/>
        </w:tabs>
        <w:spacing w:line="360" w:lineRule="auto"/>
        <w:outlineLvl w:val="1"/>
        <w:rPr>
          <w:rFonts w:hAnsi="宋体" w:cs="宋体"/>
          <w:b/>
          <w:szCs w:val="21"/>
          <w:highlight w:val="none"/>
        </w:rPr>
      </w:pPr>
      <w:bookmarkStart w:id="134" w:name="_Toc7966"/>
      <w:bookmarkStart w:id="135" w:name="_Toc32459"/>
      <w:bookmarkStart w:id="136" w:name="_Toc27382"/>
      <w:bookmarkStart w:id="137" w:name="_Toc18046"/>
      <w:bookmarkStart w:id="138" w:name="_Toc13662"/>
      <w:bookmarkStart w:id="139" w:name="_Toc27523"/>
      <w:bookmarkStart w:id="140" w:name="_Toc15856"/>
      <w:bookmarkStart w:id="141" w:name="_Toc1119"/>
      <w:bookmarkStart w:id="142" w:name="_Toc4254"/>
      <w:r>
        <w:rPr>
          <w:rFonts w:hint="eastAsia" w:hAnsi="宋体" w:cs="宋体"/>
          <w:b/>
          <w:szCs w:val="21"/>
          <w:highlight w:val="none"/>
        </w:rPr>
        <w:t>五、质量保证</w:t>
      </w:r>
      <w:bookmarkEnd w:id="134"/>
      <w:bookmarkEnd w:id="135"/>
      <w:bookmarkEnd w:id="136"/>
      <w:bookmarkEnd w:id="137"/>
    </w:p>
    <w:p w14:paraId="32B0006D">
      <w:pPr>
        <w:tabs>
          <w:tab w:val="left" w:pos="480"/>
        </w:tabs>
        <w:spacing w:line="360" w:lineRule="auto"/>
        <w:ind w:firstLine="470" w:firstLineChars="196"/>
        <w:rPr>
          <w:rFonts w:hAnsi="宋体" w:cs="宋体"/>
          <w:szCs w:val="21"/>
          <w:highlight w:val="none"/>
        </w:rPr>
      </w:pPr>
      <w:r>
        <w:rPr>
          <w:rFonts w:hint="eastAsia" w:hAnsi="宋体" w:cs="宋体"/>
          <w:szCs w:val="21"/>
          <w:highlight w:val="none"/>
        </w:rPr>
        <w:t>1.乙方所提供的服务保证技术指标符合要求、质量性能可靠、必须符合国家相关法律法规的要求。</w:t>
      </w:r>
    </w:p>
    <w:p w14:paraId="250D1F67">
      <w:pPr>
        <w:tabs>
          <w:tab w:val="left" w:pos="480"/>
        </w:tabs>
        <w:spacing w:line="360" w:lineRule="auto"/>
        <w:ind w:firstLine="470" w:firstLineChars="196"/>
        <w:rPr>
          <w:rFonts w:hAnsi="宋体" w:cs="宋体"/>
          <w:szCs w:val="21"/>
          <w:highlight w:val="none"/>
        </w:rPr>
      </w:pPr>
      <w:r>
        <w:rPr>
          <w:rFonts w:hint="eastAsia" w:hAnsi="宋体" w:cs="宋体"/>
          <w:szCs w:val="21"/>
          <w:highlight w:val="none"/>
        </w:rPr>
        <w:t>2、成交单位应当保证其具有完成本项目所要求的服务所必须具备的专业设备和服务能力。</w:t>
      </w:r>
    </w:p>
    <w:p w14:paraId="037A890A">
      <w:pPr>
        <w:tabs>
          <w:tab w:val="left" w:pos="480"/>
        </w:tabs>
        <w:spacing w:line="360" w:lineRule="auto"/>
        <w:outlineLvl w:val="1"/>
        <w:rPr>
          <w:rFonts w:hAnsi="宋体" w:cs="宋体"/>
          <w:b/>
          <w:szCs w:val="21"/>
          <w:highlight w:val="none"/>
        </w:rPr>
      </w:pPr>
      <w:bookmarkStart w:id="143" w:name="_Toc12999"/>
      <w:bookmarkStart w:id="144" w:name="_Toc14409"/>
      <w:bookmarkStart w:id="145" w:name="_Toc12975"/>
      <w:bookmarkStart w:id="146" w:name="_Toc22161"/>
      <w:r>
        <w:rPr>
          <w:rFonts w:hint="eastAsia" w:hAnsi="宋体" w:cs="宋体"/>
          <w:b/>
          <w:szCs w:val="21"/>
          <w:highlight w:val="none"/>
        </w:rPr>
        <w:t>六、验收</w:t>
      </w:r>
      <w:bookmarkEnd w:id="143"/>
      <w:bookmarkEnd w:id="144"/>
      <w:bookmarkEnd w:id="145"/>
      <w:bookmarkEnd w:id="146"/>
    </w:p>
    <w:p w14:paraId="0EE7F736">
      <w:pPr>
        <w:spacing w:line="360" w:lineRule="auto"/>
        <w:ind w:firstLine="480" w:firstLineChars="200"/>
        <w:rPr>
          <w:highlight w:val="none"/>
        </w:rPr>
      </w:pPr>
      <w:r>
        <w:rPr>
          <w:rFonts w:hint="eastAsia"/>
          <w:highlight w:val="none"/>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74039D65">
      <w:pPr>
        <w:spacing w:line="360" w:lineRule="auto"/>
        <w:ind w:firstLine="480" w:firstLineChars="200"/>
        <w:rPr>
          <w:highlight w:val="none"/>
        </w:rPr>
      </w:pPr>
      <w:r>
        <w:rPr>
          <w:rFonts w:hint="eastAsia"/>
          <w:highlight w:val="none"/>
        </w:rPr>
        <w:t>2、若发现乙方有弄虚作假的，及在项目实施阶段故意或随意夸大服务，本合同解除，乙方赔偿甲方相应的损失。</w:t>
      </w:r>
    </w:p>
    <w:p w14:paraId="49BA102C">
      <w:pPr>
        <w:spacing w:line="360" w:lineRule="auto"/>
        <w:ind w:firstLine="480" w:firstLineChars="200"/>
        <w:rPr>
          <w:highlight w:val="none"/>
        </w:rPr>
      </w:pPr>
      <w:r>
        <w:rPr>
          <w:rFonts w:hint="eastAsia"/>
          <w:highlight w:val="none"/>
        </w:rPr>
        <w:t>3、验收标准：按磋商文件、磋商响应文件及磋商记录表等技术指标进行逐项验收。各项指标均应符合验收标准及要求。</w:t>
      </w:r>
    </w:p>
    <w:bookmarkEnd w:id="138"/>
    <w:bookmarkEnd w:id="139"/>
    <w:bookmarkEnd w:id="140"/>
    <w:p w14:paraId="020B31CB">
      <w:pPr>
        <w:tabs>
          <w:tab w:val="left" w:pos="480"/>
        </w:tabs>
        <w:spacing w:line="360" w:lineRule="auto"/>
        <w:outlineLvl w:val="1"/>
        <w:rPr>
          <w:rFonts w:hAnsi="宋体" w:cs="宋体"/>
          <w:b/>
          <w:szCs w:val="21"/>
          <w:highlight w:val="none"/>
        </w:rPr>
      </w:pPr>
      <w:bookmarkStart w:id="147" w:name="_Toc20026"/>
      <w:bookmarkStart w:id="148" w:name="_Toc9858"/>
      <w:bookmarkStart w:id="149" w:name="_Toc27625"/>
      <w:bookmarkStart w:id="150" w:name="_Toc30681"/>
      <w:r>
        <w:rPr>
          <w:rFonts w:hint="eastAsia" w:hAnsi="宋体" w:cs="宋体"/>
          <w:b/>
          <w:szCs w:val="21"/>
          <w:highlight w:val="none"/>
        </w:rPr>
        <w:t>七、违约责任</w:t>
      </w:r>
      <w:bookmarkEnd w:id="147"/>
      <w:bookmarkEnd w:id="148"/>
      <w:bookmarkEnd w:id="149"/>
      <w:bookmarkEnd w:id="150"/>
    </w:p>
    <w:p w14:paraId="0281E901">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1、按《中华人民共和国民法典》中的相关条款执行。</w:t>
      </w:r>
    </w:p>
    <w:p w14:paraId="4CD47DF1">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highlight w:val="none"/>
        </w:rPr>
        <w:fldChar w:fldCharType="begin"/>
      </w:r>
      <w:r>
        <w:rPr>
          <w:highlight w:val="none"/>
        </w:rPr>
        <w:instrText xml:space="preserve"> HYPERLINK "https://www.ccgp-shaanxi.gov.cn/freecms/site/shaanxi/ggxx/info/oldweb/4028807e62394cf101623bd796a20016.html" \t "https://www.ccgp-shaanxi.gov.cn/cms-sx/site/shanxi/zcfg/_blank" </w:instrText>
      </w:r>
      <w:r>
        <w:rPr>
          <w:highlight w:val="none"/>
        </w:rPr>
        <w:fldChar w:fldCharType="separate"/>
      </w:r>
      <w:r>
        <w:rPr>
          <w:rFonts w:hint="eastAsia" w:hAnsi="宋体" w:cs="宋体"/>
          <w:szCs w:val="21"/>
          <w:highlight w:val="none"/>
        </w:rPr>
        <w:t>中华人民共和国政府采购法</w:t>
      </w:r>
      <w:r>
        <w:rPr>
          <w:rFonts w:hint="eastAsia" w:hAnsi="宋体" w:cs="宋体"/>
          <w:szCs w:val="21"/>
          <w:highlight w:val="none"/>
        </w:rPr>
        <w:fldChar w:fldCharType="end"/>
      </w:r>
      <w:r>
        <w:rPr>
          <w:rFonts w:hint="eastAsia" w:hAnsi="宋体" w:cs="宋体"/>
          <w:szCs w:val="21"/>
          <w:highlight w:val="none"/>
        </w:rPr>
        <w:t>》及相关法律法规对服务商的违法行为进行相应的处罚。</w:t>
      </w:r>
    </w:p>
    <w:p w14:paraId="0EF06855">
      <w:pPr>
        <w:tabs>
          <w:tab w:val="left" w:pos="480"/>
        </w:tabs>
        <w:spacing w:line="360" w:lineRule="auto"/>
        <w:outlineLvl w:val="1"/>
        <w:rPr>
          <w:rFonts w:hAnsi="宋体" w:cs="宋体"/>
          <w:b/>
          <w:szCs w:val="21"/>
          <w:highlight w:val="none"/>
        </w:rPr>
      </w:pPr>
      <w:bookmarkStart w:id="151" w:name="_Toc20669"/>
      <w:r>
        <w:rPr>
          <w:rFonts w:hint="eastAsia" w:hAnsi="宋体" w:cs="宋体"/>
          <w:b/>
          <w:szCs w:val="21"/>
          <w:highlight w:val="none"/>
        </w:rPr>
        <w:t>八、合同争议解决的方式</w:t>
      </w:r>
      <w:bookmarkEnd w:id="151"/>
    </w:p>
    <w:p w14:paraId="37DF3249">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本合同在履行过程中发生的争议，由甲、乙双方当事人协商解决，协商不成的按下列第种方式解决：</w:t>
      </w:r>
    </w:p>
    <w:p w14:paraId="0898F736">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（一）提交仲裁委员会仲裁；</w:t>
      </w:r>
    </w:p>
    <w:p w14:paraId="6F507A2D">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（二）依法向 所在地人民法院起诉。</w:t>
      </w:r>
    </w:p>
    <w:p w14:paraId="7D6C0CF3">
      <w:pPr>
        <w:tabs>
          <w:tab w:val="left" w:pos="480"/>
        </w:tabs>
        <w:spacing w:line="360" w:lineRule="auto"/>
        <w:outlineLvl w:val="1"/>
        <w:rPr>
          <w:rFonts w:hAnsi="宋体" w:cs="宋体"/>
          <w:b/>
          <w:szCs w:val="21"/>
          <w:highlight w:val="none"/>
        </w:rPr>
      </w:pPr>
      <w:bookmarkStart w:id="152" w:name="_Toc7342"/>
      <w:bookmarkStart w:id="153" w:name="_Toc2858"/>
      <w:bookmarkStart w:id="154" w:name="_Toc18389"/>
      <w:bookmarkStart w:id="155" w:name="_Toc4870"/>
      <w:r>
        <w:rPr>
          <w:rFonts w:hint="eastAsia" w:hAnsi="宋体" w:cs="宋体"/>
          <w:b/>
          <w:szCs w:val="21"/>
          <w:highlight w:val="none"/>
        </w:rPr>
        <w:t>九、合同生效</w:t>
      </w:r>
      <w:bookmarkEnd w:id="152"/>
      <w:bookmarkEnd w:id="153"/>
      <w:bookmarkEnd w:id="154"/>
      <w:bookmarkEnd w:id="155"/>
    </w:p>
    <w:p w14:paraId="3539C92E">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本合同一式份，甲方执份，乙方执份，本合同甲、乙、确认各方签字盖章后生效，合同执行完毕后，自动失效（合同的服务承诺则长期有效）。</w:t>
      </w:r>
    </w:p>
    <w:p w14:paraId="04E7A9C7">
      <w:pPr>
        <w:tabs>
          <w:tab w:val="left" w:pos="480"/>
        </w:tabs>
        <w:spacing w:line="360" w:lineRule="auto"/>
        <w:outlineLvl w:val="1"/>
        <w:rPr>
          <w:rFonts w:hAnsi="宋体" w:cs="宋体"/>
          <w:b/>
          <w:szCs w:val="21"/>
          <w:highlight w:val="none"/>
        </w:rPr>
      </w:pPr>
      <w:bookmarkStart w:id="156" w:name="_Toc18225"/>
      <w:bookmarkStart w:id="157" w:name="_Toc18381"/>
      <w:bookmarkStart w:id="158" w:name="_Toc21903"/>
      <w:bookmarkStart w:id="159" w:name="_Toc823"/>
      <w:r>
        <w:rPr>
          <w:rFonts w:hint="eastAsia" w:hAnsi="宋体" w:cs="宋体"/>
          <w:b/>
          <w:szCs w:val="21"/>
          <w:highlight w:val="none"/>
        </w:rPr>
        <w:t>十、其他事项</w:t>
      </w:r>
      <w:bookmarkEnd w:id="156"/>
      <w:bookmarkEnd w:id="157"/>
      <w:bookmarkEnd w:id="158"/>
      <w:bookmarkEnd w:id="159"/>
    </w:p>
    <w:p w14:paraId="4668F662">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（一）竞争性磋商文件、竞争性磋商响应文件、澄清表（函）、成交通知书、合同附件均成为合同不可分割的部分。</w:t>
      </w:r>
    </w:p>
    <w:p w14:paraId="43C0E531">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（二）合同未尽事宜，由甲、乙双方协商，作为合同补充，与原合同具有同等法律效力。</w:t>
      </w:r>
    </w:p>
    <w:p w14:paraId="5A256F9A">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（三）合同一经签订，不得擅自变更、中止或终止合同。但若与甲方的上级管理机关的政策性行为或其他规定发生冲突，甲方有权与乙方协商调整协议内容或终止协议执行。</w:t>
      </w:r>
    </w:p>
    <w:p w14:paraId="693748E0">
      <w:pPr>
        <w:spacing w:line="360" w:lineRule="auto"/>
        <w:ind w:firstLine="420"/>
        <w:rPr>
          <w:szCs w:val="24"/>
          <w:highlight w:val="none"/>
        </w:rPr>
      </w:pPr>
      <w:r>
        <w:rPr>
          <w:rFonts w:hint="eastAsia" w:hAnsi="宋体"/>
          <w:szCs w:val="24"/>
          <w:highlight w:val="none"/>
        </w:rPr>
        <w:t>（四）执行本合同过程中发生争议，由当事人双方协商解决。协商不成，可向采购方所在地人民法院提起诉讼。</w:t>
      </w:r>
    </w:p>
    <w:p w14:paraId="08F3A2BA">
      <w:pPr>
        <w:spacing w:line="360" w:lineRule="auto"/>
        <w:ind w:firstLine="420"/>
        <w:rPr>
          <w:szCs w:val="24"/>
          <w:highlight w:val="none"/>
        </w:rPr>
      </w:pPr>
      <w:r>
        <w:rPr>
          <w:rFonts w:hint="eastAsia" w:hAnsi="宋体"/>
          <w:szCs w:val="24"/>
          <w:highlight w:val="none"/>
        </w:rPr>
        <w:t>（五）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05B67BE3">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w:t>
      </w:r>
      <w:r>
        <w:rPr>
          <w:rFonts w:hint="eastAsia" w:hAnsi="宋体"/>
          <w:szCs w:val="24"/>
          <w:highlight w:val="none"/>
        </w:rPr>
        <w:t>六</w:t>
      </w:r>
      <w:r>
        <w:rPr>
          <w:rFonts w:hint="eastAsia" w:hAnsi="宋体" w:cs="宋体"/>
          <w:szCs w:val="21"/>
          <w:highlight w:val="none"/>
        </w:rPr>
        <w:t>）本合同按照中华人民共和国的现行法律进行解释。</w:t>
      </w:r>
    </w:p>
    <w:p w14:paraId="44BB5D6D">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甲  方：（盖章）                          乙  方：（盖章）</w:t>
      </w:r>
    </w:p>
    <w:p w14:paraId="62FBEDA5">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单位名称：                                单位名称：</w:t>
      </w:r>
    </w:p>
    <w:p w14:paraId="75D8C4FB">
      <w:pPr>
        <w:tabs>
          <w:tab w:val="left" w:pos="480"/>
        </w:tabs>
        <w:spacing w:line="360" w:lineRule="auto"/>
        <w:ind w:left="6720" w:leftChars="200" w:hanging="6240" w:hangingChars="2600"/>
        <w:rPr>
          <w:rFonts w:hAnsi="宋体" w:cs="宋体"/>
          <w:szCs w:val="21"/>
          <w:highlight w:val="none"/>
        </w:rPr>
      </w:pPr>
      <w:r>
        <w:rPr>
          <w:rFonts w:hint="eastAsia" w:hAnsi="宋体" w:cs="宋体"/>
          <w:szCs w:val="21"/>
          <w:highlight w:val="none"/>
        </w:rPr>
        <w:t>地  址：                                  地  址：</w:t>
      </w:r>
    </w:p>
    <w:p w14:paraId="1809BC8F">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法定代表人                                法定代表人</w:t>
      </w:r>
    </w:p>
    <w:p w14:paraId="489378AA">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或委托代理人：                            或委托代理人：</w:t>
      </w:r>
    </w:p>
    <w:p w14:paraId="5C88ECDF">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 xml:space="preserve">                                          开户银行：</w:t>
      </w:r>
    </w:p>
    <w:p w14:paraId="0BF3FC0F">
      <w:pPr>
        <w:tabs>
          <w:tab w:val="left" w:pos="480"/>
        </w:tabs>
        <w:spacing w:line="360" w:lineRule="auto"/>
        <w:ind w:firstLine="5520" w:firstLineChars="2300"/>
        <w:rPr>
          <w:rFonts w:hAnsi="宋体" w:cs="宋体"/>
          <w:szCs w:val="21"/>
          <w:highlight w:val="none"/>
        </w:rPr>
      </w:pPr>
      <w:r>
        <w:rPr>
          <w:rFonts w:hint="eastAsia" w:hAnsi="宋体" w:cs="宋体"/>
          <w:szCs w:val="21"/>
          <w:highlight w:val="none"/>
        </w:rPr>
        <w:t xml:space="preserve">账  号：       </w:t>
      </w:r>
    </w:p>
    <w:p w14:paraId="2A198525">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联系电话：                                联系电话：</w:t>
      </w:r>
    </w:p>
    <w:p w14:paraId="3015B109">
      <w:pPr>
        <w:tabs>
          <w:tab w:val="left" w:pos="480"/>
        </w:tabs>
        <w:spacing w:line="360" w:lineRule="auto"/>
        <w:ind w:firstLine="480" w:firstLineChars="200"/>
        <w:rPr>
          <w:rFonts w:hAnsi="宋体" w:cs="宋体"/>
          <w:szCs w:val="21"/>
          <w:highlight w:val="none"/>
        </w:rPr>
      </w:pPr>
      <w:r>
        <w:rPr>
          <w:rFonts w:hint="eastAsia" w:hAnsi="宋体" w:cs="宋体"/>
          <w:szCs w:val="21"/>
          <w:highlight w:val="none"/>
        </w:rPr>
        <w:t>签订日期：     年    月      日           签订日期：     年    月   日</w:t>
      </w:r>
    </w:p>
    <w:p w14:paraId="4B3582E1">
      <w:pPr>
        <w:rPr>
          <w:rFonts w:cs="宋体"/>
          <w:bCs/>
          <w:sz w:val="36"/>
          <w:szCs w:val="36"/>
          <w:highlight w:val="none"/>
        </w:rPr>
      </w:pPr>
      <w:r>
        <w:rPr>
          <w:rFonts w:hint="eastAsia" w:cs="宋体"/>
          <w:bCs/>
          <w:sz w:val="36"/>
          <w:szCs w:val="36"/>
          <w:highlight w:val="none"/>
        </w:rPr>
        <w:br w:type="page"/>
      </w:r>
    </w:p>
    <w:p w14:paraId="5EEADF0F">
      <w:pPr>
        <w:pStyle w:val="2"/>
        <w:rPr>
          <w:rFonts w:ascii="宋体" w:cs="宋体"/>
          <w:bCs/>
          <w:szCs w:val="36"/>
          <w:highlight w:val="none"/>
        </w:rPr>
      </w:pPr>
      <w:bookmarkStart w:id="160" w:name="_Toc7857"/>
      <w:r>
        <w:rPr>
          <w:rFonts w:hint="eastAsia" w:ascii="宋体" w:cs="宋体"/>
          <w:bCs/>
          <w:szCs w:val="36"/>
          <w:highlight w:val="none"/>
        </w:rPr>
        <w:t xml:space="preserve">第五章 </w:t>
      </w:r>
      <w:bookmarkEnd w:id="101"/>
      <w:bookmarkEnd w:id="102"/>
      <w:bookmarkEnd w:id="103"/>
      <w:bookmarkEnd w:id="104"/>
      <w:bookmarkEnd w:id="105"/>
      <w:bookmarkEnd w:id="106"/>
      <w:bookmarkEnd w:id="107"/>
      <w:bookmarkEnd w:id="108"/>
      <w:bookmarkEnd w:id="109"/>
      <w:r>
        <w:rPr>
          <w:rFonts w:hint="eastAsia" w:ascii="宋体" w:cs="宋体"/>
          <w:bCs/>
          <w:szCs w:val="36"/>
          <w:highlight w:val="none"/>
        </w:rPr>
        <w:t xml:space="preserve"> 磋商内容及技术要求</w:t>
      </w:r>
      <w:bookmarkEnd w:id="141"/>
      <w:bookmarkEnd w:id="142"/>
      <w:bookmarkEnd w:id="160"/>
    </w:p>
    <w:bookmarkEnd w:id="66"/>
    <w:p w14:paraId="4688421D">
      <w:pPr>
        <w:keepNext w:val="0"/>
        <w:keepLines w:val="0"/>
        <w:pageBreakBefore w:val="0"/>
        <w:kinsoku/>
        <w:overflowPunct/>
        <w:autoSpaceDE/>
        <w:autoSpaceDN/>
        <w:bidi w:val="0"/>
        <w:adjustRightInd w:val="0"/>
        <w:snapToGrid w:val="0"/>
        <w:spacing w:line="360" w:lineRule="auto"/>
        <w:textAlignment w:val="auto"/>
        <w:rPr>
          <w:rFonts w:cs="宋体"/>
          <w:sz w:val="24"/>
          <w:szCs w:val="24"/>
        </w:rPr>
      </w:pPr>
      <w:bookmarkStart w:id="161" w:name="_Toc423973079"/>
      <w:bookmarkStart w:id="162" w:name="_Toc403077646"/>
      <w:bookmarkStart w:id="163" w:name="_Toc363474025"/>
      <w:bookmarkStart w:id="164" w:name="_Toc6373"/>
      <w:bookmarkStart w:id="165" w:name="_Toc5084"/>
      <w:r>
        <w:rPr>
          <w:rFonts w:hint="eastAsia" w:cs="宋体"/>
          <w:sz w:val="24"/>
          <w:szCs w:val="24"/>
        </w:rPr>
        <w:t>一、项目概况</w:t>
      </w:r>
    </w:p>
    <w:p w14:paraId="55795BA9">
      <w:pPr>
        <w:keepNext w:val="0"/>
        <w:keepLines w:val="0"/>
        <w:pageBreakBefore w:val="0"/>
        <w:kinsoku/>
        <w:overflowPunct/>
        <w:autoSpaceDE/>
        <w:autoSpaceDN/>
        <w:bidi w:val="0"/>
        <w:adjustRightInd w:val="0"/>
        <w:snapToGrid w:val="0"/>
        <w:spacing w:line="360" w:lineRule="auto"/>
        <w:textAlignment w:val="auto"/>
        <w:rPr>
          <w:rFonts w:cs="宋体"/>
          <w:sz w:val="24"/>
          <w:szCs w:val="24"/>
        </w:rPr>
      </w:pPr>
      <w:r>
        <w:rPr>
          <w:rFonts w:cs="宋体"/>
          <w:sz w:val="24"/>
          <w:szCs w:val="24"/>
        </w:rPr>
        <w:t xml:space="preserve">     1</w:t>
      </w:r>
      <w:r>
        <w:rPr>
          <w:rFonts w:hint="eastAsia" w:cs="宋体"/>
          <w:sz w:val="24"/>
          <w:szCs w:val="24"/>
        </w:rPr>
        <w:t>、项目名称：秦陵博物院网络生态治理服务</w:t>
      </w:r>
    </w:p>
    <w:p w14:paraId="4E01350F">
      <w:pPr>
        <w:keepNext w:val="0"/>
        <w:keepLines w:val="0"/>
        <w:pageBreakBefore w:val="0"/>
        <w:kinsoku/>
        <w:overflowPunct/>
        <w:autoSpaceDE/>
        <w:autoSpaceDN/>
        <w:bidi w:val="0"/>
        <w:adjustRightInd w:val="0"/>
        <w:snapToGrid w:val="0"/>
        <w:spacing w:line="360" w:lineRule="auto"/>
        <w:textAlignment w:val="auto"/>
        <w:rPr>
          <w:sz w:val="24"/>
          <w:szCs w:val="24"/>
        </w:rPr>
      </w:pPr>
      <w:r>
        <w:rPr>
          <w:sz w:val="24"/>
          <w:szCs w:val="24"/>
        </w:rPr>
        <w:t xml:space="preserve">     2</w:t>
      </w:r>
      <w:r>
        <w:rPr>
          <w:rFonts w:hint="eastAsia" w:cs="宋体"/>
          <w:sz w:val="24"/>
          <w:szCs w:val="24"/>
        </w:rPr>
        <w:t>、项目类别：服务</w:t>
      </w:r>
    </w:p>
    <w:p w14:paraId="54BD43CD">
      <w:pPr>
        <w:keepNext w:val="0"/>
        <w:keepLines w:val="0"/>
        <w:pageBreakBefore w:val="0"/>
        <w:kinsoku/>
        <w:overflowPunct/>
        <w:autoSpaceDE/>
        <w:autoSpaceDN/>
        <w:bidi w:val="0"/>
        <w:adjustRightInd w:val="0"/>
        <w:snapToGrid w:val="0"/>
        <w:spacing w:line="360" w:lineRule="auto"/>
        <w:textAlignment w:val="auto"/>
        <w:rPr>
          <w:sz w:val="24"/>
          <w:szCs w:val="24"/>
        </w:rPr>
      </w:pPr>
      <w:r>
        <w:rPr>
          <w:sz w:val="24"/>
          <w:szCs w:val="24"/>
        </w:rPr>
        <w:t xml:space="preserve">     3</w:t>
      </w:r>
      <w:r>
        <w:rPr>
          <w:rFonts w:hint="eastAsia" w:cs="宋体"/>
          <w:sz w:val="24"/>
          <w:szCs w:val="24"/>
        </w:rPr>
        <w:t>、预算控制价</w:t>
      </w:r>
      <w:r>
        <w:rPr>
          <w:sz w:val="24"/>
          <w:szCs w:val="24"/>
        </w:rPr>
        <w:t>/</w:t>
      </w:r>
      <w:r>
        <w:rPr>
          <w:rFonts w:hint="eastAsia" w:cs="宋体"/>
          <w:sz w:val="24"/>
          <w:szCs w:val="24"/>
        </w:rPr>
        <w:t>招标控制价：</w:t>
      </w:r>
      <w:r>
        <w:rPr>
          <w:sz w:val="24"/>
          <w:szCs w:val="24"/>
        </w:rPr>
        <w:t>30</w:t>
      </w:r>
      <w:r>
        <w:rPr>
          <w:rFonts w:hint="eastAsia" w:cs="宋体"/>
          <w:sz w:val="24"/>
          <w:szCs w:val="24"/>
        </w:rPr>
        <w:t>万元</w:t>
      </w:r>
    </w:p>
    <w:p w14:paraId="19575B0A">
      <w:pPr>
        <w:keepNext w:val="0"/>
        <w:keepLines w:val="0"/>
        <w:pageBreakBefore w:val="0"/>
        <w:kinsoku/>
        <w:overflowPunct/>
        <w:autoSpaceDE/>
        <w:autoSpaceDN/>
        <w:bidi w:val="0"/>
        <w:adjustRightInd w:val="0"/>
        <w:snapToGrid w:val="0"/>
        <w:spacing w:line="360" w:lineRule="auto"/>
        <w:textAlignment w:val="auto"/>
        <w:rPr>
          <w:sz w:val="24"/>
          <w:szCs w:val="24"/>
        </w:rPr>
      </w:pPr>
      <w:r>
        <w:rPr>
          <w:sz w:val="24"/>
          <w:szCs w:val="24"/>
        </w:rPr>
        <w:t xml:space="preserve">     4</w:t>
      </w:r>
      <w:r>
        <w:rPr>
          <w:rFonts w:hint="eastAsia" w:cs="宋体"/>
          <w:sz w:val="24"/>
          <w:szCs w:val="24"/>
        </w:rPr>
        <w:t>、采购方式：</w:t>
      </w:r>
    </w:p>
    <w:p w14:paraId="58BE14DB">
      <w:pPr>
        <w:keepNext w:val="0"/>
        <w:keepLines w:val="0"/>
        <w:pageBreakBefore w:val="0"/>
        <w:kinsoku/>
        <w:overflowPunct/>
        <w:autoSpaceDE/>
        <w:autoSpaceDN/>
        <w:bidi w:val="0"/>
        <w:adjustRightInd w:val="0"/>
        <w:snapToGrid w:val="0"/>
        <w:spacing w:line="360" w:lineRule="auto"/>
        <w:textAlignment w:val="auto"/>
        <w:rPr>
          <w:rFonts w:cs="宋体"/>
          <w:sz w:val="24"/>
          <w:szCs w:val="24"/>
        </w:rPr>
      </w:pPr>
      <w:r>
        <w:rPr>
          <w:sz w:val="24"/>
          <w:szCs w:val="24"/>
        </w:rPr>
        <w:t xml:space="preserve">     5</w:t>
      </w:r>
      <w:r>
        <w:rPr>
          <w:rFonts w:hint="eastAsia" w:cs="宋体"/>
          <w:sz w:val="24"/>
          <w:szCs w:val="24"/>
        </w:rPr>
        <w:t>、项目概况：</w:t>
      </w:r>
    </w:p>
    <w:p w14:paraId="7FA694A2">
      <w:pPr>
        <w:keepNext w:val="0"/>
        <w:keepLines w:val="0"/>
        <w:pageBreakBefore w:val="0"/>
        <w:kinsoku/>
        <w:overflowPunct/>
        <w:autoSpaceDE/>
        <w:autoSpaceDN/>
        <w:bidi w:val="0"/>
        <w:adjustRightInd w:val="0"/>
        <w:snapToGrid w:val="0"/>
        <w:spacing w:line="360" w:lineRule="auto"/>
        <w:ind w:firstLine="480" w:firstLineChars="200"/>
        <w:textAlignment w:val="auto"/>
        <w:rPr>
          <w:rFonts w:hAnsi="宋体"/>
          <w:sz w:val="24"/>
          <w:szCs w:val="24"/>
        </w:rPr>
      </w:pPr>
      <w:r>
        <w:rPr>
          <w:rFonts w:hint="eastAsia" w:hAnsi="宋体"/>
          <w:sz w:val="24"/>
          <w:szCs w:val="24"/>
        </w:rPr>
        <w:t>围绕秦陵博物院相关舆论情况，对新闻网站、报刊、网站、论坛、博客、微博、微信公号、新闻客户端等网络信息进行实时监控；对舆论情况信息传播渠道实现跟踪、溯源；提供切实有效的舆论情况分析研判及对策建议服务。</w:t>
      </w:r>
    </w:p>
    <w:p w14:paraId="24B710BC">
      <w:pPr>
        <w:keepNext w:val="0"/>
        <w:keepLines w:val="0"/>
        <w:pageBreakBefore w:val="0"/>
        <w:kinsoku/>
        <w:overflowPunct/>
        <w:autoSpaceDE/>
        <w:autoSpaceDN/>
        <w:bidi w:val="0"/>
        <w:adjustRightInd w:val="0"/>
        <w:snapToGrid w:val="0"/>
        <w:spacing w:line="360" w:lineRule="auto"/>
        <w:textAlignment w:val="auto"/>
        <w:rPr>
          <w:sz w:val="24"/>
          <w:szCs w:val="24"/>
        </w:rPr>
      </w:pPr>
      <w:r>
        <w:rPr>
          <w:sz w:val="24"/>
          <w:szCs w:val="24"/>
        </w:rPr>
        <w:t xml:space="preserve">    </w:t>
      </w:r>
      <w:r>
        <w:rPr>
          <w:rFonts w:hint="eastAsia" w:cs="宋体"/>
          <w:sz w:val="24"/>
          <w:szCs w:val="24"/>
        </w:rPr>
        <w:t>二、技术要求</w:t>
      </w:r>
    </w:p>
    <w:p w14:paraId="5742700A">
      <w:pPr>
        <w:keepNext w:val="0"/>
        <w:keepLines w:val="0"/>
        <w:pageBreakBefore w:val="0"/>
        <w:kinsoku/>
        <w:overflowPunct/>
        <w:autoSpaceDE/>
        <w:autoSpaceDN/>
        <w:bidi w:val="0"/>
        <w:adjustRightInd w:val="0"/>
        <w:snapToGrid w:val="0"/>
        <w:spacing w:line="360" w:lineRule="auto"/>
        <w:ind w:firstLine="482" w:firstLineChars="200"/>
        <w:textAlignment w:val="auto"/>
        <w:rPr>
          <w:rFonts w:hAnsi="宋体"/>
          <w:b/>
          <w:bCs/>
          <w:sz w:val="24"/>
          <w:szCs w:val="24"/>
        </w:rPr>
      </w:pPr>
      <w:r>
        <w:rPr>
          <w:rFonts w:hint="eastAsia" w:hAnsi="宋体"/>
          <w:b/>
          <w:bCs/>
          <w:sz w:val="24"/>
          <w:szCs w:val="24"/>
        </w:rPr>
        <w:t>一、总体要求</w:t>
      </w:r>
    </w:p>
    <w:p w14:paraId="65F3F0E6">
      <w:pPr>
        <w:keepNext w:val="0"/>
        <w:keepLines w:val="0"/>
        <w:pageBreakBefore w:val="0"/>
        <w:kinsoku/>
        <w:overflowPunct/>
        <w:autoSpaceDE/>
        <w:autoSpaceDN/>
        <w:bidi w:val="0"/>
        <w:adjustRightInd w:val="0"/>
        <w:snapToGrid w:val="0"/>
        <w:spacing w:line="360" w:lineRule="auto"/>
        <w:ind w:firstLine="480" w:firstLineChars="200"/>
        <w:textAlignment w:val="auto"/>
        <w:rPr>
          <w:rFonts w:hAnsi="宋体"/>
          <w:sz w:val="24"/>
          <w:szCs w:val="24"/>
        </w:rPr>
      </w:pPr>
      <w:r>
        <w:rPr>
          <w:rFonts w:hint="eastAsia" w:hAnsi="宋体"/>
          <w:sz w:val="24"/>
          <w:szCs w:val="24"/>
        </w:rPr>
        <w:t>针对秦始皇帝陵博物院的行业特点，结合秦始皇帝陵博物院具体业务需求，合理制定正、负面舆论情况上报模式。提供周期性全网大数据分析报告，协助对全网大数据正面情感进行引导、宣传；对于全网大数据负面信息进行总结，分析，提出专业的处理策略建议。当遇到重大舆论情况风险时，提供专题分析报告，提出合理的处置建议并指派专人对接。对相关信息进行持续监测，全力协助调控，配合危机处置。提供针对突发事件应急培训的机会，（适时邀请国家级舆论情况监测处置专家进行培训指导。提供切实有效的舆论情况分析研判以及对策建议服务，做到提前预案、及时预警、科学研判、妥善处理、有效回应。同时，协助撰写相关理论研究成果。</w:t>
      </w:r>
    </w:p>
    <w:p w14:paraId="674766A0">
      <w:pPr>
        <w:keepNext w:val="0"/>
        <w:keepLines w:val="0"/>
        <w:pageBreakBefore w:val="0"/>
        <w:kinsoku/>
        <w:overflowPunct/>
        <w:autoSpaceDE/>
        <w:autoSpaceDN/>
        <w:bidi w:val="0"/>
        <w:adjustRightInd w:val="0"/>
        <w:snapToGrid w:val="0"/>
        <w:spacing w:line="360" w:lineRule="auto"/>
        <w:ind w:firstLine="480" w:firstLineChars="200"/>
        <w:textAlignment w:val="auto"/>
        <w:rPr>
          <w:rFonts w:hAnsi="宋体"/>
          <w:sz w:val="24"/>
          <w:szCs w:val="24"/>
        </w:rPr>
      </w:pPr>
      <w:r>
        <w:rPr>
          <w:rFonts w:hint="eastAsia" w:hAnsi="宋体"/>
          <w:sz w:val="24"/>
          <w:szCs w:val="24"/>
        </w:rPr>
        <w:t>（重大舆论情况：由采购人判断，可能对秦始皇帝陵博物院公众形象、政府公信力、社会稳定等方面产生严重负面影响的事件或信息。）</w:t>
      </w:r>
    </w:p>
    <w:p w14:paraId="74D0E399">
      <w:pPr>
        <w:keepNext w:val="0"/>
        <w:keepLines w:val="0"/>
        <w:pageBreakBefore w:val="0"/>
        <w:kinsoku/>
        <w:overflowPunct/>
        <w:autoSpaceDE/>
        <w:autoSpaceDN/>
        <w:bidi w:val="0"/>
        <w:adjustRightInd w:val="0"/>
        <w:snapToGrid w:val="0"/>
        <w:spacing w:line="360" w:lineRule="auto"/>
        <w:ind w:firstLine="482" w:firstLineChars="200"/>
        <w:textAlignment w:val="auto"/>
        <w:rPr>
          <w:rFonts w:hAnsi="宋体"/>
          <w:b/>
          <w:bCs/>
          <w:sz w:val="24"/>
          <w:szCs w:val="24"/>
        </w:rPr>
      </w:pPr>
      <w:r>
        <w:rPr>
          <w:rFonts w:hint="eastAsia" w:hAnsi="宋体"/>
          <w:b/>
          <w:bCs/>
          <w:sz w:val="24"/>
          <w:szCs w:val="24"/>
        </w:rPr>
        <w:t>二、采购需求</w:t>
      </w:r>
    </w:p>
    <w:p w14:paraId="791B0D39">
      <w:pPr>
        <w:pStyle w:val="49"/>
        <w:keepNext w:val="0"/>
        <w:keepLines w:val="0"/>
        <w:pageBreakBefore w:val="0"/>
        <w:numPr>
          <w:ilvl w:val="1"/>
          <w:numId w:val="0"/>
        </w:numPr>
        <w:kinsoku/>
        <w:overflowPunct/>
        <w:autoSpaceDE/>
        <w:autoSpaceDN/>
        <w:bidi w:val="0"/>
        <w:adjustRightInd w:val="0"/>
        <w:snapToGrid w:val="0"/>
        <w:spacing w:line="360" w:lineRule="auto"/>
        <w:ind w:firstLine="482" w:firstLineChars="200"/>
        <w:textAlignment w:val="auto"/>
        <w:rPr>
          <w:b/>
          <w:bCs/>
          <w:sz w:val="24"/>
          <w:szCs w:val="24"/>
        </w:rPr>
      </w:pPr>
      <w:r>
        <w:rPr>
          <w:rFonts w:hint="eastAsia"/>
          <w:b/>
          <w:bCs/>
          <w:sz w:val="24"/>
          <w:szCs w:val="24"/>
        </w:rPr>
        <w:t>（一）舆论情况信息采集监测服务系统</w:t>
      </w:r>
    </w:p>
    <w:p w14:paraId="63C25402">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1.全网监测：系统监测范围可覆盖网站、微博、微信、论坛、贴吧、App、网络视频、小视频、电子报刊等全网信息进行监测。</w:t>
      </w:r>
    </w:p>
    <w:p w14:paraId="656E948A">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2.关键词配置：提供通过配置关键词方式的采集服务，支持关键词的精准度设置，监测配置可提供行业词模型选择，支持标签订阅。</w:t>
      </w:r>
    </w:p>
    <w:p w14:paraId="6EAD094A">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3.一键截图：发现负面舆论情况信息时，系统支持一键截图功能，快速上报。</w:t>
      </w:r>
    </w:p>
    <w:p w14:paraId="205F98FF">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4.定向监测：系统支持指定站点、作者、媒体类型的定向监测，提供智能联想功能。</w:t>
      </w:r>
    </w:p>
    <w:p w14:paraId="50AD6B1B">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5.▲定点监测：支持以一个地点为中心，搜索/监测一定距离范围内签到的信息，可同时匹配关键词或场景描述。</w:t>
      </w:r>
    </w:p>
    <w:p w14:paraId="01C1D00E">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6.热点预测：需支持对全网信息、话题、事件数据进行传播情况的综合计算，预测可能成为热点的信息。通过配置关键词的方式，及时预警符合热点的事件、话题。</w:t>
      </w:r>
    </w:p>
    <w:p w14:paraId="09AFEF86">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7.▲作者画像：需支持对发布账户做深入分析，分析维度不少于账号基本信息（粉丝数、发文量、点赞量等）、平台号、账号ID、同源矩阵、近期发布动态等。</w:t>
      </w:r>
    </w:p>
    <w:p w14:paraId="0B147DE8">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8.标签管理：系统支持新建、编辑、删除标签，提升筛选舆论情况信息效率。</w:t>
      </w:r>
    </w:p>
    <w:p w14:paraId="2F99FF1C">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9.属地媒体监测：支持通过标签订阅形式自主选择属地问政、属地论坛、人民网地方留言板等属地媒体监测。</w:t>
      </w:r>
    </w:p>
    <w:p w14:paraId="1544D3E7">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1</w:t>
      </w:r>
      <w:r>
        <w:rPr>
          <w:sz w:val="24"/>
          <w:szCs w:val="24"/>
        </w:rPr>
        <w:t>1</w:t>
      </w:r>
      <w:r>
        <w:rPr>
          <w:rFonts w:hint="eastAsia"/>
          <w:sz w:val="24"/>
          <w:szCs w:val="24"/>
        </w:rPr>
        <w:t>.图片识别：支持图片OCR识别，对所有新闻，微信，微博，论坛等配图进行OCR识别。</w:t>
      </w:r>
    </w:p>
    <w:p w14:paraId="0E84519D">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1</w:t>
      </w:r>
      <w:r>
        <w:rPr>
          <w:sz w:val="24"/>
          <w:szCs w:val="24"/>
        </w:rPr>
        <w:t>2</w:t>
      </w:r>
      <w:r>
        <w:rPr>
          <w:rFonts w:hint="eastAsia"/>
          <w:sz w:val="24"/>
          <w:szCs w:val="24"/>
        </w:rPr>
        <w:t>.属地识别：在地域词中添加地域标签后，可勾选属地识别项，则符合地域标签的勾选项数据会进入到专题中，更全面的监测属地信息。识别项主要包含：作者地域、信息签到地、信息发布地域、同城推荐信息、人民网地方留言板、属地问政平台、属地贴吧、属地论坛。</w:t>
      </w:r>
    </w:p>
    <w:p w14:paraId="43B894DE">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1</w:t>
      </w:r>
      <w:r>
        <w:rPr>
          <w:sz w:val="24"/>
          <w:szCs w:val="24"/>
        </w:rPr>
        <w:t>3</w:t>
      </w:r>
      <w:r>
        <w:rPr>
          <w:rFonts w:hint="eastAsia"/>
          <w:sz w:val="24"/>
          <w:szCs w:val="24"/>
        </w:rPr>
        <w:t>.全网搜索：支持关键词搜索、场景识别（包括文字、图片、视频在内的组合形式）、人脸识别（系统支持通过一张或多张人脸照片查找人物线索）、热点搜索（随时检索相关事件、话题当前传播过程是否高热，以及是否已上热搜）、元搜索（必应、360、搜狗等）及微博搜索等方式；</w:t>
      </w:r>
    </w:p>
    <w:p w14:paraId="734C437F">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1</w:t>
      </w:r>
      <w:r>
        <w:rPr>
          <w:sz w:val="24"/>
          <w:szCs w:val="24"/>
        </w:rPr>
        <w:t>4</w:t>
      </w:r>
      <w:r>
        <w:rPr>
          <w:rFonts w:hint="eastAsia"/>
          <w:sz w:val="24"/>
          <w:szCs w:val="24"/>
        </w:rPr>
        <w:t>.热点榜单：支持各媒体热点榜单（不少于10个平台），包括微博热榜、头条热榜、知乎热榜、B站热榜、百度热榜、贴吧热议榜、QQ热榜、快手热榜、小红书热榜及搜狐热榜等实时查看全网热点，并支持筛选政务、宣传、企业、教育、公安等行业热点。</w:t>
      </w:r>
    </w:p>
    <w:p w14:paraId="2FAC6D8C">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1</w:t>
      </w:r>
      <w:r>
        <w:rPr>
          <w:sz w:val="24"/>
          <w:szCs w:val="24"/>
        </w:rPr>
        <w:t>5</w:t>
      </w:r>
      <w:r>
        <w:rPr>
          <w:rFonts w:hint="eastAsia"/>
          <w:sz w:val="24"/>
          <w:szCs w:val="24"/>
        </w:rPr>
        <w:t>.榜单预警：热搜事件智能预警，设置的上榜关键词信息出现在热搜榜后，第一时间获取预警提醒，以便及时应对处置；榜单位置变化、撤热搜榜实时预警提醒，并支持一键复制榜单详情报送领导。</w:t>
      </w:r>
    </w:p>
    <w:p w14:paraId="63AB5D8A">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1</w:t>
      </w:r>
      <w:r>
        <w:rPr>
          <w:sz w:val="24"/>
          <w:szCs w:val="24"/>
        </w:rPr>
        <w:t>6</w:t>
      </w:r>
      <w:r>
        <w:rPr>
          <w:rFonts w:hint="eastAsia"/>
          <w:sz w:val="24"/>
          <w:szCs w:val="24"/>
        </w:rPr>
        <w:t>.事件上热搜榜预警：事件上热搜榜智能预警，事件出现在热搜榜后，第一时间获取预警提醒，以便及时应对处置；智能分析榜单数据，如事件上榜平台总数、互动数、历史最高排名、最高热搜值、在榜总时长等。</w:t>
      </w:r>
    </w:p>
    <w:p w14:paraId="1F614124">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1</w:t>
      </w:r>
      <w:r>
        <w:rPr>
          <w:sz w:val="24"/>
          <w:szCs w:val="24"/>
        </w:rPr>
        <w:t>7</w:t>
      </w:r>
      <w:r>
        <w:rPr>
          <w:rFonts w:hint="eastAsia"/>
          <w:sz w:val="24"/>
          <w:szCs w:val="24"/>
        </w:rPr>
        <w:t>.智能预警：支持最新预警信息弹窗显示，并且今日所有的预警信息自动存储到预警信息专栏，根据时间线倒序显示今日所有预警信息，并支持筛选当天、24小时、近七天和自定义时间的舆论情况信息，保证预警信息有序存档，不错过任何一条重大舆论情况信息。</w:t>
      </w:r>
    </w:p>
    <w:p w14:paraId="604B1817">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sz w:val="24"/>
          <w:szCs w:val="24"/>
        </w:rPr>
        <w:t>18</w:t>
      </w:r>
      <w:r>
        <w:rPr>
          <w:rFonts w:hint="eastAsia"/>
          <w:sz w:val="24"/>
          <w:szCs w:val="24"/>
        </w:rPr>
        <w:t>.预警方式：支持针对不同专题的预警规则配置；提供PC弹窗、手机端、及微信公众号等多终端预警推送。</w:t>
      </w:r>
    </w:p>
    <w:p w14:paraId="23C8C114">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sz w:val="24"/>
          <w:szCs w:val="24"/>
        </w:rPr>
        <w:t>19</w:t>
      </w:r>
      <w:r>
        <w:rPr>
          <w:rFonts w:hint="eastAsia"/>
          <w:sz w:val="24"/>
          <w:szCs w:val="24"/>
        </w:rPr>
        <w:t>.智能报告：系统支持用户自定义调整报告模板内容、格式（word、excel）、日期，智能生成报告，包含简报、日报、周报、月报、网参报告等。</w:t>
      </w:r>
    </w:p>
    <w:p w14:paraId="31582D4A">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sz w:val="24"/>
          <w:szCs w:val="24"/>
        </w:rPr>
        <w:t>20</w:t>
      </w:r>
      <w:r>
        <w:rPr>
          <w:rFonts w:hint="eastAsia"/>
          <w:sz w:val="24"/>
          <w:szCs w:val="24"/>
        </w:rPr>
        <w:t>.统计分析：能够对专题数据进行汇总统计，可以按媒体分布、倾向性、起止时间等多维度进行统计分析，以舆论情况倾向性走势图、媒体来源分布图、发展趋势图、热点top10、热词、活跃媒体、活跃作者等图表形式，全面、直观的进行展示。</w:t>
      </w:r>
    </w:p>
    <w:p w14:paraId="74F0A21E">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提供事件全部报道的数据查询服务。支持一键导出事件分析报告、分享报告、事件发展动态微信推送；</w:t>
      </w:r>
    </w:p>
    <w:p w14:paraId="087CB75C">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2</w:t>
      </w:r>
      <w:r>
        <w:rPr>
          <w:sz w:val="24"/>
          <w:szCs w:val="24"/>
        </w:rPr>
        <w:t>1</w:t>
      </w:r>
      <w:r>
        <w:rPr>
          <w:rFonts w:hint="eastAsia"/>
          <w:sz w:val="24"/>
          <w:szCs w:val="24"/>
        </w:rPr>
        <w:t>.预警分析：支持预警信息分析模块，可自定义选择分析的时间范围，分析维度包含预警走势、媒体分布、活跃媒体以及活跃作者。并支持预警分析结果导出功能。</w:t>
      </w:r>
    </w:p>
    <w:p w14:paraId="6B6991F2">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2</w:t>
      </w:r>
      <w:r>
        <w:rPr>
          <w:sz w:val="24"/>
          <w:szCs w:val="24"/>
        </w:rPr>
        <w:t>2</w:t>
      </w:r>
      <w:r>
        <w:rPr>
          <w:rFonts w:hint="eastAsia"/>
          <w:sz w:val="24"/>
          <w:szCs w:val="24"/>
        </w:rPr>
        <w:t>.传播分析：支持针对微博信息实现一键传播分析。传播分析信息需包括信息概况、首发、关键传播路径、转发时间趋势。</w:t>
      </w:r>
    </w:p>
    <w:p w14:paraId="17ADF814">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2</w:t>
      </w:r>
      <w:r>
        <w:rPr>
          <w:sz w:val="24"/>
          <w:szCs w:val="24"/>
        </w:rPr>
        <w:t>3</w:t>
      </w:r>
      <w:r>
        <w:rPr>
          <w:rFonts w:hint="eastAsia"/>
          <w:sz w:val="24"/>
          <w:szCs w:val="24"/>
        </w:rPr>
        <w:t>.溯源：突发事件通过事件关键词、图片、视频溯源首发，溯源后的方案可保存留档。帮助为监管部门在舆论情况处理前锁定事件发生的源头，制定更具针对性的应对措施，防止网络舆论情况不断升级。对社交媒体账号进行深入分析，刻画用户特征，通过分析过往的发文内容、参与话题等信息识别潜在风险账号，同时提供账号唯一ID辅助后续落查。</w:t>
      </w:r>
    </w:p>
    <w:p w14:paraId="79F4C36C">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27.▲水军库：提供参与过我的事件的疑似水军清单。展示疑似水军的判断规则，以及参与过的历史事件。通过清单可以盘点各事件中的疑似水军是否有关联。</w:t>
      </w:r>
    </w:p>
    <w:p w14:paraId="29CF6878">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28.评论分析：支持微博、头条、快手、小红书、抖音原发信息下的评论分析，从内容、作者层面，多维度进行分析，同时支持评论数据的明细查看。</w:t>
      </w:r>
    </w:p>
    <w:p w14:paraId="11600CCB">
      <w:pPr>
        <w:pStyle w:val="49"/>
        <w:keepNext w:val="0"/>
        <w:keepLines w:val="0"/>
        <w:pageBreakBefore w:val="0"/>
        <w:numPr>
          <w:ilvl w:val="1"/>
          <w:numId w:val="0"/>
        </w:numPr>
        <w:kinsoku/>
        <w:overflowPunct/>
        <w:autoSpaceDE/>
        <w:autoSpaceDN/>
        <w:bidi w:val="0"/>
        <w:adjustRightInd w:val="0"/>
        <w:snapToGrid w:val="0"/>
        <w:spacing w:line="360" w:lineRule="auto"/>
        <w:ind w:firstLine="482" w:firstLineChars="200"/>
        <w:textAlignment w:val="auto"/>
        <w:rPr>
          <w:b/>
          <w:bCs/>
          <w:sz w:val="24"/>
          <w:szCs w:val="24"/>
        </w:rPr>
      </w:pPr>
      <w:r>
        <w:rPr>
          <w:rFonts w:hint="eastAsia"/>
          <w:b/>
          <w:bCs/>
          <w:sz w:val="24"/>
          <w:szCs w:val="24"/>
        </w:rPr>
        <w:t>（二）短视频监测</w:t>
      </w:r>
    </w:p>
    <w:p w14:paraId="4E302D9C">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1、覆盖范围：需覆盖抖音、快手、小红书、新浪微博视频、B站、今日头条、西瓜视频、微信视频号、网易号等在内的不少于15个短视频平台，支持对主流短视频平台的采集搜索及溯源，支持敏感视频一键溯源；</w:t>
      </w:r>
    </w:p>
    <w:p w14:paraId="5489CA3B">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2、智能预警：对网络上的短视频进行不间断监测，并可按照需求灵活地进行关键词、地域信息等多维度的匹配，一旦发现匹配的舆论情况信息，第一时间在浏览页面展示，并可通过PC、APP、公众号等方式下发预警；</w:t>
      </w:r>
    </w:p>
    <w:p w14:paraId="2548D855">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3、图片识别：支持识别图片中的场景，通过上传图片、用文字描述图片画面，可搜索与图片相似的短视频信息，只掌握一张图也能搜索舆论情况信息；</w:t>
      </w:r>
    </w:p>
    <w:p w14:paraId="11FED338">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4、▲语音识别：系统可识别视频中的语音，可通过关键词搜索包含该语音内容的短视频；</w:t>
      </w:r>
    </w:p>
    <w:p w14:paraId="298BEC06">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5、信息失效监测：支持对包含抖音、快手、微博、头条、小红书等平台在内的信息，进行批量、实时失效检测，并可生成excel文档，帮助实时掌握网络信息是否删除。</w:t>
      </w:r>
    </w:p>
    <w:p w14:paraId="4A0A83B9">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6、支持对检索结果进行实时的数据分析，不少于10个维度呈现可视化看板；支持热点事件的短视频分析功能，分析维度需包含短视频概况、短视频发展趋势、平台分布、时间热门短视频、短视频平台传播、短视频用户认证比重、短视频热词、倾向性趋势分析及短视频作者地域分析等维度。并且支持一键导出事件分析报告、分享报告、事件发展动态微信推送；</w:t>
      </w:r>
    </w:p>
    <w:p w14:paraId="364DD843">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7、具有对抖音短视频平台信息进行全时长抽帧的能力；</w:t>
      </w:r>
    </w:p>
    <w:p w14:paraId="09F73861">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8、▲地域识别：支持作者注册点、签到地、地域识别（内容提及）、用户IP属地进行地域监测。</w:t>
      </w:r>
    </w:p>
    <w:p w14:paraId="12240194">
      <w:pPr>
        <w:pStyle w:val="49"/>
        <w:keepNext w:val="0"/>
        <w:keepLines w:val="0"/>
        <w:pageBreakBefore w:val="0"/>
        <w:numPr>
          <w:ilvl w:val="1"/>
          <w:numId w:val="0"/>
        </w:numPr>
        <w:kinsoku/>
        <w:overflowPunct/>
        <w:autoSpaceDE/>
        <w:autoSpaceDN/>
        <w:bidi w:val="0"/>
        <w:adjustRightInd w:val="0"/>
        <w:snapToGrid w:val="0"/>
        <w:spacing w:line="360" w:lineRule="auto"/>
        <w:ind w:firstLine="482" w:firstLineChars="200"/>
        <w:textAlignment w:val="auto"/>
        <w:rPr>
          <w:b/>
          <w:bCs/>
          <w:sz w:val="24"/>
          <w:szCs w:val="24"/>
        </w:rPr>
      </w:pPr>
      <w:r>
        <w:rPr>
          <w:rFonts w:hint="eastAsia"/>
          <w:b/>
          <w:bCs/>
          <w:sz w:val="24"/>
          <w:szCs w:val="24"/>
        </w:rPr>
        <w:t>（三）提供AI数智专员智能体服务：要求具备以下功能。</w:t>
      </w:r>
    </w:p>
    <w:p w14:paraId="25DCF0C9">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 xml:space="preserve">1.热点事件追踪 </w:t>
      </w:r>
    </w:p>
    <w:p w14:paraId="4A0D15A6">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实时获取全网热榜数据，按地域/行业分类梳理热点，提供热度排名和趋势分析。</w:t>
      </w:r>
    </w:p>
    <w:p w14:paraId="24C78911">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2.</w:t>
      </w:r>
      <w:r>
        <w:rPr>
          <w:sz w:val="24"/>
          <w:szCs w:val="24"/>
        </w:rPr>
        <w:t>事件风险研判 </w:t>
      </w:r>
      <w:r>
        <w:rPr>
          <w:sz w:val="24"/>
          <w:szCs w:val="24"/>
        </w:rPr>
        <w:br w:type="textWrapping"/>
      </w:r>
      <w:r>
        <w:rPr>
          <w:sz w:val="24"/>
          <w:szCs w:val="24"/>
        </w:rPr>
        <w:t>多维度风险分析、网民观点、媒体报道情况、潜在风险点、舆论情况走向预判及应对建议</w:t>
      </w:r>
    </w:p>
    <w:p w14:paraId="06BC5868">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3.</w:t>
      </w:r>
      <w:r>
        <w:rPr>
          <w:sz w:val="24"/>
          <w:szCs w:val="24"/>
        </w:rPr>
        <w:t>深度报告撰写  </w:t>
      </w:r>
      <w:r>
        <w:rPr>
          <w:sz w:val="24"/>
          <w:szCs w:val="24"/>
        </w:rPr>
        <w:br w:type="textWrapping"/>
      </w:r>
      <w:r>
        <w:rPr>
          <w:sz w:val="24"/>
          <w:szCs w:val="24"/>
        </w:rPr>
        <w:t>一键生成可交付的多维度报告，覆盖单事件分析、多事件综合分析、事件复盘、社会现象研究、作品传播分析、地域周期回顾、专题/专项分析、品牌社交分析等</w:t>
      </w:r>
      <w:r>
        <w:rPr>
          <w:rFonts w:hint="eastAsia"/>
          <w:sz w:val="24"/>
          <w:szCs w:val="24"/>
        </w:rPr>
        <w:t>。</w:t>
      </w:r>
    </w:p>
    <w:p w14:paraId="583DD44C">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4.</w:t>
      </w:r>
      <w:r>
        <w:rPr>
          <w:sz w:val="24"/>
          <w:szCs w:val="24"/>
        </w:rPr>
        <w:t>信息检索与核查</w:t>
      </w:r>
      <w:r>
        <w:rPr>
          <w:sz w:val="24"/>
          <w:szCs w:val="24"/>
        </w:rPr>
        <w:br w:type="textWrapping"/>
      </w:r>
      <w:r>
        <w:rPr>
          <w:sz w:val="24"/>
          <w:szCs w:val="24"/>
        </w:rPr>
        <w:t>跨多源数据交叉检索，附原文链接确保可溯源</w:t>
      </w:r>
      <w:r>
        <w:rPr>
          <w:rFonts w:hint="eastAsia"/>
          <w:sz w:val="24"/>
          <w:szCs w:val="24"/>
        </w:rPr>
        <w:t>。</w:t>
      </w:r>
      <w:r>
        <w:rPr>
          <w:sz w:val="24"/>
          <w:szCs w:val="24"/>
        </w:rPr>
        <w:t> </w:t>
      </w:r>
    </w:p>
    <w:p w14:paraId="007EE4AE">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5.</w:t>
      </w:r>
      <w:r>
        <w:rPr>
          <w:sz w:val="24"/>
          <w:szCs w:val="24"/>
        </w:rPr>
        <w:t>数据智能打标 </w:t>
      </w:r>
      <w:r>
        <w:rPr>
          <w:sz w:val="24"/>
          <w:szCs w:val="24"/>
        </w:rPr>
        <w:br w:type="textWrapping"/>
      </w:r>
      <w:r>
        <w:rPr>
          <w:sz w:val="24"/>
          <w:szCs w:val="24"/>
        </w:rPr>
        <w:t>海量非结构化信息自动分类，转为可分析资产</w:t>
      </w:r>
      <w:r>
        <w:rPr>
          <w:rFonts w:hint="eastAsia"/>
          <w:sz w:val="24"/>
          <w:szCs w:val="24"/>
        </w:rPr>
        <w:t>。</w:t>
      </w:r>
    </w:p>
    <w:p w14:paraId="0F9A1FE1">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6.</w:t>
      </w:r>
      <w:r>
        <w:rPr>
          <w:sz w:val="24"/>
          <w:szCs w:val="24"/>
        </w:rPr>
        <w:t>品牌/竞品洞察  </w:t>
      </w:r>
      <w:r>
        <w:rPr>
          <w:sz w:val="24"/>
          <w:szCs w:val="24"/>
        </w:rPr>
        <w:br w:type="textWrapping"/>
      </w:r>
      <w:r>
        <w:rPr>
          <w:sz w:val="24"/>
          <w:szCs w:val="24"/>
        </w:rPr>
        <w:t>竞品动态追踪+自身品牌横向量化对标</w:t>
      </w:r>
      <w:r>
        <w:rPr>
          <w:rFonts w:hint="eastAsia"/>
          <w:sz w:val="24"/>
          <w:szCs w:val="24"/>
        </w:rPr>
        <w:t>。</w:t>
      </w:r>
    </w:p>
    <w:p w14:paraId="77A070DA">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7.</w:t>
      </w:r>
      <w:r>
        <w:rPr>
          <w:sz w:val="24"/>
          <w:szCs w:val="24"/>
        </w:rPr>
        <w:t>风险研判与处置 </w:t>
      </w:r>
      <w:r>
        <w:rPr>
          <w:sz w:val="24"/>
          <w:szCs w:val="24"/>
        </w:rPr>
        <w:br w:type="textWrapping"/>
      </w:r>
      <w:r>
        <w:rPr>
          <w:sz w:val="24"/>
          <w:szCs w:val="24"/>
        </w:rPr>
        <w:t>结合历史案例库对比策略利弊，输出决策建议 </w:t>
      </w:r>
    </w:p>
    <w:p w14:paraId="6C20C796">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8.风险</w:t>
      </w:r>
      <w:r>
        <w:rPr>
          <w:sz w:val="24"/>
          <w:szCs w:val="24"/>
        </w:rPr>
        <w:t>账号/人物排查 </w:t>
      </w:r>
      <w:r>
        <w:rPr>
          <w:sz w:val="24"/>
          <w:szCs w:val="24"/>
        </w:rPr>
        <w:br w:type="textWrapping"/>
      </w:r>
      <w:r>
        <w:rPr>
          <w:sz w:val="24"/>
          <w:szCs w:val="24"/>
        </w:rPr>
        <w:t>排查关联账号、历史言论与行为模式，输出关系图谱</w:t>
      </w:r>
    </w:p>
    <w:p w14:paraId="71EC41B3">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9.</w:t>
      </w:r>
      <w:r>
        <w:rPr>
          <w:sz w:val="24"/>
          <w:szCs w:val="24"/>
        </w:rPr>
        <w:t>高频任务定时生成  </w:t>
      </w:r>
      <w:r>
        <w:rPr>
          <w:sz w:val="24"/>
          <w:szCs w:val="24"/>
        </w:rPr>
        <w:br w:type="textWrapping"/>
      </w:r>
      <w:r>
        <w:rPr>
          <w:sz w:val="24"/>
          <w:szCs w:val="24"/>
        </w:rPr>
        <w:t>周期性自动执行采集/监测/分析，结果自动推送</w:t>
      </w:r>
    </w:p>
    <w:p w14:paraId="3DC5ACC1">
      <w:pPr>
        <w:pStyle w:val="49"/>
        <w:keepNext w:val="0"/>
        <w:keepLines w:val="0"/>
        <w:pageBreakBefore w:val="0"/>
        <w:numPr>
          <w:ilvl w:val="1"/>
          <w:numId w:val="0"/>
        </w:numPr>
        <w:kinsoku/>
        <w:overflowPunct/>
        <w:autoSpaceDE/>
        <w:autoSpaceDN/>
        <w:bidi w:val="0"/>
        <w:adjustRightInd w:val="0"/>
        <w:snapToGrid w:val="0"/>
        <w:spacing w:line="360" w:lineRule="auto"/>
        <w:textAlignment w:val="auto"/>
        <w:rPr>
          <w:b/>
          <w:bCs/>
          <w:sz w:val="24"/>
          <w:szCs w:val="24"/>
        </w:rPr>
      </w:pPr>
      <w:r>
        <w:rPr>
          <w:rFonts w:hint="eastAsia"/>
          <w:b/>
          <w:bCs/>
          <w:sz w:val="24"/>
          <w:szCs w:val="24"/>
        </w:rPr>
        <w:tab/>
      </w:r>
      <w:r>
        <w:rPr>
          <w:rFonts w:hint="eastAsia"/>
          <w:b/>
          <w:bCs/>
          <w:sz w:val="24"/>
          <w:szCs w:val="24"/>
        </w:rPr>
        <w:t>（四）人工预警</w:t>
      </w:r>
    </w:p>
    <w:p w14:paraId="69FC908B">
      <w:pPr>
        <w:pStyle w:val="49"/>
        <w:keepNext w:val="0"/>
        <w:keepLines w:val="0"/>
        <w:pageBreakBefore w:val="0"/>
        <w:numPr>
          <w:ilvl w:val="1"/>
          <w:numId w:val="0"/>
        </w:numPr>
        <w:kinsoku/>
        <w:overflowPunct/>
        <w:autoSpaceDE/>
        <w:autoSpaceDN/>
        <w:bidi w:val="0"/>
        <w:adjustRightInd w:val="0"/>
        <w:snapToGrid w:val="0"/>
        <w:spacing w:line="360" w:lineRule="auto"/>
        <w:textAlignment w:val="auto"/>
        <w:rPr>
          <w:sz w:val="24"/>
          <w:szCs w:val="24"/>
        </w:rPr>
      </w:pPr>
      <w:r>
        <w:rPr>
          <w:rFonts w:hint="eastAsia"/>
          <w:b/>
          <w:bCs/>
          <w:sz w:val="24"/>
          <w:szCs w:val="24"/>
        </w:rPr>
        <w:tab/>
      </w:r>
      <w:r>
        <w:rPr>
          <w:rFonts w:hint="eastAsia"/>
          <w:sz w:val="24"/>
          <w:szCs w:val="24"/>
        </w:rPr>
        <w:t>针对全网关于秦始皇帝陵博物院的舆论情况信息进行人工研判分析，提供7*24小时人工预警服务。</w:t>
      </w:r>
    </w:p>
    <w:p w14:paraId="4E8BEF0B">
      <w:pPr>
        <w:pStyle w:val="49"/>
        <w:keepNext w:val="0"/>
        <w:keepLines w:val="0"/>
        <w:pageBreakBefore w:val="0"/>
        <w:numPr>
          <w:ilvl w:val="1"/>
          <w:numId w:val="0"/>
        </w:numPr>
        <w:kinsoku/>
        <w:overflowPunct/>
        <w:autoSpaceDE/>
        <w:autoSpaceDN/>
        <w:bidi w:val="0"/>
        <w:adjustRightInd w:val="0"/>
        <w:snapToGrid w:val="0"/>
        <w:spacing w:line="360" w:lineRule="auto"/>
        <w:ind w:firstLine="482" w:firstLineChars="200"/>
        <w:textAlignment w:val="auto"/>
        <w:rPr>
          <w:b/>
          <w:bCs/>
          <w:sz w:val="24"/>
          <w:szCs w:val="24"/>
        </w:rPr>
      </w:pPr>
      <w:r>
        <w:rPr>
          <w:rFonts w:hint="eastAsia"/>
          <w:b/>
          <w:bCs/>
          <w:sz w:val="24"/>
          <w:szCs w:val="24"/>
        </w:rPr>
        <w:t>（五）专项事件报</w:t>
      </w:r>
    </w:p>
    <w:p w14:paraId="71F128AE">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在突发事件形成网络舆论情况后迅速提供信息汇总分析，通过总结网民声音及媒体态度，判断当前舆论情况态势并对短期内的舆论情况风向给出预判，为业主单位及时决策提供参考依据。</w:t>
      </w:r>
    </w:p>
    <w:p w14:paraId="1BB6EDDE">
      <w:pPr>
        <w:pStyle w:val="49"/>
        <w:keepNext w:val="0"/>
        <w:keepLines w:val="0"/>
        <w:pageBreakBefore w:val="0"/>
        <w:numPr>
          <w:ilvl w:val="1"/>
          <w:numId w:val="0"/>
        </w:numPr>
        <w:kinsoku/>
        <w:overflowPunct/>
        <w:autoSpaceDE/>
        <w:autoSpaceDN/>
        <w:bidi w:val="0"/>
        <w:adjustRightInd w:val="0"/>
        <w:snapToGrid w:val="0"/>
        <w:spacing w:line="360" w:lineRule="auto"/>
        <w:ind w:firstLine="482" w:firstLineChars="200"/>
        <w:textAlignment w:val="auto"/>
        <w:rPr>
          <w:b/>
          <w:bCs/>
          <w:sz w:val="24"/>
          <w:szCs w:val="24"/>
        </w:rPr>
      </w:pPr>
      <w:r>
        <w:rPr>
          <w:rFonts w:hint="eastAsia"/>
          <w:b/>
          <w:bCs/>
          <w:sz w:val="24"/>
          <w:szCs w:val="24"/>
        </w:rPr>
        <w:t>（六）应急专项服务</w:t>
      </w:r>
    </w:p>
    <w:p w14:paraId="06E646CB">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1.基于客户指示，协助处理应急事项，包含事件导出、标记、报送、简要研判等。</w:t>
      </w:r>
    </w:p>
    <w:p w14:paraId="46024212">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2.舆论情况引导服务：若出现重大舆论情况协助用户做舆论情况引导服务包含不限于提供抖音，头条，火山视频，快手，小红书，微博，腾讯微视频等平台做舆论情况导控服务。</w:t>
      </w:r>
    </w:p>
    <w:p w14:paraId="6226A138">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3.投诉维权举报服务：若出现重大舆论情况必须协助用户做虚假谣言，造谣信息，不实言论,投诉举报下架处理，协助用户处理历史遗留有害信息作投举报清淤处理，并提供投诉维权系统平台。</w:t>
      </w:r>
    </w:p>
    <w:p w14:paraId="66F03FF5">
      <w:pPr>
        <w:pStyle w:val="49"/>
        <w:keepNext w:val="0"/>
        <w:keepLines w:val="0"/>
        <w:pageBreakBefore w:val="0"/>
        <w:numPr>
          <w:ilvl w:val="1"/>
          <w:numId w:val="0"/>
        </w:numPr>
        <w:kinsoku/>
        <w:overflowPunct/>
        <w:autoSpaceDE/>
        <w:autoSpaceDN/>
        <w:bidi w:val="0"/>
        <w:adjustRightInd w:val="0"/>
        <w:snapToGrid w:val="0"/>
        <w:spacing w:line="360" w:lineRule="auto"/>
        <w:ind w:firstLine="482" w:firstLineChars="200"/>
        <w:textAlignment w:val="auto"/>
        <w:rPr>
          <w:b/>
          <w:bCs/>
          <w:sz w:val="24"/>
          <w:szCs w:val="24"/>
        </w:rPr>
      </w:pPr>
      <w:r>
        <w:rPr>
          <w:rFonts w:hint="eastAsia"/>
          <w:b/>
          <w:bCs/>
          <w:sz w:val="24"/>
          <w:szCs w:val="24"/>
        </w:rPr>
        <w:t>（七）突发舆论情况应对</w:t>
      </w:r>
    </w:p>
    <w:p w14:paraId="71AE6E45">
      <w:pPr>
        <w:pStyle w:val="49"/>
        <w:keepNext w:val="0"/>
        <w:keepLines w:val="0"/>
        <w:pageBreakBefore w:val="0"/>
        <w:numPr>
          <w:ilvl w:val="1"/>
          <w:numId w:val="0"/>
        </w:numPr>
        <w:kinsoku/>
        <w:overflowPunct/>
        <w:autoSpaceDE/>
        <w:autoSpaceDN/>
        <w:bidi w:val="0"/>
        <w:adjustRightInd w:val="0"/>
        <w:snapToGrid w:val="0"/>
        <w:spacing w:line="360" w:lineRule="auto"/>
        <w:ind w:firstLine="480" w:firstLineChars="200"/>
        <w:textAlignment w:val="auto"/>
        <w:rPr>
          <w:sz w:val="24"/>
          <w:szCs w:val="24"/>
        </w:rPr>
      </w:pPr>
      <w:r>
        <w:rPr>
          <w:rFonts w:hint="eastAsia"/>
          <w:sz w:val="24"/>
          <w:szCs w:val="24"/>
        </w:rPr>
        <w:t>常态化舆论情况研判和应对，针对突发舆论情况提供咨询服务：</w:t>
      </w:r>
    </w:p>
    <w:p w14:paraId="3AD8879D">
      <w:pPr>
        <w:pStyle w:val="49"/>
        <w:keepNext w:val="0"/>
        <w:keepLines w:val="0"/>
        <w:pageBreakBefore w:val="0"/>
        <w:numPr>
          <w:ilvl w:val="0"/>
          <w:numId w:val="14"/>
        </w:numPr>
        <w:tabs>
          <w:tab w:val="clear" w:pos="312"/>
        </w:tabs>
        <w:kinsoku/>
        <w:overflowPunct/>
        <w:autoSpaceDE/>
        <w:autoSpaceDN/>
        <w:bidi w:val="0"/>
        <w:adjustRightInd w:val="0"/>
        <w:snapToGrid w:val="0"/>
        <w:spacing w:line="360" w:lineRule="auto"/>
        <w:ind w:firstLine="480" w:firstLineChars="200"/>
        <w:textAlignment w:val="auto"/>
        <w:rPr>
          <w:sz w:val="24"/>
          <w:szCs w:val="24"/>
        </w:rPr>
      </w:pPr>
      <w:r>
        <w:rPr>
          <w:sz w:val="24"/>
          <w:szCs w:val="24"/>
        </w:rPr>
        <w:t>帮助拟定官方发布新闻通稿：（含①官方平台发布的新闻通报稿件；②信访途径的新闻通报；③新闻媒体的采访通报）；</w:t>
      </w:r>
    </w:p>
    <w:p w14:paraId="1FF01EBA">
      <w:pPr>
        <w:pStyle w:val="49"/>
        <w:keepNext w:val="0"/>
        <w:keepLines w:val="0"/>
        <w:pageBreakBefore w:val="0"/>
        <w:numPr>
          <w:ilvl w:val="0"/>
          <w:numId w:val="14"/>
        </w:numPr>
        <w:tabs>
          <w:tab w:val="clear" w:pos="312"/>
        </w:tabs>
        <w:kinsoku/>
        <w:overflowPunct/>
        <w:autoSpaceDE/>
        <w:autoSpaceDN/>
        <w:bidi w:val="0"/>
        <w:adjustRightInd w:val="0"/>
        <w:snapToGrid w:val="0"/>
        <w:spacing w:line="360" w:lineRule="auto"/>
        <w:ind w:firstLine="480" w:firstLineChars="200"/>
        <w:textAlignment w:val="auto"/>
        <w:rPr>
          <w:sz w:val="24"/>
          <w:szCs w:val="24"/>
        </w:rPr>
      </w:pPr>
      <w:r>
        <w:rPr>
          <w:sz w:val="24"/>
          <w:szCs w:val="24"/>
        </w:rPr>
        <w:t xml:space="preserve">拟定网络途径的评论引导口径； </w:t>
      </w:r>
    </w:p>
    <w:p w14:paraId="2C374363">
      <w:pPr>
        <w:pStyle w:val="49"/>
        <w:keepNext w:val="0"/>
        <w:keepLines w:val="0"/>
        <w:pageBreakBefore w:val="0"/>
        <w:numPr>
          <w:ilvl w:val="0"/>
          <w:numId w:val="14"/>
        </w:numPr>
        <w:tabs>
          <w:tab w:val="clear" w:pos="312"/>
        </w:tabs>
        <w:kinsoku/>
        <w:overflowPunct/>
        <w:autoSpaceDE/>
        <w:autoSpaceDN/>
        <w:bidi w:val="0"/>
        <w:adjustRightInd w:val="0"/>
        <w:snapToGrid w:val="0"/>
        <w:spacing w:line="360" w:lineRule="auto"/>
        <w:ind w:firstLine="480" w:firstLineChars="200"/>
        <w:textAlignment w:val="auto"/>
        <w:rPr>
          <w:sz w:val="24"/>
          <w:szCs w:val="24"/>
        </w:rPr>
      </w:pPr>
      <w:r>
        <w:rPr>
          <w:sz w:val="24"/>
          <w:szCs w:val="24"/>
        </w:rPr>
        <w:t xml:space="preserve">每年一次全年本部门、本地区网络舆论风险评估报告； </w:t>
      </w:r>
    </w:p>
    <w:p w14:paraId="3633FF8A">
      <w:pPr>
        <w:keepNext w:val="0"/>
        <w:keepLines w:val="0"/>
        <w:pageBreakBefore w:val="0"/>
        <w:kinsoku/>
        <w:overflowPunct/>
        <w:autoSpaceDE/>
        <w:autoSpaceDN/>
        <w:bidi w:val="0"/>
        <w:adjustRightInd w:val="0"/>
        <w:snapToGrid w:val="0"/>
        <w:spacing w:line="360" w:lineRule="auto"/>
        <w:ind w:firstLine="480" w:firstLineChars="200"/>
        <w:textAlignment w:val="auto"/>
        <w:rPr>
          <w:rFonts w:hAnsi="宋体"/>
          <w:sz w:val="24"/>
          <w:szCs w:val="24"/>
        </w:rPr>
      </w:pPr>
      <w:r>
        <w:rPr>
          <w:sz w:val="24"/>
          <w:szCs w:val="24"/>
        </w:rPr>
        <w:t>提供常规性网络舆论情况在线咨询，形成舆论情况处置简要风险建议单；</w:t>
      </w:r>
    </w:p>
    <w:p w14:paraId="3221FA7B">
      <w:pPr>
        <w:keepNext w:val="0"/>
        <w:keepLines w:val="0"/>
        <w:pageBreakBefore w:val="0"/>
        <w:kinsoku/>
        <w:overflowPunct/>
        <w:autoSpaceDE/>
        <w:autoSpaceDN/>
        <w:bidi w:val="0"/>
        <w:adjustRightInd w:val="0"/>
        <w:snapToGrid w:val="0"/>
        <w:spacing w:line="360" w:lineRule="auto"/>
        <w:ind w:firstLine="482" w:firstLineChars="200"/>
        <w:textAlignment w:val="auto"/>
        <w:rPr>
          <w:rFonts w:hAnsi="宋体"/>
          <w:b/>
          <w:bCs/>
          <w:sz w:val="24"/>
          <w:szCs w:val="24"/>
        </w:rPr>
      </w:pPr>
      <w:r>
        <w:rPr>
          <w:rFonts w:hint="eastAsia" w:hAnsi="宋体"/>
          <w:b/>
          <w:bCs/>
          <w:sz w:val="24"/>
          <w:szCs w:val="24"/>
        </w:rPr>
        <w:t>四、服务要求</w:t>
      </w:r>
    </w:p>
    <w:p w14:paraId="2D2A7CBD">
      <w:pPr>
        <w:keepNext w:val="0"/>
        <w:keepLines w:val="0"/>
        <w:pageBreakBefore w:val="0"/>
        <w:kinsoku/>
        <w:overflowPunct/>
        <w:autoSpaceDE/>
        <w:autoSpaceDN/>
        <w:bidi w:val="0"/>
        <w:adjustRightInd w:val="0"/>
        <w:snapToGrid w:val="0"/>
        <w:spacing w:line="360" w:lineRule="auto"/>
        <w:ind w:left="420" w:firstLine="480" w:firstLineChars="200"/>
        <w:textAlignment w:val="auto"/>
        <w:rPr>
          <w:rFonts w:hAnsi="宋体"/>
          <w:sz w:val="24"/>
          <w:szCs w:val="24"/>
        </w:rPr>
      </w:pPr>
      <w:r>
        <w:rPr>
          <w:rFonts w:hint="eastAsia" w:hAnsi="宋体"/>
          <w:sz w:val="24"/>
          <w:szCs w:val="24"/>
        </w:rPr>
        <w:t>1、了解各级政府关于文博行业的相关法律法规、了解秦始皇帝陵博物院相关政策，深刻理解秦始皇帝陵博物院管理体制、运行管理机制、各领域业务工作的社会影响力、公众服务内容和特点以及舆论情况服务需求，能够针对博物院在公众形象维护、宣传传播、舆论情况管理处置等方面的痛点问题提出可行的解决方案。</w:t>
      </w:r>
    </w:p>
    <w:p w14:paraId="122F3C99">
      <w:pPr>
        <w:keepNext w:val="0"/>
        <w:keepLines w:val="0"/>
        <w:pageBreakBefore w:val="0"/>
        <w:kinsoku/>
        <w:overflowPunct/>
        <w:autoSpaceDE/>
        <w:autoSpaceDN/>
        <w:bidi w:val="0"/>
        <w:adjustRightInd w:val="0"/>
        <w:snapToGrid w:val="0"/>
        <w:spacing w:line="360" w:lineRule="auto"/>
        <w:ind w:left="420" w:firstLine="480" w:firstLineChars="200"/>
        <w:textAlignment w:val="auto"/>
        <w:rPr>
          <w:rFonts w:hAnsi="宋体"/>
          <w:sz w:val="24"/>
          <w:szCs w:val="24"/>
        </w:rPr>
      </w:pPr>
      <w:r>
        <w:rPr>
          <w:rFonts w:hint="eastAsia" w:hAnsi="宋体"/>
          <w:sz w:val="24"/>
          <w:szCs w:val="24"/>
        </w:rPr>
        <w:t>2、能够对舆论情况的情感倾向、发展趋势等做出主动的、正确的、及时的分析研判；协助对全网大数据正面情感进行引导、宣传；对于全网大数据负面信息进行总结，分析，提出专业的处理策略建议</w:t>
      </w:r>
    </w:p>
    <w:p w14:paraId="6ABEEDC8">
      <w:pPr>
        <w:keepNext w:val="0"/>
        <w:keepLines w:val="0"/>
        <w:pageBreakBefore w:val="0"/>
        <w:kinsoku/>
        <w:overflowPunct/>
        <w:autoSpaceDE/>
        <w:autoSpaceDN/>
        <w:bidi w:val="0"/>
        <w:adjustRightInd w:val="0"/>
        <w:snapToGrid w:val="0"/>
        <w:spacing w:line="360" w:lineRule="auto"/>
        <w:ind w:left="420" w:firstLine="480" w:firstLineChars="200"/>
        <w:textAlignment w:val="auto"/>
        <w:rPr>
          <w:rFonts w:hAnsi="宋体"/>
          <w:sz w:val="24"/>
          <w:szCs w:val="24"/>
        </w:rPr>
      </w:pPr>
      <w:r>
        <w:rPr>
          <w:rFonts w:hint="eastAsia" w:hAnsi="宋体"/>
          <w:sz w:val="24"/>
          <w:szCs w:val="24"/>
        </w:rPr>
        <w:t>3、组建专业服务对接团队。对外能够协调有关部门、媒体，对有关信息进行调控，防止媒体炒作或负面报道；对内及时指导，协助开展危机处置，提出专业的策略建议，全力做好网络舆论情况处置。</w:t>
      </w:r>
    </w:p>
    <w:p w14:paraId="695FDE7F">
      <w:pPr>
        <w:keepNext w:val="0"/>
        <w:keepLines w:val="0"/>
        <w:pageBreakBefore w:val="0"/>
        <w:kinsoku/>
        <w:overflowPunct/>
        <w:autoSpaceDE/>
        <w:autoSpaceDN/>
        <w:bidi w:val="0"/>
        <w:adjustRightInd w:val="0"/>
        <w:snapToGrid w:val="0"/>
        <w:spacing w:line="360" w:lineRule="auto"/>
        <w:ind w:left="420" w:firstLine="480" w:firstLineChars="200"/>
        <w:textAlignment w:val="auto"/>
        <w:rPr>
          <w:rFonts w:hAnsi="宋体"/>
          <w:sz w:val="24"/>
          <w:szCs w:val="24"/>
        </w:rPr>
      </w:pPr>
      <w:r>
        <w:rPr>
          <w:rFonts w:hint="eastAsia" w:hAnsi="宋体"/>
          <w:sz w:val="24"/>
          <w:szCs w:val="24"/>
        </w:rPr>
        <w:t>4、每个季度组织舆论情况分析会，派专业服务对接团队到博物院，与管理层讨论本月已出现的舆论情况，提出分析对策；进行潜在的风险研判，并提出相应对策。</w:t>
      </w:r>
    </w:p>
    <w:p w14:paraId="31778057">
      <w:pPr>
        <w:keepNext w:val="0"/>
        <w:keepLines w:val="0"/>
        <w:pageBreakBefore w:val="0"/>
        <w:kinsoku/>
        <w:overflowPunct/>
        <w:autoSpaceDE/>
        <w:autoSpaceDN/>
        <w:bidi w:val="0"/>
        <w:adjustRightInd w:val="0"/>
        <w:snapToGrid w:val="0"/>
        <w:spacing w:line="360" w:lineRule="auto"/>
        <w:ind w:left="420" w:firstLine="480" w:firstLineChars="200"/>
        <w:textAlignment w:val="auto"/>
        <w:rPr>
          <w:rFonts w:hAnsi="宋体"/>
          <w:sz w:val="24"/>
          <w:szCs w:val="24"/>
        </w:rPr>
      </w:pPr>
      <w:r>
        <w:rPr>
          <w:rFonts w:hint="eastAsia" w:hAnsi="宋体"/>
          <w:sz w:val="24"/>
          <w:szCs w:val="24"/>
        </w:rPr>
        <w:t>5、响应单位须保证舆论情况报告内容没有任何违反《知识产权法》、《著作权》、《互联网新闻信息服务管理规定》、《网络安全法》等法律条款的侵权行为，一旦发生侵权事件，责任由响应单位承担。</w:t>
      </w:r>
    </w:p>
    <w:p w14:paraId="22A5BF37">
      <w:pPr>
        <w:keepNext w:val="0"/>
        <w:keepLines w:val="0"/>
        <w:pageBreakBefore w:val="0"/>
        <w:kinsoku/>
        <w:overflowPunct/>
        <w:autoSpaceDE/>
        <w:autoSpaceDN/>
        <w:bidi w:val="0"/>
        <w:adjustRightInd w:val="0"/>
        <w:snapToGrid w:val="0"/>
        <w:spacing w:line="360" w:lineRule="auto"/>
        <w:ind w:left="420" w:firstLine="480" w:firstLineChars="200"/>
        <w:textAlignment w:val="auto"/>
        <w:rPr>
          <w:rFonts w:hAnsi="宋体"/>
          <w:sz w:val="24"/>
          <w:szCs w:val="24"/>
        </w:rPr>
      </w:pPr>
      <w:r>
        <w:rPr>
          <w:rFonts w:hint="eastAsia" w:hAnsi="宋体"/>
          <w:sz w:val="24"/>
          <w:szCs w:val="24"/>
        </w:rPr>
        <w:t>6、所有监测数据，响应单位不得向第三方提供。</w:t>
      </w:r>
    </w:p>
    <w:p w14:paraId="37506826">
      <w:pPr>
        <w:keepNext w:val="0"/>
        <w:keepLines w:val="0"/>
        <w:pageBreakBefore w:val="0"/>
        <w:kinsoku/>
        <w:overflowPunct/>
        <w:autoSpaceDE/>
        <w:autoSpaceDN/>
        <w:bidi w:val="0"/>
        <w:adjustRightInd w:val="0"/>
        <w:snapToGrid w:val="0"/>
        <w:spacing w:line="360" w:lineRule="auto"/>
        <w:ind w:left="420" w:firstLine="480" w:firstLineChars="200"/>
        <w:textAlignment w:val="auto"/>
        <w:rPr>
          <w:rFonts w:hAnsi="宋体"/>
          <w:sz w:val="24"/>
          <w:szCs w:val="24"/>
        </w:rPr>
      </w:pPr>
      <w:r>
        <w:rPr>
          <w:rFonts w:hint="eastAsia" w:hAnsi="宋体"/>
          <w:sz w:val="24"/>
          <w:szCs w:val="24"/>
        </w:rPr>
        <w:t>7、提供不少于18个月的历史数据回溯；</w:t>
      </w:r>
    </w:p>
    <w:p w14:paraId="191F8149">
      <w:pPr>
        <w:keepNext w:val="0"/>
        <w:keepLines w:val="0"/>
        <w:pageBreakBefore w:val="0"/>
        <w:kinsoku/>
        <w:overflowPunct/>
        <w:autoSpaceDE/>
        <w:autoSpaceDN/>
        <w:bidi w:val="0"/>
        <w:adjustRightInd w:val="0"/>
        <w:snapToGrid w:val="0"/>
        <w:spacing w:line="360" w:lineRule="auto"/>
        <w:ind w:left="420" w:firstLine="480" w:firstLineChars="200"/>
        <w:textAlignment w:val="auto"/>
        <w:rPr>
          <w:rFonts w:hAnsi="宋体"/>
          <w:sz w:val="24"/>
          <w:szCs w:val="24"/>
        </w:rPr>
      </w:pPr>
      <w:r>
        <w:rPr>
          <w:rFonts w:hint="eastAsia" w:hAnsi="宋体"/>
          <w:sz w:val="24"/>
          <w:szCs w:val="24"/>
        </w:rPr>
        <w:t>8、提供全年所有报告的彩色打印装订本3套；</w:t>
      </w:r>
    </w:p>
    <w:p w14:paraId="66178F46">
      <w:pPr>
        <w:keepNext w:val="0"/>
        <w:keepLines w:val="0"/>
        <w:pageBreakBefore w:val="0"/>
        <w:kinsoku/>
        <w:overflowPunct/>
        <w:autoSpaceDE/>
        <w:autoSpaceDN/>
        <w:bidi w:val="0"/>
        <w:adjustRightInd w:val="0"/>
        <w:snapToGrid w:val="0"/>
        <w:spacing w:line="360" w:lineRule="auto"/>
        <w:ind w:firstLine="482" w:firstLineChars="200"/>
        <w:textAlignment w:val="auto"/>
        <w:rPr>
          <w:rFonts w:hAnsi="宋体"/>
          <w:b/>
          <w:bCs/>
          <w:sz w:val="24"/>
          <w:szCs w:val="24"/>
        </w:rPr>
      </w:pPr>
      <w:r>
        <w:rPr>
          <w:rFonts w:hint="eastAsia" w:hAnsi="宋体"/>
          <w:b/>
          <w:bCs/>
          <w:sz w:val="24"/>
          <w:szCs w:val="24"/>
        </w:rPr>
        <w:t>五、质量及培训要求</w:t>
      </w:r>
    </w:p>
    <w:p w14:paraId="25AA74AB">
      <w:pPr>
        <w:keepNext w:val="0"/>
        <w:keepLines w:val="0"/>
        <w:pageBreakBefore w:val="0"/>
        <w:kinsoku/>
        <w:overflowPunct/>
        <w:autoSpaceDE/>
        <w:autoSpaceDN/>
        <w:bidi w:val="0"/>
        <w:adjustRightInd w:val="0"/>
        <w:snapToGrid w:val="0"/>
        <w:spacing w:line="360" w:lineRule="auto"/>
        <w:ind w:firstLine="480" w:firstLineChars="200"/>
        <w:textAlignment w:val="auto"/>
        <w:rPr>
          <w:rFonts w:hAnsi="宋体"/>
          <w:sz w:val="24"/>
          <w:szCs w:val="24"/>
        </w:rPr>
      </w:pPr>
      <w:r>
        <w:rPr>
          <w:rFonts w:hint="eastAsia" w:hAnsi="宋体"/>
          <w:sz w:val="24"/>
          <w:szCs w:val="24"/>
        </w:rPr>
        <w:t>1、</w:t>
      </w:r>
      <w:r>
        <w:rPr>
          <w:rFonts w:hint="eastAsia" w:cs="宋体"/>
          <w:color w:val="333333"/>
          <w:sz w:val="24"/>
          <w:szCs w:val="24"/>
          <w:shd w:val="clear" w:color="auto" w:fill="FFFFFF"/>
        </w:rPr>
        <w:t>自合同签订之日起1年（服务期满后，如服务内容和价格无变化，委托人可根据服务期内的考核情况决定是否续签下一年度合同，合同续签最长不超过两年。）</w:t>
      </w:r>
      <w:r>
        <w:rPr>
          <w:rFonts w:hint="eastAsia" w:hAnsi="宋体"/>
          <w:sz w:val="24"/>
          <w:szCs w:val="24"/>
        </w:rPr>
        <w:t>，在服务期内，保证所有服务项目正常进行。</w:t>
      </w:r>
    </w:p>
    <w:p w14:paraId="0E6D8D86">
      <w:pPr>
        <w:keepNext w:val="0"/>
        <w:keepLines w:val="0"/>
        <w:pageBreakBefore w:val="0"/>
        <w:kinsoku/>
        <w:overflowPunct/>
        <w:autoSpaceDE/>
        <w:autoSpaceDN/>
        <w:bidi w:val="0"/>
        <w:adjustRightInd w:val="0"/>
        <w:snapToGrid w:val="0"/>
        <w:spacing w:line="360" w:lineRule="auto"/>
        <w:ind w:firstLine="480" w:firstLineChars="200"/>
        <w:textAlignment w:val="auto"/>
        <w:rPr>
          <w:rFonts w:hAnsi="宋体"/>
          <w:sz w:val="24"/>
          <w:szCs w:val="24"/>
        </w:rPr>
      </w:pPr>
      <w:r>
        <w:rPr>
          <w:rFonts w:hint="eastAsia" w:hAnsi="宋体"/>
          <w:sz w:val="24"/>
          <w:szCs w:val="24"/>
        </w:rPr>
        <w:t>2、根据需求对服务项目进行调研和用户回访,不断完善服务支持方式,全面服务客户。</w:t>
      </w:r>
    </w:p>
    <w:p w14:paraId="1EE2B70D">
      <w:pPr>
        <w:keepNext w:val="0"/>
        <w:keepLines w:val="0"/>
        <w:pageBreakBefore w:val="0"/>
        <w:kinsoku/>
        <w:overflowPunct/>
        <w:autoSpaceDE/>
        <w:autoSpaceDN/>
        <w:bidi w:val="0"/>
        <w:adjustRightInd w:val="0"/>
        <w:snapToGrid w:val="0"/>
        <w:spacing w:line="360" w:lineRule="auto"/>
        <w:ind w:firstLine="480" w:firstLineChars="200"/>
        <w:textAlignment w:val="auto"/>
        <w:rPr>
          <w:rFonts w:hAnsi="宋体"/>
          <w:sz w:val="24"/>
          <w:szCs w:val="24"/>
        </w:rPr>
      </w:pPr>
      <w:r>
        <w:rPr>
          <w:rFonts w:hint="eastAsia" w:hAnsi="宋体"/>
          <w:sz w:val="24"/>
          <w:szCs w:val="24"/>
        </w:rPr>
        <w:t>3、须定期跟踪，确保各项服务质量。</w:t>
      </w:r>
    </w:p>
    <w:p w14:paraId="4F2EE552">
      <w:pPr>
        <w:keepNext w:val="0"/>
        <w:keepLines w:val="0"/>
        <w:pageBreakBefore w:val="0"/>
        <w:kinsoku/>
        <w:overflowPunct/>
        <w:autoSpaceDE/>
        <w:autoSpaceDN/>
        <w:bidi w:val="0"/>
        <w:adjustRightInd w:val="0"/>
        <w:snapToGrid w:val="0"/>
        <w:spacing w:line="360" w:lineRule="auto"/>
        <w:ind w:firstLine="480" w:firstLineChars="200"/>
        <w:textAlignment w:val="auto"/>
        <w:rPr>
          <w:rFonts w:hAnsi="宋体"/>
          <w:sz w:val="24"/>
          <w:szCs w:val="24"/>
        </w:rPr>
      </w:pPr>
      <w:r>
        <w:rPr>
          <w:rFonts w:hint="eastAsia" w:hAnsi="宋体"/>
          <w:sz w:val="24"/>
          <w:szCs w:val="24"/>
        </w:rPr>
        <w:t>4、提供舆论情况应对培训。根据的不同对象,提供针对性的舆论情况应对培训工作不少于三次。配备专业的培训人员，为用户提供培训。</w:t>
      </w:r>
    </w:p>
    <w:p w14:paraId="69BD0124">
      <w:pPr>
        <w:keepNext w:val="0"/>
        <w:keepLines w:val="0"/>
        <w:pageBreakBefore w:val="0"/>
        <w:kinsoku/>
        <w:overflowPunct/>
        <w:autoSpaceDE/>
        <w:autoSpaceDN/>
        <w:bidi w:val="0"/>
        <w:adjustRightInd w:val="0"/>
        <w:snapToGrid w:val="0"/>
        <w:spacing w:line="360" w:lineRule="auto"/>
        <w:ind w:firstLine="480" w:firstLineChars="200"/>
        <w:textAlignment w:val="auto"/>
        <w:rPr>
          <w:rFonts w:hAnsi="宋体"/>
          <w:sz w:val="24"/>
          <w:szCs w:val="24"/>
        </w:rPr>
      </w:pPr>
      <w:r>
        <w:rPr>
          <w:rFonts w:hint="eastAsia" w:hAnsi="宋体"/>
          <w:sz w:val="24"/>
          <w:szCs w:val="24"/>
        </w:rPr>
        <w:t>5、指定专人负责项目的服务,并成立专业服务团队,全面负责项目实施。对全过程进行全程对接,保证沟通的畅通。</w:t>
      </w:r>
    </w:p>
    <w:p w14:paraId="405CD16C">
      <w:pPr>
        <w:keepNext w:val="0"/>
        <w:keepLines w:val="0"/>
        <w:pageBreakBefore w:val="0"/>
        <w:kinsoku/>
        <w:overflowPunct/>
        <w:autoSpaceDE/>
        <w:autoSpaceDN/>
        <w:bidi w:val="0"/>
        <w:adjustRightInd w:val="0"/>
        <w:snapToGrid w:val="0"/>
        <w:spacing w:line="360" w:lineRule="auto"/>
        <w:ind w:firstLine="480" w:firstLineChars="200"/>
        <w:textAlignment w:val="auto"/>
        <w:rPr>
          <w:rFonts w:hAnsi="宋体"/>
          <w:sz w:val="24"/>
          <w:szCs w:val="24"/>
        </w:rPr>
      </w:pPr>
      <w:r>
        <w:rPr>
          <w:rFonts w:hint="eastAsia" w:hAnsi="宋体"/>
          <w:sz w:val="24"/>
          <w:szCs w:val="24"/>
        </w:rPr>
        <w:t>6、7*24小时内可随时拔打咨询服务电话，提供相关服务。</w:t>
      </w:r>
    </w:p>
    <w:p w14:paraId="30790F71">
      <w:pPr>
        <w:keepNext w:val="0"/>
        <w:keepLines w:val="0"/>
        <w:pageBreakBefore w:val="0"/>
        <w:kinsoku/>
        <w:overflowPunct/>
        <w:autoSpaceDE/>
        <w:autoSpaceDN/>
        <w:bidi w:val="0"/>
        <w:adjustRightInd w:val="0"/>
        <w:snapToGrid w:val="0"/>
        <w:spacing w:line="360" w:lineRule="auto"/>
        <w:ind w:firstLine="480" w:firstLineChars="200"/>
        <w:textAlignment w:val="auto"/>
        <w:rPr>
          <w:sz w:val="24"/>
          <w:szCs w:val="24"/>
        </w:rPr>
      </w:pPr>
      <w:r>
        <w:rPr>
          <w:rFonts w:hint="eastAsia" w:hAnsi="宋体"/>
          <w:sz w:val="24"/>
          <w:szCs w:val="24"/>
        </w:rPr>
        <w:t>7、协助撰写相关理论研究成果。</w:t>
      </w:r>
    </w:p>
    <w:p w14:paraId="073C3746">
      <w:pPr>
        <w:keepNext w:val="0"/>
        <w:keepLines w:val="0"/>
        <w:pageBreakBefore w:val="0"/>
        <w:kinsoku/>
        <w:overflowPunct/>
        <w:autoSpaceDE/>
        <w:autoSpaceDN/>
        <w:bidi w:val="0"/>
        <w:adjustRightInd w:val="0"/>
        <w:snapToGrid w:val="0"/>
        <w:spacing w:line="360" w:lineRule="auto"/>
        <w:ind w:firstLine="480" w:firstLineChars="200"/>
        <w:textAlignment w:val="auto"/>
        <w:rPr>
          <w:rFonts w:hAnsi="宋体"/>
          <w:sz w:val="24"/>
          <w:szCs w:val="24"/>
        </w:rPr>
      </w:pPr>
      <w:r>
        <w:rPr>
          <w:rFonts w:hint="eastAsia" w:hAnsi="宋体"/>
          <w:sz w:val="24"/>
          <w:szCs w:val="24"/>
        </w:rPr>
        <w:t>8、提前做出针对秦始皇帝陵博物院的整体性应急预案，并按情况分类给出舆论情况回应对策。通过舆论情况反应出相关问题，并据此针对性的改善问题，提升服务，有效推动我院管理工作不断提升。</w:t>
      </w:r>
    </w:p>
    <w:p w14:paraId="2FA5969B">
      <w:pPr>
        <w:ind w:left="0" w:leftChars="0" w:right="0" w:rightChars="0" w:firstLine="0" w:firstLineChars="0"/>
        <w:jc w:val="center"/>
        <w:rPr>
          <w:rFonts w:ascii="宋体" w:cs="宋体"/>
          <w:b w:val="0"/>
          <w:bCs/>
          <w:szCs w:val="36"/>
          <w:highlight w:val="none"/>
        </w:rPr>
      </w:pPr>
      <w:bookmarkStart w:id="166" w:name="_Toc19015"/>
      <w:r>
        <w:rPr>
          <w:rStyle w:val="35"/>
          <w:rFonts w:hint="eastAsia" w:ascii="宋体" w:cs="宋体"/>
          <w:b/>
          <w:szCs w:val="21"/>
          <w:highlight w:val="none"/>
        </w:rPr>
        <w:t>第六章  竞争性磋商响应文件格式</w:t>
      </w:r>
      <w:bookmarkEnd w:id="161"/>
      <w:bookmarkEnd w:id="162"/>
      <w:bookmarkEnd w:id="163"/>
      <w:bookmarkEnd w:id="164"/>
      <w:bookmarkEnd w:id="165"/>
      <w:bookmarkEnd w:id="166"/>
    </w:p>
    <w:p w14:paraId="7E8F979D">
      <w:pPr>
        <w:rPr>
          <w:rFonts w:hAnsi="宋体" w:cs="宋体"/>
          <w:highlight w:val="none"/>
        </w:rPr>
      </w:pPr>
    </w:p>
    <w:p w14:paraId="65B86409">
      <w:pPr>
        <w:rPr>
          <w:rFonts w:hAnsi="宋体" w:cs="宋体"/>
          <w:highlight w:val="none"/>
        </w:rPr>
      </w:pPr>
    </w:p>
    <w:p w14:paraId="6DE28CCD">
      <w:pPr>
        <w:framePr w:hSpace="180" w:wrap="around" w:vAnchor="text" w:hAnchor="page" w:x="1472" w:y="18"/>
        <w:rPr>
          <w:rFonts w:hAnsi="宋体" w:cs="宋体"/>
          <w:b/>
          <w:bCs/>
          <w:sz w:val="32"/>
          <w:szCs w:val="32"/>
          <w:highlight w:val="none"/>
        </w:rPr>
      </w:pPr>
      <w:r>
        <w:rPr>
          <w:rFonts w:hint="eastAsia" w:hAnsi="宋体" w:cs="宋体"/>
          <w:b/>
          <w:bCs/>
          <w:sz w:val="32"/>
          <w:szCs w:val="32"/>
          <w:highlight w:val="none"/>
        </w:rPr>
        <w:t>项目编号：</w:t>
      </w:r>
    </w:p>
    <w:p w14:paraId="27408504">
      <w:pPr>
        <w:ind w:firstLine="4343" w:firstLineChars="1352"/>
        <w:rPr>
          <w:rFonts w:hAnsi="宋体" w:cs="宋体"/>
          <w:b/>
          <w:sz w:val="32"/>
          <w:szCs w:val="32"/>
          <w:highlight w:val="none"/>
        </w:rPr>
      </w:pPr>
      <w:r>
        <w:rPr>
          <w:rFonts w:hint="eastAsia" w:hAnsi="宋体" w:cs="宋体"/>
          <w:b/>
          <w:bCs/>
          <w:sz w:val="32"/>
          <w:szCs w:val="32"/>
          <w:highlight w:val="none"/>
        </w:rPr>
        <w:t xml:space="preserve">     </w:t>
      </w:r>
      <w:r>
        <w:rPr>
          <w:rFonts w:hint="eastAsia" w:hAnsi="宋体" w:cs="宋体"/>
          <w:b/>
          <w:sz w:val="32"/>
          <w:szCs w:val="32"/>
          <w:highlight w:val="none"/>
        </w:rPr>
        <w:t>（正本或副本）</w:t>
      </w:r>
    </w:p>
    <w:p w14:paraId="713BBDB2">
      <w:pPr>
        <w:jc w:val="right"/>
        <w:rPr>
          <w:rFonts w:hAnsi="宋体" w:cs="宋体"/>
          <w:b/>
          <w:sz w:val="32"/>
          <w:szCs w:val="32"/>
          <w:highlight w:val="none"/>
        </w:rPr>
      </w:pPr>
    </w:p>
    <w:p w14:paraId="1BE94E4D">
      <w:pPr>
        <w:jc w:val="right"/>
        <w:rPr>
          <w:rFonts w:hAnsi="宋体" w:cs="宋体"/>
          <w:b/>
          <w:sz w:val="32"/>
          <w:szCs w:val="32"/>
          <w:highlight w:val="none"/>
        </w:rPr>
      </w:pPr>
    </w:p>
    <w:p w14:paraId="606DA488">
      <w:pPr>
        <w:pStyle w:val="10"/>
        <w:rPr>
          <w:rFonts w:ascii="宋体" w:hAnsi="宋体" w:cs="宋体"/>
          <w:highlight w:val="none"/>
        </w:rPr>
      </w:pPr>
    </w:p>
    <w:p w14:paraId="694DD6F6">
      <w:pPr>
        <w:jc w:val="center"/>
        <w:rPr>
          <w:rFonts w:hAnsi="宋体" w:cs="宋体"/>
          <w:b/>
          <w:sz w:val="52"/>
          <w:szCs w:val="52"/>
          <w:highlight w:val="none"/>
        </w:rPr>
      </w:pPr>
      <w:r>
        <w:rPr>
          <w:rFonts w:hint="eastAsia" w:hAnsi="宋体" w:cs="宋体"/>
          <w:b/>
          <w:sz w:val="40"/>
          <w:szCs w:val="44"/>
          <w:highlight w:val="none"/>
          <w:lang w:eastAsia="zh-CN"/>
        </w:rPr>
        <w:t>网络生态治理服务</w:t>
      </w:r>
      <w:r>
        <w:rPr>
          <w:rFonts w:hint="eastAsia" w:hAnsi="宋体" w:cs="宋体"/>
          <w:b/>
          <w:sz w:val="40"/>
          <w:szCs w:val="44"/>
          <w:highlight w:val="none"/>
        </w:rPr>
        <w:t>项目</w:t>
      </w:r>
    </w:p>
    <w:p w14:paraId="6A3C883C">
      <w:pPr>
        <w:jc w:val="center"/>
        <w:rPr>
          <w:rFonts w:hAnsi="宋体" w:cs="宋体"/>
          <w:b/>
          <w:sz w:val="52"/>
          <w:szCs w:val="52"/>
          <w:highlight w:val="none"/>
        </w:rPr>
      </w:pPr>
    </w:p>
    <w:p w14:paraId="2F436314">
      <w:pPr>
        <w:jc w:val="center"/>
        <w:rPr>
          <w:rFonts w:hAnsi="宋体" w:cs="宋体"/>
          <w:b/>
          <w:sz w:val="56"/>
          <w:szCs w:val="56"/>
          <w:highlight w:val="none"/>
        </w:rPr>
      </w:pPr>
      <w:r>
        <w:rPr>
          <w:rFonts w:hint="eastAsia" w:hAnsi="宋体" w:cs="宋体"/>
          <w:b/>
          <w:sz w:val="52"/>
          <w:szCs w:val="52"/>
          <w:highlight w:val="none"/>
        </w:rPr>
        <w:t>竞争性磋商响应文件</w:t>
      </w:r>
    </w:p>
    <w:p w14:paraId="473CC4B7">
      <w:pPr>
        <w:rPr>
          <w:rFonts w:hAnsi="宋体" w:cs="宋体"/>
          <w:b/>
          <w:sz w:val="36"/>
          <w:szCs w:val="36"/>
          <w:highlight w:val="none"/>
        </w:rPr>
      </w:pPr>
    </w:p>
    <w:p w14:paraId="01538124">
      <w:pPr>
        <w:pStyle w:val="3"/>
        <w:rPr>
          <w:highlight w:val="none"/>
        </w:rPr>
      </w:pPr>
    </w:p>
    <w:p w14:paraId="7B8E01B0">
      <w:pPr>
        <w:pStyle w:val="10"/>
        <w:rPr>
          <w:rFonts w:ascii="宋体" w:hAnsi="宋体" w:cs="宋体"/>
          <w:highlight w:val="none"/>
        </w:rPr>
      </w:pPr>
    </w:p>
    <w:p w14:paraId="11E3C550">
      <w:pPr>
        <w:rPr>
          <w:rFonts w:hAnsi="宋体" w:cs="宋体"/>
          <w:b/>
          <w:sz w:val="36"/>
          <w:szCs w:val="36"/>
          <w:highlight w:val="none"/>
        </w:rPr>
      </w:pPr>
    </w:p>
    <w:p w14:paraId="6A153D31">
      <w:pPr>
        <w:tabs>
          <w:tab w:val="center" w:pos="5346"/>
        </w:tabs>
        <w:spacing w:line="480" w:lineRule="auto"/>
        <w:jc w:val="center"/>
        <w:rPr>
          <w:rFonts w:hAnsi="宋体" w:cs="宋体"/>
          <w:b/>
          <w:sz w:val="32"/>
          <w:szCs w:val="32"/>
          <w:highlight w:val="none"/>
        </w:rPr>
      </w:pPr>
      <w:r>
        <w:rPr>
          <w:rFonts w:hint="eastAsia" w:hAnsi="宋体" w:cs="宋体"/>
          <w:b/>
          <w:sz w:val="32"/>
          <w:szCs w:val="32"/>
          <w:highlight w:val="none"/>
        </w:rPr>
        <w:t>供应商名称（公章）</w:t>
      </w:r>
    </w:p>
    <w:p w14:paraId="4BD9644E">
      <w:pPr>
        <w:jc w:val="center"/>
        <w:rPr>
          <w:rFonts w:hAnsi="宋体" w:cs="宋体"/>
          <w:b/>
          <w:sz w:val="44"/>
          <w:highlight w:val="none"/>
        </w:rPr>
      </w:pPr>
      <w:r>
        <w:rPr>
          <w:rFonts w:hint="eastAsia" w:hAnsi="宋体" w:cs="宋体"/>
          <w:b/>
          <w:sz w:val="32"/>
          <w:szCs w:val="32"/>
          <w:highlight w:val="none"/>
        </w:rPr>
        <w:t xml:space="preserve"> 年   月    日</w:t>
      </w:r>
      <w:r>
        <w:rPr>
          <w:rFonts w:hint="eastAsia" w:hAnsi="宋体" w:cs="宋体"/>
          <w:b/>
          <w:sz w:val="36"/>
          <w:szCs w:val="36"/>
          <w:highlight w:val="none"/>
        </w:rPr>
        <w:br w:type="page"/>
      </w:r>
      <w:bookmarkStart w:id="167" w:name="_Toc344572156"/>
    </w:p>
    <w:p w14:paraId="6DE9E690">
      <w:pPr>
        <w:jc w:val="center"/>
        <w:rPr>
          <w:rFonts w:hAnsi="宋体" w:cs="宋体"/>
          <w:b/>
          <w:sz w:val="44"/>
          <w:highlight w:val="none"/>
        </w:rPr>
      </w:pPr>
      <w:r>
        <w:rPr>
          <w:rFonts w:hint="eastAsia" w:hAnsi="宋体" w:cs="宋体"/>
          <w:b/>
          <w:sz w:val="44"/>
          <w:highlight w:val="none"/>
        </w:rPr>
        <w:t>目  录</w:t>
      </w:r>
    </w:p>
    <w:p w14:paraId="413F2789">
      <w:pPr>
        <w:pStyle w:val="10"/>
        <w:rPr>
          <w:rFonts w:ascii="宋体" w:hAnsi="宋体" w:cs="宋体"/>
          <w:highlight w:val="none"/>
        </w:rPr>
      </w:pPr>
    </w:p>
    <w:p w14:paraId="2EDC8B1D">
      <w:pPr>
        <w:spacing w:line="360" w:lineRule="auto"/>
        <w:ind w:firstLine="576" w:firstLineChars="200"/>
        <w:jc w:val="left"/>
        <w:rPr>
          <w:rFonts w:hAnsi="宋体" w:cs="宋体"/>
          <w:spacing w:val="4"/>
          <w:sz w:val="28"/>
          <w:szCs w:val="28"/>
          <w:highlight w:val="none"/>
        </w:rPr>
      </w:pPr>
      <w:r>
        <w:rPr>
          <w:rFonts w:hint="eastAsia" w:hAnsi="宋体" w:cs="宋体"/>
          <w:spacing w:val="4"/>
          <w:sz w:val="28"/>
          <w:szCs w:val="28"/>
          <w:highlight w:val="none"/>
        </w:rPr>
        <w:t>一、磋商响应函</w:t>
      </w:r>
    </w:p>
    <w:p w14:paraId="5DD190EE">
      <w:pPr>
        <w:spacing w:line="360" w:lineRule="auto"/>
        <w:ind w:firstLine="576" w:firstLineChars="200"/>
        <w:jc w:val="left"/>
        <w:rPr>
          <w:rFonts w:hAnsi="宋体" w:cs="宋体"/>
          <w:spacing w:val="4"/>
          <w:sz w:val="28"/>
          <w:szCs w:val="28"/>
          <w:highlight w:val="none"/>
        </w:rPr>
      </w:pPr>
      <w:r>
        <w:rPr>
          <w:rFonts w:hint="eastAsia" w:hAnsi="宋体" w:cs="宋体"/>
          <w:spacing w:val="4"/>
          <w:sz w:val="28"/>
          <w:szCs w:val="28"/>
          <w:highlight w:val="none"/>
        </w:rPr>
        <w:t>二、磋商报价表</w:t>
      </w:r>
    </w:p>
    <w:p w14:paraId="4BB1D98B">
      <w:pPr>
        <w:spacing w:line="360" w:lineRule="auto"/>
        <w:ind w:firstLine="576" w:firstLineChars="200"/>
        <w:jc w:val="left"/>
        <w:rPr>
          <w:rFonts w:hAnsi="宋体" w:cs="宋体"/>
          <w:spacing w:val="4"/>
          <w:sz w:val="28"/>
          <w:szCs w:val="28"/>
          <w:highlight w:val="none"/>
        </w:rPr>
      </w:pPr>
      <w:r>
        <w:rPr>
          <w:rFonts w:hint="eastAsia" w:hAnsi="宋体" w:cs="宋体"/>
          <w:spacing w:val="4"/>
          <w:sz w:val="28"/>
          <w:szCs w:val="28"/>
          <w:highlight w:val="none"/>
        </w:rPr>
        <w:t>三、磋商方案说明书</w:t>
      </w:r>
    </w:p>
    <w:p w14:paraId="00F39699">
      <w:pPr>
        <w:spacing w:line="360" w:lineRule="auto"/>
        <w:ind w:firstLine="576" w:firstLineChars="200"/>
        <w:jc w:val="left"/>
        <w:rPr>
          <w:rFonts w:hAnsi="宋体" w:cs="宋体"/>
          <w:spacing w:val="4"/>
          <w:sz w:val="28"/>
          <w:szCs w:val="28"/>
          <w:highlight w:val="none"/>
        </w:rPr>
      </w:pPr>
      <w:r>
        <w:rPr>
          <w:rFonts w:hint="eastAsia" w:hAnsi="宋体" w:cs="宋体"/>
          <w:spacing w:val="4"/>
          <w:sz w:val="28"/>
          <w:szCs w:val="28"/>
          <w:highlight w:val="none"/>
        </w:rPr>
        <w:t>四、商务条款偏离表</w:t>
      </w:r>
    </w:p>
    <w:p w14:paraId="1BE50AAE">
      <w:pPr>
        <w:spacing w:line="360" w:lineRule="auto"/>
        <w:ind w:firstLine="576" w:firstLineChars="200"/>
        <w:jc w:val="left"/>
        <w:rPr>
          <w:rFonts w:hAnsi="宋体" w:cs="宋体"/>
          <w:spacing w:val="4"/>
          <w:sz w:val="28"/>
          <w:szCs w:val="28"/>
          <w:highlight w:val="none"/>
        </w:rPr>
      </w:pPr>
      <w:r>
        <w:rPr>
          <w:rFonts w:hint="eastAsia" w:hAnsi="宋体" w:cs="宋体"/>
          <w:spacing w:val="4"/>
          <w:sz w:val="28"/>
          <w:szCs w:val="28"/>
          <w:highlight w:val="none"/>
        </w:rPr>
        <w:t>五、陕西省政府采购供应商拒绝政府采购领域商业贿赂承诺书</w:t>
      </w:r>
    </w:p>
    <w:p w14:paraId="3CD7774D">
      <w:pPr>
        <w:spacing w:line="360" w:lineRule="auto"/>
        <w:ind w:firstLine="576" w:firstLineChars="200"/>
        <w:jc w:val="left"/>
        <w:rPr>
          <w:rFonts w:hAnsi="宋体" w:cs="宋体"/>
          <w:spacing w:val="4"/>
          <w:sz w:val="28"/>
          <w:szCs w:val="28"/>
          <w:highlight w:val="none"/>
        </w:rPr>
      </w:pPr>
      <w:r>
        <w:rPr>
          <w:rFonts w:hint="eastAsia" w:hAnsi="宋体" w:cs="宋体"/>
          <w:spacing w:val="4"/>
          <w:sz w:val="28"/>
          <w:szCs w:val="28"/>
          <w:highlight w:val="none"/>
        </w:rPr>
        <w:t>六、特定资格证明文件</w:t>
      </w:r>
    </w:p>
    <w:p w14:paraId="31088BE5">
      <w:pPr>
        <w:spacing w:line="360" w:lineRule="auto"/>
        <w:ind w:firstLine="576" w:firstLineChars="200"/>
        <w:jc w:val="left"/>
        <w:rPr>
          <w:rFonts w:hAnsi="宋体" w:cs="宋体"/>
          <w:spacing w:val="4"/>
          <w:sz w:val="28"/>
          <w:szCs w:val="28"/>
          <w:highlight w:val="none"/>
        </w:rPr>
      </w:pPr>
      <w:r>
        <w:rPr>
          <w:rFonts w:hint="eastAsia" w:hAnsi="宋体" w:cs="宋体"/>
          <w:spacing w:val="4"/>
          <w:sz w:val="28"/>
          <w:szCs w:val="28"/>
          <w:highlight w:val="none"/>
        </w:rPr>
        <w:t>七、其他</w:t>
      </w:r>
    </w:p>
    <w:p w14:paraId="2FEB93EE">
      <w:pPr>
        <w:pStyle w:val="7"/>
        <w:spacing w:line="360" w:lineRule="auto"/>
        <w:rPr>
          <w:rFonts w:ascii="宋体" w:hAnsi="宋体" w:cs="宋体"/>
          <w:highlight w:val="none"/>
        </w:rPr>
      </w:pPr>
    </w:p>
    <w:p w14:paraId="7B96CCBA">
      <w:pPr>
        <w:pStyle w:val="7"/>
        <w:spacing w:line="360" w:lineRule="auto"/>
        <w:rPr>
          <w:rFonts w:ascii="宋体" w:hAnsi="宋体" w:cs="宋体"/>
          <w:highlight w:val="none"/>
        </w:rPr>
      </w:pPr>
    </w:p>
    <w:p w14:paraId="6338EF68">
      <w:pPr>
        <w:keepNext/>
        <w:keepLines/>
        <w:widowControl/>
        <w:tabs>
          <w:tab w:val="left" w:pos="3705"/>
        </w:tabs>
        <w:spacing w:line="360" w:lineRule="auto"/>
        <w:ind w:left="3708"/>
        <w:rPr>
          <w:rFonts w:hAnsi="宋体" w:cs="宋体"/>
          <w:bCs/>
          <w:sz w:val="44"/>
          <w:highlight w:val="none"/>
        </w:rPr>
      </w:pPr>
    </w:p>
    <w:p w14:paraId="1A456218">
      <w:pPr>
        <w:pStyle w:val="7"/>
        <w:ind w:firstLine="880"/>
        <w:rPr>
          <w:rFonts w:ascii="宋体" w:hAnsi="宋体" w:cs="宋体"/>
          <w:bCs/>
          <w:sz w:val="44"/>
          <w:highlight w:val="none"/>
        </w:rPr>
      </w:pPr>
    </w:p>
    <w:p w14:paraId="72D0E91D">
      <w:pPr>
        <w:pStyle w:val="7"/>
        <w:ind w:firstLine="880"/>
        <w:rPr>
          <w:rFonts w:ascii="宋体" w:hAnsi="宋体" w:cs="宋体"/>
          <w:bCs/>
          <w:sz w:val="44"/>
          <w:highlight w:val="none"/>
        </w:rPr>
      </w:pPr>
    </w:p>
    <w:bookmarkEnd w:id="167"/>
    <w:p w14:paraId="538BF8CB">
      <w:pPr>
        <w:pStyle w:val="10"/>
        <w:rPr>
          <w:rFonts w:ascii="宋体" w:hAnsi="宋体" w:cs="宋体"/>
          <w:b/>
          <w:sz w:val="32"/>
          <w:szCs w:val="32"/>
          <w:highlight w:val="none"/>
        </w:rPr>
      </w:pPr>
      <w:bookmarkStart w:id="168" w:name="_Toc363474027"/>
      <w:bookmarkStart w:id="169" w:name="_Toc403077648"/>
      <w:bookmarkStart w:id="170" w:name="_Toc204524343"/>
    </w:p>
    <w:p w14:paraId="3BD455F1">
      <w:pPr>
        <w:pStyle w:val="10"/>
        <w:rPr>
          <w:rFonts w:ascii="宋体" w:hAnsi="宋体" w:cs="宋体"/>
          <w:b/>
          <w:sz w:val="32"/>
          <w:szCs w:val="32"/>
          <w:highlight w:val="none"/>
        </w:rPr>
      </w:pPr>
    </w:p>
    <w:p w14:paraId="5BF1E25B">
      <w:pPr>
        <w:pStyle w:val="10"/>
        <w:rPr>
          <w:rFonts w:ascii="宋体" w:hAnsi="宋体" w:cs="宋体"/>
          <w:b/>
          <w:sz w:val="32"/>
          <w:szCs w:val="32"/>
          <w:highlight w:val="none"/>
        </w:rPr>
      </w:pPr>
    </w:p>
    <w:p w14:paraId="698594CC">
      <w:pPr>
        <w:spacing w:line="520" w:lineRule="exact"/>
        <w:jc w:val="center"/>
        <w:outlineLvl w:val="1"/>
        <w:rPr>
          <w:rFonts w:hAnsi="宋体" w:cs="宋体"/>
          <w:b/>
          <w:sz w:val="32"/>
          <w:szCs w:val="32"/>
          <w:highlight w:val="none"/>
        </w:rPr>
      </w:pPr>
      <w:r>
        <w:rPr>
          <w:rFonts w:hint="eastAsia" w:hAnsi="宋体" w:cs="宋体"/>
          <w:b/>
          <w:sz w:val="32"/>
          <w:szCs w:val="32"/>
          <w:highlight w:val="none"/>
        </w:rPr>
        <w:br w:type="page"/>
      </w:r>
      <w:bookmarkStart w:id="171" w:name="_Toc4367"/>
      <w:bookmarkStart w:id="172" w:name="_Toc32002"/>
      <w:bookmarkStart w:id="173" w:name="_Toc16320"/>
      <w:bookmarkStart w:id="174" w:name="_Toc15762"/>
      <w:bookmarkStart w:id="175" w:name="_Toc18181"/>
      <w:r>
        <w:rPr>
          <w:rFonts w:hint="eastAsia" w:hAnsi="宋体" w:cs="宋体"/>
          <w:b/>
          <w:sz w:val="32"/>
          <w:szCs w:val="32"/>
          <w:highlight w:val="none"/>
        </w:rPr>
        <w:t>一、磋商</w:t>
      </w:r>
      <w:bookmarkEnd w:id="168"/>
      <w:bookmarkEnd w:id="169"/>
      <w:r>
        <w:rPr>
          <w:rFonts w:hint="eastAsia" w:hAnsi="宋体" w:cs="宋体"/>
          <w:b/>
          <w:sz w:val="32"/>
          <w:szCs w:val="32"/>
          <w:highlight w:val="none"/>
        </w:rPr>
        <w:t>响应函</w:t>
      </w:r>
      <w:bookmarkEnd w:id="171"/>
      <w:bookmarkEnd w:id="172"/>
      <w:bookmarkEnd w:id="173"/>
      <w:bookmarkEnd w:id="174"/>
      <w:bookmarkEnd w:id="175"/>
    </w:p>
    <w:p w14:paraId="44AA4AD9">
      <w:pPr>
        <w:spacing w:line="360" w:lineRule="auto"/>
        <w:jc w:val="left"/>
        <w:rPr>
          <w:rFonts w:hAnsi="宋体" w:cs="宋体"/>
          <w:spacing w:val="4"/>
          <w:szCs w:val="24"/>
          <w:highlight w:val="none"/>
        </w:rPr>
      </w:pPr>
      <w:r>
        <w:rPr>
          <w:rFonts w:hint="eastAsia" w:hAnsi="宋体" w:cs="宋体"/>
          <w:spacing w:val="4"/>
          <w:szCs w:val="24"/>
          <w:highlight w:val="none"/>
        </w:rPr>
        <w:t>致：</w:t>
      </w:r>
      <w:r>
        <w:rPr>
          <w:rFonts w:hint="eastAsia" w:hAnsi="宋体" w:cs="宋体"/>
          <w:spacing w:val="4"/>
          <w:szCs w:val="24"/>
          <w:highlight w:val="none"/>
          <w:u w:val="single"/>
        </w:rPr>
        <w:t>陕西至诚项目管理集团有限公司</w:t>
      </w:r>
    </w:p>
    <w:p w14:paraId="54064085">
      <w:pPr>
        <w:spacing w:line="360" w:lineRule="auto"/>
        <w:ind w:firstLine="496" w:firstLineChars="200"/>
        <w:rPr>
          <w:rFonts w:hAnsi="宋体" w:cs="宋体"/>
          <w:spacing w:val="4"/>
          <w:szCs w:val="24"/>
          <w:highlight w:val="none"/>
        </w:rPr>
      </w:pPr>
      <w:r>
        <w:rPr>
          <w:rFonts w:hint="eastAsia" w:hAnsi="宋体" w:cs="宋体"/>
          <w:spacing w:val="4"/>
          <w:szCs w:val="24"/>
          <w:highlight w:val="none"/>
        </w:rPr>
        <w:t>根据贵方“</w:t>
      </w:r>
      <w:r>
        <w:rPr>
          <w:rFonts w:hint="eastAsia" w:hAnsi="宋体" w:cs="宋体"/>
          <w:spacing w:val="4"/>
          <w:szCs w:val="24"/>
          <w:highlight w:val="none"/>
          <w:u w:val="single"/>
        </w:rPr>
        <w:t xml:space="preserve">                      </w:t>
      </w:r>
      <w:r>
        <w:rPr>
          <w:rFonts w:hint="eastAsia" w:hAnsi="宋体" w:cs="宋体"/>
          <w:spacing w:val="4"/>
          <w:szCs w:val="24"/>
          <w:highlight w:val="none"/>
        </w:rPr>
        <w:t>”项目的磋商邀请</w:t>
      </w:r>
      <w:r>
        <w:rPr>
          <w:rFonts w:hint="eastAsia" w:hAnsi="宋体" w:cs="宋体"/>
          <w:spacing w:val="4"/>
          <w:szCs w:val="24"/>
          <w:highlight w:val="none"/>
          <w:u w:val="single"/>
        </w:rPr>
        <w:t>(项目编号：   )</w:t>
      </w:r>
      <w:r>
        <w:rPr>
          <w:rFonts w:hint="eastAsia" w:hAnsi="宋体" w:cs="宋体"/>
          <w:spacing w:val="4"/>
          <w:szCs w:val="24"/>
          <w:highlight w:val="none"/>
        </w:rPr>
        <w:t>，签字代表</w:t>
      </w:r>
      <w:r>
        <w:rPr>
          <w:rFonts w:hint="eastAsia" w:hAnsi="宋体" w:cs="宋体"/>
          <w:spacing w:val="4"/>
          <w:szCs w:val="24"/>
          <w:highlight w:val="none"/>
          <w:u w:val="single"/>
        </w:rPr>
        <w:t>（全名、职务）</w:t>
      </w:r>
      <w:r>
        <w:rPr>
          <w:rFonts w:hint="eastAsia" w:hAnsi="宋体" w:cs="宋体"/>
          <w:spacing w:val="4"/>
          <w:szCs w:val="24"/>
          <w:highlight w:val="none"/>
        </w:rPr>
        <w:t>经正式授权并代表供应商</w:t>
      </w:r>
      <w:r>
        <w:rPr>
          <w:rFonts w:hint="eastAsia" w:hAnsi="宋体" w:cs="宋体"/>
          <w:spacing w:val="4"/>
          <w:szCs w:val="24"/>
          <w:highlight w:val="none"/>
          <w:u w:val="single"/>
        </w:rPr>
        <w:t>(供应商名称、地址)</w:t>
      </w:r>
      <w:r>
        <w:rPr>
          <w:rFonts w:hint="eastAsia" w:hAnsi="宋体" w:cs="宋体"/>
          <w:spacing w:val="4"/>
          <w:szCs w:val="24"/>
          <w:highlight w:val="none"/>
        </w:rPr>
        <w:t xml:space="preserve"> 提交竞争性磋商响应文件正本</w:t>
      </w:r>
      <w:r>
        <w:rPr>
          <w:rFonts w:hint="eastAsia" w:hAnsi="宋体" w:cs="宋体"/>
          <w:spacing w:val="4"/>
          <w:szCs w:val="24"/>
          <w:highlight w:val="none"/>
          <w:u w:val="single"/>
        </w:rPr>
        <w:t xml:space="preserve">   </w:t>
      </w:r>
      <w:r>
        <w:rPr>
          <w:rFonts w:hint="eastAsia" w:hAnsi="宋体" w:cs="宋体"/>
          <w:spacing w:val="4"/>
          <w:szCs w:val="24"/>
          <w:highlight w:val="none"/>
        </w:rPr>
        <w:t>份、副本一式</w:t>
      </w:r>
      <w:r>
        <w:rPr>
          <w:rFonts w:hint="eastAsia" w:hAnsi="宋体" w:cs="宋体"/>
          <w:spacing w:val="4"/>
          <w:szCs w:val="24"/>
          <w:highlight w:val="none"/>
          <w:u w:val="single"/>
        </w:rPr>
        <w:t xml:space="preserve">   </w:t>
      </w:r>
      <w:r>
        <w:rPr>
          <w:rFonts w:hint="eastAsia" w:hAnsi="宋体" w:cs="宋体"/>
          <w:spacing w:val="4"/>
          <w:szCs w:val="24"/>
          <w:highlight w:val="none"/>
        </w:rPr>
        <w:t>份、报价一览表</w:t>
      </w:r>
      <w:r>
        <w:rPr>
          <w:rFonts w:hint="eastAsia" w:hAnsi="宋体" w:cs="宋体"/>
          <w:spacing w:val="4"/>
          <w:szCs w:val="24"/>
          <w:highlight w:val="none"/>
          <w:u w:val="single"/>
        </w:rPr>
        <w:t xml:space="preserve">   </w:t>
      </w:r>
      <w:r>
        <w:rPr>
          <w:rFonts w:hint="eastAsia" w:hAnsi="宋体" w:cs="宋体"/>
          <w:spacing w:val="4"/>
          <w:szCs w:val="24"/>
          <w:highlight w:val="none"/>
        </w:rPr>
        <w:t>份、电子版</w:t>
      </w:r>
      <w:r>
        <w:rPr>
          <w:rFonts w:hint="eastAsia" w:hAnsi="宋体" w:cs="宋体"/>
          <w:spacing w:val="4"/>
          <w:szCs w:val="24"/>
          <w:highlight w:val="none"/>
          <w:u w:val="single"/>
        </w:rPr>
        <w:t xml:space="preserve">    </w:t>
      </w:r>
      <w:r>
        <w:rPr>
          <w:rFonts w:hint="eastAsia" w:hAnsi="宋体" w:cs="宋体"/>
          <w:spacing w:val="4"/>
          <w:szCs w:val="24"/>
          <w:highlight w:val="none"/>
        </w:rPr>
        <w:t>份。</w:t>
      </w:r>
    </w:p>
    <w:p w14:paraId="0EE6186B">
      <w:pPr>
        <w:spacing w:line="360" w:lineRule="auto"/>
        <w:ind w:left="624" w:leftChars="251" w:hanging="22" w:hangingChars="9"/>
        <w:jc w:val="left"/>
        <w:rPr>
          <w:rFonts w:hAnsi="宋体" w:cs="宋体"/>
          <w:spacing w:val="4"/>
          <w:szCs w:val="24"/>
          <w:highlight w:val="none"/>
        </w:rPr>
      </w:pPr>
      <w:r>
        <w:rPr>
          <w:rFonts w:hint="eastAsia" w:hAnsi="宋体" w:cs="宋体"/>
          <w:spacing w:val="4"/>
          <w:szCs w:val="24"/>
          <w:highlight w:val="none"/>
        </w:rPr>
        <w:t>我方承诺如下：</w:t>
      </w:r>
    </w:p>
    <w:p w14:paraId="2C437C24">
      <w:pPr>
        <w:numPr>
          <w:ilvl w:val="0"/>
          <w:numId w:val="15"/>
        </w:numPr>
        <w:tabs>
          <w:tab w:val="left" w:pos="2160"/>
        </w:tabs>
        <w:spacing w:line="360" w:lineRule="auto"/>
        <w:ind w:firstLine="496" w:firstLineChars="200"/>
        <w:jc w:val="left"/>
        <w:rPr>
          <w:rFonts w:hAnsi="宋体" w:cs="宋体"/>
          <w:spacing w:val="4"/>
          <w:highlight w:val="none"/>
        </w:rPr>
      </w:pPr>
      <w:r>
        <w:rPr>
          <w:rFonts w:hint="eastAsia" w:hAnsi="宋体" w:cs="宋体"/>
          <w:spacing w:val="4"/>
          <w:szCs w:val="24"/>
          <w:highlight w:val="none"/>
        </w:rPr>
        <w:t>磋商报价</w:t>
      </w:r>
      <w:r>
        <w:rPr>
          <w:rFonts w:hint="eastAsia" w:hAnsi="宋体" w:cs="宋体"/>
          <w:spacing w:val="4"/>
          <w:highlight w:val="none"/>
        </w:rPr>
        <w:t>为小写：</w:t>
      </w:r>
      <w:r>
        <w:rPr>
          <w:rFonts w:hint="eastAsia" w:hAnsi="宋体" w:cs="宋体"/>
          <w:spacing w:val="4"/>
          <w:highlight w:val="none"/>
          <w:u w:val="single"/>
        </w:rPr>
        <w:t xml:space="preserve">         </w:t>
      </w:r>
      <w:r>
        <w:rPr>
          <w:rFonts w:hint="eastAsia" w:hAnsi="宋体" w:cs="宋体"/>
          <w:spacing w:val="4"/>
          <w:highlight w:val="none"/>
        </w:rPr>
        <w:t>（大写：</w:t>
      </w:r>
      <w:r>
        <w:rPr>
          <w:rFonts w:hint="eastAsia" w:hAnsi="宋体" w:cs="宋体"/>
          <w:spacing w:val="4"/>
          <w:highlight w:val="none"/>
          <w:u w:val="single"/>
        </w:rPr>
        <w:t xml:space="preserve">         </w:t>
      </w:r>
      <w:r>
        <w:rPr>
          <w:rFonts w:hint="eastAsia" w:hAnsi="宋体" w:cs="宋体"/>
          <w:spacing w:val="4"/>
          <w:highlight w:val="none"/>
        </w:rPr>
        <w:t>）。</w:t>
      </w:r>
    </w:p>
    <w:p w14:paraId="33FE3E8E">
      <w:pPr>
        <w:numPr>
          <w:ilvl w:val="0"/>
          <w:numId w:val="15"/>
        </w:num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如果成交，我们根据竞争性磋商文件的规定，履行合同的责任和义务。</w:t>
      </w:r>
    </w:p>
    <w:p w14:paraId="3BB2A062">
      <w:p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3）我们已详细阅读和审核全部竞争性磋商文件（含修改部分，如有的话），及有关附件，我们知道必须放弃提出含糊不清或误解的问题的权利。</w:t>
      </w:r>
    </w:p>
    <w:p w14:paraId="4EBF9E6D">
      <w:p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4）我们同意在磋商有效期内（</w:t>
      </w:r>
      <w:r>
        <w:rPr>
          <w:rFonts w:hint="eastAsia" w:hAnsi="宋体" w:cs="宋体"/>
          <w:spacing w:val="4"/>
          <w:szCs w:val="24"/>
          <w:highlight w:val="none"/>
          <w:u w:val="single"/>
        </w:rPr>
        <w:t>自磋商之日起   天</w:t>
      </w:r>
      <w:r>
        <w:rPr>
          <w:rFonts w:hint="eastAsia" w:hAnsi="宋体" w:cs="宋体"/>
          <w:spacing w:val="4"/>
          <w:szCs w:val="24"/>
          <w:highlight w:val="none"/>
        </w:rPr>
        <w:t>），本磋商响应函对我方具有约束力。</w:t>
      </w:r>
    </w:p>
    <w:p w14:paraId="282D98BC">
      <w:p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5）如果在磋商后规定的磋商有效期内撤回磋商，我们的磋商保证金可被贵方没收。</w:t>
      </w:r>
    </w:p>
    <w:p w14:paraId="784935AA">
      <w:p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 xml:space="preserve">6）同意提供贵方可能另外要求的与本磋商有关的任何证据和资料。 </w:t>
      </w:r>
    </w:p>
    <w:p w14:paraId="2B9CC501">
      <w:p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7）我们同意，如果成交，向陕西至诚项目管理集团有限公司交纳招标代理服务费。</w:t>
      </w:r>
    </w:p>
    <w:p w14:paraId="383E6FC9">
      <w:pPr>
        <w:tabs>
          <w:tab w:val="left" w:pos="2160"/>
        </w:tabs>
        <w:spacing w:line="360" w:lineRule="auto"/>
        <w:ind w:firstLine="496" w:firstLineChars="200"/>
        <w:jc w:val="left"/>
        <w:rPr>
          <w:rFonts w:hAnsi="宋体" w:cs="宋体"/>
          <w:spacing w:val="4"/>
          <w:szCs w:val="24"/>
          <w:highlight w:val="none"/>
        </w:rPr>
      </w:pPr>
      <w:r>
        <w:rPr>
          <w:rFonts w:hint="eastAsia" w:hAnsi="宋体" w:cs="宋体"/>
          <w:spacing w:val="4"/>
          <w:szCs w:val="24"/>
          <w:highlight w:val="none"/>
        </w:rPr>
        <w:t>8）与本磋商有关的一切正式往来通讯为：</w:t>
      </w:r>
    </w:p>
    <w:p w14:paraId="4E53433E">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联系地址：</w:t>
      </w:r>
    </w:p>
    <w:p w14:paraId="6B477777">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邮政编码：</w:t>
      </w:r>
    </w:p>
    <w:p w14:paraId="2FBEF72F">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电    话：</w:t>
      </w:r>
    </w:p>
    <w:p w14:paraId="4C1D8FBA">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传    真：</w:t>
      </w:r>
    </w:p>
    <w:p w14:paraId="251FC19E">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供应商名称（盖章）：</w:t>
      </w:r>
    </w:p>
    <w:p w14:paraId="4E538537">
      <w:pPr>
        <w:spacing w:line="280" w:lineRule="exact"/>
        <w:ind w:right="617" w:rightChars="257" w:firstLine="1200" w:firstLineChars="500"/>
        <w:jc w:val="left"/>
        <w:rPr>
          <w:rFonts w:hAnsi="宋体" w:cs="宋体"/>
          <w:szCs w:val="24"/>
          <w:highlight w:val="none"/>
        </w:rPr>
      </w:pPr>
      <w:r>
        <w:rPr>
          <w:rFonts w:hint="eastAsia" w:hAnsi="宋体" w:cs="宋体"/>
          <w:highlight w:val="none"/>
        </w:rPr>
        <w:t>法定代表人或委托代理人：</w:t>
      </w:r>
      <w:r>
        <w:rPr>
          <w:rFonts w:hint="eastAsia" w:hAnsi="宋体" w:cs="宋体"/>
          <w:highlight w:val="none"/>
          <w:u w:val="single"/>
        </w:rPr>
        <w:t xml:space="preserve">              </w:t>
      </w:r>
      <w:r>
        <w:rPr>
          <w:rFonts w:hint="eastAsia" w:hAnsi="宋体" w:cs="宋体"/>
          <w:highlight w:val="none"/>
        </w:rPr>
        <w:t>（签字或盖章）</w:t>
      </w:r>
    </w:p>
    <w:p w14:paraId="752A7F5F">
      <w:pPr>
        <w:spacing w:line="360" w:lineRule="auto"/>
        <w:ind w:firstLine="1240" w:firstLineChars="500"/>
        <w:jc w:val="left"/>
        <w:rPr>
          <w:rFonts w:hAnsi="宋体" w:cs="宋体"/>
          <w:spacing w:val="4"/>
          <w:szCs w:val="24"/>
          <w:highlight w:val="none"/>
        </w:rPr>
      </w:pPr>
      <w:r>
        <w:rPr>
          <w:rFonts w:hint="eastAsia" w:hAnsi="宋体" w:cs="宋体"/>
          <w:spacing w:val="4"/>
          <w:szCs w:val="24"/>
          <w:highlight w:val="none"/>
        </w:rPr>
        <w:t>日    期：</w:t>
      </w:r>
    </w:p>
    <w:p w14:paraId="7A654B08">
      <w:pPr>
        <w:pStyle w:val="3"/>
        <w:spacing w:before="312" w:beforeLines="100" w:line="360" w:lineRule="auto"/>
        <w:jc w:val="center"/>
        <w:rPr>
          <w:rFonts w:ascii="宋体" w:hAnsi="宋体" w:cs="宋体"/>
          <w:bCs w:val="0"/>
          <w:sz w:val="32"/>
          <w:highlight w:val="none"/>
        </w:rPr>
      </w:pPr>
      <w:r>
        <w:rPr>
          <w:rFonts w:hint="eastAsia" w:ascii="宋体" w:hAnsi="宋体" w:cs="宋体"/>
          <w:highlight w:val="none"/>
        </w:rPr>
        <w:br w:type="page"/>
      </w:r>
      <w:bookmarkStart w:id="176" w:name="_Toc21752"/>
      <w:bookmarkStart w:id="177" w:name="_Toc28910"/>
      <w:bookmarkStart w:id="178" w:name="_Toc403077651"/>
      <w:bookmarkStart w:id="179" w:name="_Toc9730"/>
      <w:bookmarkStart w:id="180" w:name="_Toc363474030"/>
      <w:bookmarkStart w:id="181" w:name="_Toc732"/>
      <w:bookmarkStart w:id="182" w:name="_Toc17800"/>
      <w:r>
        <w:rPr>
          <w:rFonts w:hint="eastAsia" w:ascii="宋体" w:hAnsi="宋体" w:cs="宋体"/>
          <w:bCs w:val="0"/>
          <w:sz w:val="32"/>
          <w:highlight w:val="none"/>
        </w:rPr>
        <w:t>二、磋商报价表</w:t>
      </w:r>
      <w:bookmarkEnd w:id="176"/>
      <w:bookmarkEnd w:id="177"/>
      <w:bookmarkEnd w:id="178"/>
      <w:bookmarkEnd w:id="179"/>
      <w:bookmarkEnd w:id="180"/>
      <w:bookmarkEnd w:id="181"/>
      <w:bookmarkEnd w:id="182"/>
    </w:p>
    <w:p w14:paraId="1AFC64EC">
      <w:pPr>
        <w:spacing w:line="360" w:lineRule="auto"/>
        <w:jc w:val="center"/>
        <w:outlineLvl w:val="1"/>
        <w:rPr>
          <w:rFonts w:hAnsi="宋体" w:cs="宋体"/>
          <w:szCs w:val="24"/>
          <w:highlight w:val="none"/>
        </w:rPr>
      </w:pPr>
      <w:bookmarkStart w:id="183" w:name="_Toc29008"/>
      <w:bookmarkStart w:id="184" w:name="_Toc7982"/>
      <w:bookmarkStart w:id="185" w:name="_Toc22153"/>
      <w:bookmarkStart w:id="186" w:name="_Toc32277"/>
      <w:bookmarkStart w:id="187" w:name="_Toc12732"/>
      <w:r>
        <w:rPr>
          <w:rFonts w:hint="eastAsia" w:hAnsi="宋体" w:cs="宋体"/>
          <w:szCs w:val="24"/>
          <w:highlight w:val="none"/>
        </w:rPr>
        <w:t>2.1报价一览表</w:t>
      </w:r>
      <w:bookmarkEnd w:id="183"/>
      <w:bookmarkEnd w:id="184"/>
      <w:bookmarkEnd w:id="185"/>
      <w:bookmarkEnd w:id="186"/>
      <w:bookmarkEnd w:id="187"/>
    </w:p>
    <w:p w14:paraId="5FB884AE">
      <w:pPr>
        <w:spacing w:line="360" w:lineRule="auto"/>
        <w:jc w:val="center"/>
        <w:rPr>
          <w:rFonts w:hAnsi="宋体" w:cs="宋体"/>
          <w:szCs w:val="24"/>
          <w:highlight w:val="none"/>
        </w:rPr>
      </w:pPr>
    </w:p>
    <w:p w14:paraId="44C6E3F9">
      <w:pPr>
        <w:spacing w:line="360" w:lineRule="auto"/>
        <w:jc w:val="left"/>
        <w:rPr>
          <w:rFonts w:hAnsi="宋体" w:cs="宋体"/>
          <w:highlight w:val="none"/>
        </w:rPr>
      </w:pPr>
      <w:r>
        <w:rPr>
          <w:rFonts w:hint="eastAsia" w:hAnsi="宋体" w:cs="宋体"/>
          <w:highlight w:val="none"/>
        </w:rPr>
        <w:t xml:space="preserve">项目名称：                                                 </w:t>
      </w:r>
    </w:p>
    <w:p w14:paraId="1D249C5A">
      <w:pPr>
        <w:spacing w:line="360" w:lineRule="auto"/>
        <w:jc w:val="left"/>
        <w:rPr>
          <w:rFonts w:hAnsi="宋体" w:cs="宋体"/>
          <w:highlight w:val="none"/>
        </w:rPr>
      </w:pPr>
      <w:r>
        <w:rPr>
          <w:rFonts w:hint="eastAsia" w:hAnsi="宋体" w:cs="宋体"/>
          <w:highlight w:val="none"/>
        </w:rPr>
        <w:t xml:space="preserve">项目编号：                                               </w:t>
      </w:r>
    </w:p>
    <w:tbl>
      <w:tblPr>
        <w:tblStyle w:val="2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96"/>
        <w:gridCol w:w="3514"/>
        <w:gridCol w:w="2693"/>
      </w:tblGrid>
      <w:tr w14:paraId="0203D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734" w:type="pct"/>
            <w:vAlign w:val="center"/>
          </w:tcPr>
          <w:p w14:paraId="208EFAD2">
            <w:pPr>
              <w:jc w:val="center"/>
              <w:rPr>
                <w:rFonts w:hAnsi="宋体" w:cs="宋体"/>
                <w:szCs w:val="24"/>
                <w:highlight w:val="none"/>
              </w:rPr>
            </w:pPr>
            <w:r>
              <w:rPr>
                <w:rFonts w:hint="eastAsia" w:hAnsi="宋体" w:cs="宋体"/>
                <w:szCs w:val="24"/>
                <w:highlight w:val="none"/>
              </w:rPr>
              <w:t>磋商总报价</w:t>
            </w:r>
          </w:p>
          <w:p w14:paraId="283900C4">
            <w:pPr>
              <w:jc w:val="center"/>
              <w:rPr>
                <w:rFonts w:hAnsi="宋体" w:cs="宋体"/>
                <w:szCs w:val="24"/>
                <w:highlight w:val="none"/>
              </w:rPr>
            </w:pPr>
            <w:r>
              <w:rPr>
                <w:rFonts w:hint="eastAsia" w:hAnsi="宋体" w:cs="宋体"/>
                <w:szCs w:val="24"/>
                <w:highlight w:val="none"/>
              </w:rPr>
              <w:t>（元）</w:t>
            </w:r>
          </w:p>
        </w:tc>
        <w:tc>
          <w:tcPr>
            <w:tcW w:w="1849" w:type="pct"/>
            <w:vAlign w:val="center"/>
          </w:tcPr>
          <w:p w14:paraId="2DDF14B4">
            <w:pPr>
              <w:jc w:val="center"/>
              <w:rPr>
                <w:rFonts w:hAnsi="宋体" w:cs="宋体"/>
                <w:highlight w:val="none"/>
              </w:rPr>
            </w:pPr>
            <w:r>
              <w:rPr>
                <w:rFonts w:hint="eastAsia" w:hAnsi="宋体" w:cs="宋体"/>
                <w:szCs w:val="24"/>
                <w:highlight w:val="none"/>
              </w:rPr>
              <w:t>服务期</w:t>
            </w:r>
          </w:p>
        </w:tc>
        <w:tc>
          <w:tcPr>
            <w:tcW w:w="1415" w:type="pct"/>
            <w:vAlign w:val="center"/>
          </w:tcPr>
          <w:p w14:paraId="622A0B64">
            <w:pPr>
              <w:jc w:val="center"/>
              <w:rPr>
                <w:rFonts w:hAnsi="宋体" w:cs="宋体"/>
                <w:szCs w:val="24"/>
                <w:highlight w:val="none"/>
              </w:rPr>
            </w:pPr>
            <w:r>
              <w:rPr>
                <w:rFonts w:hint="eastAsia" w:hAnsi="宋体" w:cs="宋体"/>
                <w:szCs w:val="24"/>
                <w:highlight w:val="none"/>
              </w:rPr>
              <w:t>备注</w:t>
            </w:r>
          </w:p>
        </w:tc>
      </w:tr>
      <w:tr w14:paraId="40D1F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734" w:type="pct"/>
            <w:vAlign w:val="center"/>
          </w:tcPr>
          <w:p w14:paraId="6896FE79">
            <w:pPr>
              <w:jc w:val="center"/>
              <w:rPr>
                <w:rFonts w:hAnsi="宋体" w:cs="宋体"/>
                <w:szCs w:val="24"/>
                <w:highlight w:val="none"/>
              </w:rPr>
            </w:pPr>
          </w:p>
        </w:tc>
        <w:tc>
          <w:tcPr>
            <w:tcW w:w="1849" w:type="pct"/>
            <w:vAlign w:val="center"/>
          </w:tcPr>
          <w:p w14:paraId="03AD47B9">
            <w:pPr>
              <w:jc w:val="center"/>
              <w:rPr>
                <w:rFonts w:hAnsi="宋体" w:cs="宋体"/>
                <w:szCs w:val="24"/>
                <w:highlight w:val="none"/>
              </w:rPr>
            </w:pPr>
          </w:p>
        </w:tc>
        <w:tc>
          <w:tcPr>
            <w:tcW w:w="1415" w:type="pct"/>
            <w:vAlign w:val="center"/>
          </w:tcPr>
          <w:p w14:paraId="29A52D92">
            <w:pPr>
              <w:jc w:val="center"/>
              <w:rPr>
                <w:rFonts w:hAnsi="宋体" w:cs="宋体"/>
                <w:szCs w:val="24"/>
                <w:highlight w:val="none"/>
              </w:rPr>
            </w:pPr>
          </w:p>
        </w:tc>
      </w:tr>
      <w:tr w14:paraId="15E6B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5000" w:type="pct"/>
            <w:gridSpan w:val="3"/>
            <w:vAlign w:val="center"/>
          </w:tcPr>
          <w:p w14:paraId="5218A109">
            <w:pPr>
              <w:jc w:val="center"/>
              <w:rPr>
                <w:rFonts w:hAnsi="宋体" w:cs="宋体"/>
                <w:szCs w:val="24"/>
                <w:highlight w:val="none"/>
              </w:rPr>
            </w:pPr>
            <w:r>
              <w:rPr>
                <w:rFonts w:hint="eastAsia" w:hAnsi="宋体" w:cs="宋体"/>
                <w:szCs w:val="24"/>
                <w:highlight w:val="none"/>
              </w:rPr>
              <w:t>磋商报价（大写）：                             （小写：￥       ）</w:t>
            </w:r>
          </w:p>
        </w:tc>
      </w:tr>
      <w:tr w14:paraId="5A39B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5000" w:type="pct"/>
            <w:gridSpan w:val="3"/>
            <w:vAlign w:val="center"/>
          </w:tcPr>
          <w:p w14:paraId="502C9AC1">
            <w:pPr>
              <w:rPr>
                <w:rFonts w:hAnsi="宋体" w:cs="宋体"/>
                <w:szCs w:val="24"/>
                <w:highlight w:val="none"/>
              </w:rPr>
            </w:pPr>
            <w:r>
              <w:rPr>
                <w:rFonts w:hint="eastAsia" w:hAnsi="宋体" w:cs="宋体"/>
                <w:szCs w:val="24"/>
                <w:highlight w:val="none"/>
              </w:rPr>
              <w:t>备注：表内报价内容以元为单位，保留小数点后（</w:t>
            </w:r>
            <w:r>
              <w:rPr>
                <w:rFonts w:hint="eastAsia" w:hAnsi="宋体" w:cs="宋体"/>
                <w:b/>
                <w:szCs w:val="24"/>
                <w:highlight w:val="none"/>
              </w:rPr>
              <w:t>两位</w:t>
            </w:r>
            <w:r>
              <w:rPr>
                <w:rFonts w:hint="eastAsia" w:hAnsi="宋体" w:cs="宋体"/>
                <w:szCs w:val="24"/>
                <w:highlight w:val="none"/>
              </w:rPr>
              <w:t>）。</w:t>
            </w:r>
          </w:p>
        </w:tc>
      </w:tr>
    </w:tbl>
    <w:p w14:paraId="742D537B">
      <w:pPr>
        <w:rPr>
          <w:rFonts w:hAnsi="宋体" w:cs="宋体"/>
          <w:szCs w:val="24"/>
          <w:highlight w:val="none"/>
        </w:rPr>
      </w:pPr>
    </w:p>
    <w:p w14:paraId="09E88F25">
      <w:pPr>
        <w:rPr>
          <w:rFonts w:hAnsi="宋体" w:cs="宋体"/>
          <w:szCs w:val="24"/>
          <w:highlight w:val="none"/>
        </w:rPr>
      </w:pPr>
    </w:p>
    <w:p w14:paraId="39C842DA">
      <w:pPr>
        <w:rPr>
          <w:rFonts w:hAnsi="宋体" w:cs="宋体"/>
          <w:szCs w:val="24"/>
          <w:highlight w:val="none"/>
        </w:rPr>
      </w:pPr>
    </w:p>
    <w:p w14:paraId="52B978D1">
      <w:pPr>
        <w:spacing w:line="280" w:lineRule="exact"/>
        <w:ind w:right="617" w:rightChars="257"/>
        <w:jc w:val="left"/>
        <w:rPr>
          <w:rFonts w:hAnsi="宋体" w:cs="宋体"/>
          <w:szCs w:val="24"/>
          <w:highlight w:val="none"/>
        </w:rPr>
      </w:pPr>
      <w:r>
        <w:rPr>
          <w:rFonts w:hint="eastAsia" w:hAnsi="宋体" w:cs="宋体"/>
          <w:szCs w:val="24"/>
          <w:highlight w:val="none"/>
        </w:rPr>
        <w:t>供应商名称：</w:t>
      </w:r>
      <w:r>
        <w:rPr>
          <w:rFonts w:hint="eastAsia" w:hAnsi="宋体" w:cs="宋体"/>
          <w:szCs w:val="24"/>
          <w:highlight w:val="none"/>
          <w:u w:val="single"/>
        </w:rPr>
        <w:t xml:space="preserve">      （加盖单位公章）      </w:t>
      </w:r>
    </w:p>
    <w:p w14:paraId="305CB8AD">
      <w:pPr>
        <w:spacing w:line="280" w:lineRule="exact"/>
        <w:ind w:right="617" w:rightChars="257"/>
        <w:jc w:val="left"/>
        <w:rPr>
          <w:rFonts w:hAnsi="宋体" w:cs="宋体"/>
          <w:szCs w:val="24"/>
          <w:highlight w:val="none"/>
        </w:rPr>
      </w:pPr>
    </w:p>
    <w:p w14:paraId="70259B03">
      <w:pPr>
        <w:spacing w:line="280" w:lineRule="exact"/>
        <w:ind w:right="617" w:rightChars="257"/>
        <w:jc w:val="left"/>
        <w:rPr>
          <w:rFonts w:hAnsi="宋体" w:cs="宋体"/>
          <w:szCs w:val="24"/>
          <w:highlight w:val="none"/>
        </w:rPr>
      </w:pPr>
      <w:r>
        <w:rPr>
          <w:rFonts w:hint="eastAsia" w:hAnsi="宋体" w:cs="宋体"/>
          <w:highlight w:val="none"/>
        </w:rPr>
        <w:t>法定代表人或委托代理人：</w:t>
      </w:r>
      <w:r>
        <w:rPr>
          <w:rFonts w:hint="eastAsia" w:hAnsi="宋体" w:cs="宋体"/>
          <w:highlight w:val="none"/>
          <w:u w:val="single"/>
        </w:rPr>
        <w:t xml:space="preserve">              </w:t>
      </w:r>
      <w:r>
        <w:rPr>
          <w:rFonts w:hint="eastAsia" w:hAnsi="宋体" w:cs="宋体"/>
          <w:highlight w:val="none"/>
        </w:rPr>
        <w:t>（签字或盖章）</w:t>
      </w:r>
    </w:p>
    <w:p w14:paraId="6DB8BDF2">
      <w:pPr>
        <w:spacing w:line="280" w:lineRule="exact"/>
        <w:ind w:right="617" w:rightChars="257"/>
        <w:jc w:val="left"/>
        <w:rPr>
          <w:rFonts w:hAnsi="宋体" w:cs="宋体"/>
          <w:szCs w:val="24"/>
          <w:highlight w:val="none"/>
        </w:rPr>
      </w:pPr>
    </w:p>
    <w:p w14:paraId="635BD07E">
      <w:pPr>
        <w:spacing w:line="280" w:lineRule="exact"/>
        <w:ind w:right="617" w:rightChars="257"/>
        <w:rPr>
          <w:rFonts w:hAnsi="宋体" w:cs="宋体"/>
          <w:szCs w:val="24"/>
          <w:highlight w:val="none"/>
        </w:rPr>
      </w:pPr>
      <w:r>
        <w:rPr>
          <w:rFonts w:hint="eastAsia" w:hAnsi="宋体" w:cs="宋体"/>
          <w:szCs w:val="24"/>
          <w:highlight w:val="none"/>
        </w:rPr>
        <w:t>日    期：</w:t>
      </w:r>
    </w:p>
    <w:p w14:paraId="545A5B0C">
      <w:pPr>
        <w:jc w:val="center"/>
        <w:rPr>
          <w:rFonts w:hAnsi="宋体" w:cs="宋体"/>
          <w:szCs w:val="24"/>
          <w:highlight w:val="none"/>
        </w:rPr>
      </w:pPr>
    </w:p>
    <w:p w14:paraId="2963BD11">
      <w:pPr>
        <w:spacing w:before="156" w:beforeLines="50" w:after="156" w:afterLines="50" w:line="400" w:lineRule="atLeast"/>
        <w:rPr>
          <w:rFonts w:hAnsi="宋体" w:cs="宋体"/>
          <w:szCs w:val="24"/>
          <w:highlight w:val="none"/>
          <w:u w:val="single"/>
        </w:rPr>
      </w:pPr>
      <w:r>
        <w:rPr>
          <w:rFonts w:hint="eastAsia" w:hAnsi="宋体" w:cs="宋体"/>
          <w:szCs w:val="24"/>
          <w:highlight w:val="none"/>
        </w:rPr>
        <w:t>注：本表应按“供应商须知”的规定密封单独提交。若有折扣声明，请与本表一并装订和密封。严格按照表格格式报价。</w:t>
      </w:r>
    </w:p>
    <w:p w14:paraId="7259099E">
      <w:pPr>
        <w:jc w:val="center"/>
        <w:rPr>
          <w:rFonts w:hAnsi="宋体" w:cs="宋体"/>
          <w:b/>
          <w:sz w:val="30"/>
          <w:szCs w:val="30"/>
          <w:highlight w:val="none"/>
        </w:rPr>
      </w:pPr>
    </w:p>
    <w:p w14:paraId="5CD2E76F">
      <w:pPr>
        <w:jc w:val="center"/>
        <w:outlineLvl w:val="1"/>
        <w:rPr>
          <w:rFonts w:hAnsi="宋体" w:cs="宋体"/>
          <w:b/>
          <w:sz w:val="30"/>
          <w:szCs w:val="30"/>
          <w:highlight w:val="none"/>
        </w:rPr>
      </w:pPr>
      <w:r>
        <w:rPr>
          <w:rFonts w:hint="eastAsia" w:hAnsi="宋体" w:cs="宋体"/>
          <w:b/>
          <w:sz w:val="30"/>
          <w:szCs w:val="30"/>
          <w:highlight w:val="none"/>
        </w:rPr>
        <w:br w:type="page"/>
      </w:r>
      <w:bookmarkStart w:id="188" w:name="_Toc8017"/>
      <w:bookmarkStart w:id="189" w:name="_Toc9220"/>
      <w:bookmarkStart w:id="190" w:name="_Toc11197"/>
      <w:bookmarkStart w:id="191" w:name="_Toc26572"/>
      <w:bookmarkStart w:id="192" w:name="_Toc9760"/>
      <w:r>
        <w:rPr>
          <w:rFonts w:hint="eastAsia" w:hAnsi="宋体" w:cs="宋体"/>
          <w:b/>
          <w:sz w:val="30"/>
          <w:szCs w:val="30"/>
          <w:highlight w:val="none"/>
        </w:rPr>
        <w:t>2.2分项报价表</w:t>
      </w:r>
      <w:bookmarkEnd w:id="188"/>
      <w:bookmarkEnd w:id="189"/>
      <w:bookmarkEnd w:id="190"/>
      <w:bookmarkEnd w:id="191"/>
      <w:bookmarkEnd w:id="192"/>
    </w:p>
    <w:p w14:paraId="2205830A">
      <w:pPr>
        <w:pStyle w:val="10"/>
        <w:jc w:val="center"/>
        <w:rPr>
          <w:rFonts w:ascii="宋体" w:hAnsi="宋体" w:cs="宋体"/>
          <w:bCs/>
          <w:sz w:val="24"/>
          <w:szCs w:val="24"/>
          <w:highlight w:val="none"/>
        </w:rPr>
      </w:pPr>
    </w:p>
    <w:p w14:paraId="4880D7D2">
      <w:pPr>
        <w:pStyle w:val="10"/>
        <w:jc w:val="center"/>
        <w:rPr>
          <w:rFonts w:ascii="宋体" w:hAnsi="宋体" w:cs="宋体"/>
          <w:bCs/>
          <w:sz w:val="24"/>
          <w:szCs w:val="24"/>
          <w:highlight w:val="none"/>
        </w:rPr>
      </w:pPr>
      <w:r>
        <w:rPr>
          <w:rFonts w:hint="eastAsia" w:ascii="宋体" w:hAnsi="宋体" w:cs="宋体"/>
          <w:bCs/>
          <w:sz w:val="24"/>
          <w:szCs w:val="24"/>
          <w:highlight w:val="none"/>
        </w:rPr>
        <w:t>供应商自行拟定格式，用于说明磋商报价各报价的组成。</w:t>
      </w:r>
    </w:p>
    <w:p w14:paraId="11E46E2E">
      <w:pPr>
        <w:pStyle w:val="10"/>
        <w:rPr>
          <w:rFonts w:ascii="宋体" w:hAnsi="宋体" w:cs="宋体"/>
          <w:highlight w:val="none"/>
        </w:rPr>
      </w:pPr>
    </w:p>
    <w:p w14:paraId="03639ADB">
      <w:pPr>
        <w:ind w:firstLine="420"/>
        <w:rPr>
          <w:rFonts w:hAnsi="宋体" w:cs="宋体"/>
          <w:highlight w:val="none"/>
        </w:rPr>
      </w:pPr>
    </w:p>
    <w:p w14:paraId="1F386341">
      <w:pPr>
        <w:pStyle w:val="10"/>
        <w:spacing w:line="360" w:lineRule="auto"/>
        <w:rPr>
          <w:rFonts w:ascii="宋体" w:hAnsi="宋体" w:cs="宋体"/>
          <w:sz w:val="28"/>
          <w:szCs w:val="28"/>
          <w:highlight w:val="none"/>
        </w:rPr>
      </w:pPr>
    </w:p>
    <w:p w14:paraId="51448815">
      <w:pPr>
        <w:rPr>
          <w:rFonts w:hAnsi="宋体" w:cs="宋体"/>
          <w:highlight w:val="none"/>
        </w:rPr>
      </w:pPr>
    </w:p>
    <w:bookmarkEnd w:id="170"/>
    <w:p w14:paraId="4D2574CE">
      <w:pPr>
        <w:jc w:val="center"/>
        <w:outlineLvl w:val="1"/>
        <w:rPr>
          <w:rFonts w:hAnsi="宋体" w:cs="宋体"/>
          <w:sz w:val="32"/>
          <w:szCs w:val="32"/>
          <w:highlight w:val="none"/>
        </w:rPr>
      </w:pPr>
      <w:bookmarkStart w:id="193" w:name="_Toc344572163"/>
      <w:r>
        <w:rPr>
          <w:rFonts w:hint="eastAsia" w:hAnsi="宋体" w:cs="宋体"/>
          <w:sz w:val="32"/>
          <w:szCs w:val="32"/>
          <w:highlight w:val="none"/>
        </w:rPr>
        <w:br w:type="page"/>
      </w:r>
      <w:bookmarkStart w:id="194" w:name="_Toc3628"/>
      <w:bookmarkStart w:id="195" w:name="_Toc32126"/>
      <w:bookmarkStart w:id="196" w:name="_Toc24936"/>
      <w:bookmarkStart w:id="197" w:name="_Toc5944"/>
      <w:bookmarkStart w:id="198" w:name="_Toc27022"/>
      <w:r>
        <w:rPr>
          <w:rFonts w:hint="eastAsia" w:hAnsi="宋体" w:cs="宋体"/>
          <w:b/>
          <w:bCs/>
          <w:sz w:val="32"/>
          <w:szCs w:val="32"/>
          <w:highlight w:val="none"/>
        </w:rPr>
        <w:t>三、磋商方案说明书</w:t>
      </w:r>
      <w:bookmarkEnd w:id="194"/>
      <w:bookmarkEnd w:id="195"/>
      <w:bookmarkEnd w:id="196"/>
      <w:bookmarkEnd w:id="197"/>
      <w:bookmarkEnd w:id="198"/>
    </w:p>
    <w:p w14:paraId="30FEE13F">
      <w:pPr>
        <w:spacing w:line="480" w:lineRule="auto"/>
        <w:ind w:firstLine="482" w:firstLineChars="200"/>
        <w:jc w:val="center"/>
        <w:rPr>
          <w:rFonts w:hAnsi="宋体" w:cs="宋体"/>
          <w:b/>
          <w:bCs/>
          <w:szCs w:val="24"/>
          <w:highlight w:val="none"/>
        </w:rPr>
      </w:pPr>
      <w:r>
        <w:rPr>
          <w:rFonts w:hint="eastAsia" w:hAnsi="宋体" w:cs="宋体"/>
          <w:b/>
          <w:bCs/>
          <w:szCs w:val="24"/>
          <w:highlight w:val="none"/>
        </w:rPr>
        <w:t>（可参照第三章评审办法进行响应）</w:t>
      </w:r>
    </w:p>
    <w:p w14:paraId="3D1402A2">
      <w:pPr>
        <w:spacing w:after="120" w:line="480" w:lineRule="auto"/>
        <w:rPr>
          <w:rFonts w:hAnsi="宋体" w:cs="宋体"/>
          <w:b/>
          <w:szCs w:val="24"/>
          <w:highlight w:val="none"/>
        </w:rPr>
      </w:pPr>
    </w:p>
    <w:p w14:paraId="43B5C509">
      <w:pPr>
        <w:spacing w:after="120"/>
        <w:rPr>
          <w:rFonts w:hAnsi="宋体" w:cs="宋体"/>
          <w:b/>
          <w:szCs w:val="24"/>
          <w:highlight w:val="none"/>
        </w:rPr>
      </w:pPr>
    </w:p>
    <w:p w14:paraId="2F54CF59">
      <w:pPr>
        <w:spacing w:after="120"/>
        <w:rPr>
          <w:rFonts w:hAnsi="宋体" w:cs="宋体"/>
          <w:b/>
          <w:szCs w:val="24"/>
          <w:highlight w:val="none"/>
        </w:rPr>
      </w:pPr>
    </w:p>
    <w:p w14:paraId="63A36471">
      <w:pPr>
        <w:spacing w:after="120"/>
        <w:rPr>
          <w:rFonts w:hAnsi="宋体" w:cs="宋体"/>
          <w:b/>
          <w:szCs w:val="24"/>
          <w:highlight w:val="none"/>
        </w:rPr>
      </w:pPr>
    </w:p>
    <w:p w14:paraId="0E513E76">
      <w:pPr>
        <w:rPr>
          <w:rFonts w:hAnsi="宋体" w:cs="宋体"/>
          <w:b/>
          <w:bCs/>
          <w:sz w:val="32"/>
          <w:szCs w:val="32"/>
          <w:highlight w:val="none"/>
        </w:rPr>
      </w:pPr>
      <w:r>
        <w:rPr>
          <w:rFonts w:hint="eastAsia" w:hAnsi="宋体" w:cs="宋体"/>
          <w:b/>
          <w:szCs w:val="24"/>
          <w:highlight w:val="none"/>
        </w:rPr>
        <w:br w:type="page"/>
      </w:r>
      <w:bookmarkStart w:id="199" w:name="_Toc21284"/>
      <w:bookmarkStart w:id="200" w:name="_Toc1379"/>
      <w:bookmarkStart w:id="201" w:name="_Toc23455"/>
      <w:bookmarkStart w:id="202" w:name="_Toc9218"/>
      <w:bookmarkStart w:id="203" w:name="_Toc2621"/>
      <w:bookmarkStart w:id="204" w:name="_Toc5662"/>
      <w:bookmarkStart w:id="205" w:name="_Toc8845"/>
      <w:bookmarkStart w:id="206" w:name="_Toc31151"/>
      <w:bookmarkStart w:id="207" w:name="_Toc15265"/>
    </w:p>
    <w:p w14:paraId="5DD5EE8F">
      <w:pPr>
        <w:ind w:firstLine="161" w:firstLineChars="50"/>
        <w:jc w:val="center"/>
        <w:outlineLvl w:val="1"/>
        <w:rPr>
          <w:rFonts w:hAnsi="宋体" w:cs="宋体"/>
          <w:sz w:val="32"/>
          <w:szCs w:val="32"/>
          <w:highlight w:val="none"/>
        </w:rPr>
      </w:pPr>
      <w:bookmarkStart w:id="208" w:name="_Toc7510"/>
      <w:r>
        <w:rPr>
          <w:rFonts w:hint="eastAsia" w:hAnsi="宋体" w:cs="宋体"/>
          <w:b/>
          <w:bCs/>
          <w:sz w:val="32"/>
          <w:szCs w:val="32"/>
          <w:highlight w:val="none"/>
        </w:rPr>
        <w:t>四、</w:t>
      </w:r>
      <w:bookmarkEnd w:id="199"/>
      <w:bookmarkEnd w:id="200"/>
      <w:bookmarkEnd w:id="201"/>
      <w:bookmarkEnd w:id="202"/>
      <w:bookmarkEnd w:id="203"/>
      <w:r>
        <w:rPr>
          <w:rFonts w:hint="eastAsia" w:hAnsi="宋体" w:cs="宋体"/>
          <w:b/>
          <w:bCs/>
          <w:sz w:val="32"/>
          <w:szCs w:val="32"/>
          <w:highlight w:val="none"/>
        </w:rPr>
        <w:t>商务条款偏离表</w:t>
      </w:r>
      <w:bookmarkEnd w:id="204"/>
      <w:bookmarkEnd w:id="205"/>
      <w:bookmarkEnd w:id="206"/>
      <w:bookmarkEnd w:id="207"/>
      <w:bookmarkEnd w:id="208"/>
    </w:p>
    <w:p w14:paraId="732DDEE7">
      <w:pPr>
        <w:pStyle w:val="20"/>
        <w:widowControl w:val="0"/>
        <w:spacing w:before="0" w:beforeAutospacing="0" w:after="0" w:afterAutospacing="0"/>
        <w:jc w:val="both"/>
        <w:rPr>
          <w:rFonts w:cs="宋体"/>
          <w:highlight w:val="none"/>
        </w:rPr>
      </w:pPr>
    </w:p>
    <w:p w14:paraId="41CD46E5">
      <w:pPr>
        <w:pStyle w:val="20"/>
        <w:widowControl w:val="0"/>
        <w:spacing w:before="156" w:beforeLines="50" w:beforeAutospacing="0" w:after="156" w:afterLines="50" w:afterAutospacing="0" w:line="360" w:lineRule="auto"/>
        <w:rPr>
          <w:rFonts w:cs="宋体"/>
          <w:highlight w:val="none"/>
        </w:rPr>
      </w:pPr>
      <w:r>
        <w:rPr>
          <w:rFonts w:hint="eastAsia" w:cs="宋体"/>
          <w:highlight w:val="none"/>
        </w:rPr>
        <w:t>项目编号：</w:t>
      </w:r>
    </w:p>
    <w:p w14:paraId="7B258625">
      <w:pPr>
        <w:pStyle w:val="20"/>
        <w:widowControl w:val="0"/>
        <w:spacing w:before="156" w:beforeLines="50" w:beforeAutospacing="0" w:after="156" w:afterLines="50" w:afterAutospacing="0" w:line="360" w:lineRule="auto"/>
        <w:rPr>
          <w:rFonts w:cs="宋体"/>
          <w:highlight w:val="none"/>
        </w:rPr>
      </w:pPr>
      <w:r>
        <w:rPr>
          <w:rFonts w:hint="eastAsia" w:cs="宋体"/>
          <w:highlight w:val="none"/>
        </w:rPr>
        <w:t>项目名称：</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04D2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69983A2A">
            <w:pPr>
              <w:pStyle w:val="20"/>
              <w:widowControl w:val="0"/>
              <w:spacing w:before="0" w:beforeAutospacing="0" w:after="0" w:afterAutospacing="0" w:line="360" w:lineRule="auto"/>
              <w:jc w:val="center"/>
              <w:rPr>
                <w:rFonts w:cs="宋体"/>
                <w:highlight w:val="none"/>
              </w:rPr>
            </w:pPr>
            <w:r>
              <w:rPr>
                <w:rFonts w:hint="eastAsia" w:cs="宋体"/>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0FFC5FDC">
            <w:pPr>
              <w:pStyle w:val="20"/>
              <w:widowControl w:val="0"/>
              <w:spacing w:before="0" w:beforeAutospacing="0" w:after="0" w:afterAutospacing="0" w:line="360" w:lineRule="auto"/>
              <w:jc w:val="center"/>
              <w:rPr>
                <w:rFonts w:cs="宋体"/>
                <w:highlight w:val="none"/>
              </w:rPr>
            </w:pPr>
            <w:r>
              <w:rPr>
                <w:rFonts w:hint="eastAsia" w:cs="宋体"/>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vAlign w:val="center"/>
          </w:tcPr>
          <w:p w14:paraId="5FF64566">
            <w:pPr>
              <w:pStyle w:val="20"/>
              <w:widowControl w:val="0"/>
              <w:spacing w:before="0" w:beforeAutospacing="0" w:after="0" w:afterAutospacing="0" w:line="360" w:lineRule="auto"/>
              <w:jc w:val="center"/>
              <w:rPr>
                <w:rFonts w:cs="宋体"/>
                <w:highlight w:val="none"/>
              </w:rPr>
            </w:pPr>
            <w:r>
              <w:rPr>
                <w:rFonts w:hint="eastAsia" w:cs="宋体"/>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vAlign w:val="center"/>
          </w:tcPr>
          <w:p w14:paraId="05D14907">
            <w:pPr>
              <w:pStyle w:val="20"/>
              <w:widowControl w:val="0"/>
              <w:spacing w:before="0" w:beforeAutospacing="0" w:after="0" w:afterAutospacing="0" w:line="360" w:lineRule="auto"/>
              <w:jc w:val="center"/>
              <w:rPr>
                <w:rFonts w:cs="宋体"/>
                <w:highlight w:val="none"/>
              </w:rPr>
            </w:pPr>
            <w:r>
              <w:rPr>
                <w:rFonts w:hint="eastAsia" w:cs="宋体"/>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48EB4565">
            <w:pPr>
              <w:pStyle w:val="20"/>
              <w:widowControl w:val="0"/>
              <w:spacing w:before="0" w:beforeAutospacing="0" w:after="0" w:afterAutospacing="0" w:line="360" w:lineRule="auto"/>
              <w:jc w:val="center"/>
              <w:rPr>
                <w:rFonts w:cs="宋体"/>
                <w:highlight w:val="none"/>
              </w:rPr>
            </w:pPr>
            <w:r>
              <w:rPr>
                <w:rFonts w:hint="eastAsia" w:cs="宋体"/>
                <w:highlight w:val="none"/>
              </w:rPr>
              <w:t>说明</w:t>
            </w:r>
          </w:p>
        </w:tc>
      </w:tr>
      <w:tr w14:paraId="3657C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79D8042">
            <w:pPr>
              <w:pStyle w:val="20"/>
              <w:widowControl w:val="0"/>
              <w:spacing w:before="0" w:beforeAutospacing="0" w:after="0" w:afterAutospacing="0" w:line="360" w:lineRule="auto"/>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404E0DB6">
            <w:pPr>
              <w:pStyle w:val="20"/>
              <w:widowControl w:val="0"/>
              <w:spacing w:before="0" w:beforeAutospacing="0" w:after="0" w:afterAutospacing="0" w:line="360" w:lineRule="auto"/>
              <w:ind w:firstLine="480" w:firstLineChars="200"/>
              <w:jc w:val="center"/>
              <w:rPr>
                <w:rFonts w:cs="宋体"/>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0D70DFA1">
            <w:pPr>
              <w:pStyle w:val="20"/>
              <w:widowControl w:val="0"/>
              <w:spacing w:before="0" w:beforeAutospacing="0" w:after="0" w:afterAutospacing="0" w:line="360" w:lineRule="auto"/>
              <w:ind w:firstLine="480" w:firstLineChars="200"/>
              <w:jc w:val="center"/>
              <w:rPr>
                <w:rFonts w:cs="宋体"/>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E3FD52B">
            <w:pPr>
              <w:pStyle w:val="20"/>
              <w:widowControl w:val="0"/>
              <w:spacing w:before="0" w:beforeAutospacing="0" w:after="0" w:afterAutospacing="0" w:line="360" w:lineRule="auto"/>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1E19682">
            <w:pPr>
              <w:pStyle w:val="20"/>
              <w:widowControl w:val="0"/>
              <w:spacing w:before="0" w:beforeAutospacing="0" w:after="0" w:afterAutospacing="0" w:line="360" w:lineRule="auto"/>
              <w:ind w:firstLine="480" w:firstLineChars="200"/>
              <w:jc w:val="center"/>
              <w:rPr>
                <w:rFonts w:cs="宋体"/>
                <w:highlight w:val="none"/>
              </w:rPr>
            </w:pPr>
          </w:p>
        </w:tc>
      </w:tr>
      <w:tr w14:paraId="4DBAD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FCAE18E">
            <w:pPr>
              <w:pStyle w:val="20"/>
              <w:widowControl w:val="0"/>
              <w:spacing w:before="0" w:beforeAutospacing="0" w:after="0" w:afterAutospacing="0" w:line="360" w:lineRule="auto"/>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53BFE80">
            <w:pPr>
              <w:pStyle w:val="20"/>
              <w:widowControl w:val="0"/>
              <w:spacing w:before="0" w:beforeAutospacing="0" w:after="0" w:afterAutospacing="0" w:line="360" w:lineRule="auto"/>
              <w:ind w:firstLine="480" w:firstLineChars="200"/>
              <w:jc w:val="center"/>
              <w:rPr>
                <w:rFonts w:cs="宋体"/>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699F15EA">
            <w:pPr>
              <w:pStyle w:val="20"/>
              <w:widowControl w:val="0"/>
              <w:spacing w:before="0" w:beforeAutospacing="0" w:after="0" w:afterAutospacing="0" w:line="360" w:lineRule="auto"/>
              <w:ind w:firstLine="480" w:firstLineChars="200"/>
              <w:jc w:val="center"/>
              <w:rPr>
                <w:rFonts w:cs="宋体"/>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1718B2AA">
            <w:pPr>
              <w:pStyle w:val="20"/>
              <w:widowControl w:val="0"/>
              <w:spacing w:before="0" w:beforeAutospacing="0" w:after="0" w:afterAutospacing="0" w:line="360" w:lineRule="auto"/>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298AD284">
            <w:pPr>
              <w:pStyle w:val="20"/>
              <w:widowControl w:val="0"/>
              <w:spacing w:before="0" w:beforeAutospacing="0" w:after="0" w:afterAutospacing="0" w:line="360" w:lineRule="auto"/>
              <w:ind w:firstLine="480" w:firstLineChars="200"/>
              <w:jc w:val="center"/>
              <w:rPr>
                <w:rFonts w:cs="宋体"/>
                <w:highlight w:val="none"/>
              </w:rPr>
            </w:pPr>
          </w:p>
        </w:tc>
      </w:tr>
      <w:tr w14:paraId="5BE6A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32EC7E0">
            <w:pPr>
              <w:pStyle w:val="20"/>
              <w:widowControl w:val="0"/>
              <w:spacing w:before="0" w:beforeAutospacing="0" w:after="0" w:afterAutospacing="0" w:line="360" w:lineRule="auto"/>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4B69300">
            <w:pPr>
              <w:pStyle w:val="20"/>
              <w:widowControl w:val="0"/>
              <w:spacing w:before="0" w:beforeAutospacing="0" w:after="0" w:afterAutospacing="0" w:line="360" w:lineRule="auto"/>
              <w:ind w:firstLine="480" w:firstLineChars="200"/>
              <w:jc w:val="center"/>
              <w:rPr>
                <w:rFonts w:cs="宋体"/>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6B322A6F">
            <w:pPr>
              <w:pStyle w:val="20"/>
              <w:widowControl w:val="0"/>
              <w:spacing w:before="0" w:beforeAutospacing="0" w:after="0" w:afterAutospacing="0" w:line="360" w:lineRule="auto"/>
              <w:ind w:firstLine="480" w:firstLineChars="200"/>
              <w:jc w:val="center"/>
              <w:rPr>
                <w:rFonts w:cs="宋体"/>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E92D071">
            <w:pPr>
              <w:pStyle w:val="20"/>
              <w:widowControl w:val="0"/>
              <w:spacing w:before="0" w:beforeAutospacing="0" w:after="0" w:afterAutospacing="0" w:line="360" w:lineRule="auto"/>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1538373">
            <w:pPr>
              <w:pStyle w:val="20"/>
              <w:widowControl w:val="0"/>
              <w:spacing w:before="0" w:beforeAutospacing="0" w:after="0" w:afterAutospacing="0" w:line="360" w:lineRule="auto"/>
              <w:ind w:firstLine="480" w:firstLineChars="200"/>
              <w:jc w:val="center"/>
              <w:rPr>
                <w:rFonts w:cs="宋体"/>
                <w:highlight w:val="none"/>
              </w:rPr>
            </w:pPr>
          </w:p>
        </w:tc>
      </w:tr>
      <w:tr w14:paraId="0A114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3B3F7DA8">
            <w:pPr>
              <w:pStyle w:val="20"/>
              <w:widowControl w:val="0"/>
              <w:spacing w:before="0" w:beforeAutospacing="0" w:after="0" w:afterAutospacing="0" w:line="360" w:lineRule="auto"/>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DC4751E">
            <w:pPr>
              <w:pStyle w:val="20"/>
              <w:widowControl w:val="0"/>
              <w:spacing w:before="0" w:beforeAutospacing="0" w:after="0" w:afterAutospacing="0" w:line="360" w:lineRule="auto"/>
              <w:ind w:firstLine="480" w:firstLineChars="200"/>
              <w:jc w:val="center"/>
              <w:rPr>
                <w:rFonts w:cs="宋体"/>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44CDC6A1">
            <w:pPr>
              <w:pStyle w:val="20"/>
              <w:widowControl w:val="0"/>
              <w:spacing w:before="0" w:beforeAutospacing="0" w:after="0" w:afterAutospacing="0" w:line="360" w:lineRule="auto"/>
              <w:ind w:firstLine="480" w:firstLineChars="200"/>
              <w:jc w:val="center"/>
              <w:rPr>
                <w:rFonts w:cs="宋体"/>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2549FA50">
            <w:pPr>
              <w:pStyle w:val="20"/>
              <w:widowControl w:val="0"/>
              <w:spacing w:before="0" w:beforeAutospacing="0" w:after="0" w:afterAutospacing="0" w:line="360" w:lineRule="auto"/>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22149127">
            <w:pPr>
              <w:pStyle w:val="20"/>
              <w:widowControl w:val="0"/>
              <w:spacing w:before="0" w:beforeAutospacing="0" w:after="0" w:afterAutospacing="0" w:line="360" w:lineRule="auto"/>
              <w:ind w:firstLine="480" w:firstLineChars="200"/>
              <w:jc w:val="center"/>
              <w:rPr>
                <w:rFonts w:cs="宋体"/>
                <w:highlight w:val="none"/>
              </w:rPr>
            </w:pPr>
          </w:p>
        </w:tc>
      </w:tr>
      <w:tr w14:paraId="05D8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2E795E7">
            <w:pPr>
              <w:pStyle w:val="20"/>
              <w:widowControl w:val="0"/>
              <w:spacing w:before="0" w:beforeAutospacing="0" w:after="0" w:afterAutospacing="0" w:line="360" w:lineRule="auto"/>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96EAFD6">
            <w:pPr>
              <w:pStyle w:val="20"/>
              <w:widowControl w:val="0"/>
              <w:spacing w:before="0" w:beforeAutospacing="0" w:after="0" w:afterAutospacing="0" w:line="360" w:lineRule="auto"/>
              <w:ind w:firstLine="480" w:firstLineChars="200"/>
              <w:jc w:val="center"/>
              <w:rPr>
                <w:rFonts w:cs="宋体"/>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465C7451">
            <w:pPr>
              <w:pStyle w:val="20"/>
              <w:widowControl w:val="0"/>
              <w:spacing w:before="0" w:beforeAutospacing="0" w:after="0" w:afterAutospacing="0" w:line="360" w:lineRule="auto"/>
              <w:ind w:firstLine="480" w:firstLineChars="200"/>
              <w:jc w:val="center"/>
              <w:rPr>
                <w:rFonts w:cs="宋体"/>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63E71D84">
            <w:pPr>
              <w:pStyle w:val="20"/>
              <w:widowControl w:val="0"/>
              <w:spacing w:before="0" w:beforeAutospacing="0" w:after="0" w:afterAutospacing="0" w:line="360" w:lineRule="auto"/>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46445D8">
            <w:pPr>
              <w:pStyle w:val="20"/>
              <w:widowControl w:val="0"/>
              <w:spacing w:before="0" w:beforeAutospacing="0" w:after="0" w:afterAutospacing="0" w:line="360" w:lineRule="auto"/>
              <w:ind w:firstLine="480" w:firstLineChars="200"/>
              <w:jc w:val="center"/>
              <w:rPr>
                <w:rFonts w:cs="宋体"/>
                <w:highlight w:val="none"/>
              </w:rPr>
            </w:pPr>
          </w:p>
        </w:tc>
      </w:tr>
      <w:tr w14:paraId="50F72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1D257CA">
            <w:pPr>
              <w:pStyle w:val="20"/>
              <w:widowControl w:val="0"/>
              <w:spacing w:before="0" w:beforeAutospacing="0" w:after="0" w:afterAutospacing="0" w:line="360" w:lineRule="auto"/>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D7EC2C4">
            <w:pPr>
              <w:pStyle w:val="20"/>
              <w:widowControl w:val="0"/>
              <w:spacing w:before="0" w:beforeAutospacing="0" w:after="0" w:afterAutospacing="0" w:line="360" w:lineRule="auto"/>
              <w:ind w:firstLine="480" w:firstLineChars="200"/>
              <w:jc w:val="center"/>
              <w:rPr>
                <w:rFonts w:cs="宋体"/>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53029FA3">
            <w:pPr>
              <w:pStyle w:val="20"/>
              <w:widowControl w:val="0"/>
              <w:spacing w:before="0" w:beforeAutospacing="0" w:after="0" w:afterAutospacing="0" w:line="360" w:lineRule="auto"/>
              <w:ind w:firstLine="480" w:firstLineChars="200"/>
              <w:jc w:val="center"/>
              <w:rPr>
                <w:rFonts w:cs="宋体"/>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26B3002A">
            <w:pPr>
              <w:pStyle w:val="20"/>
              <w:widowControl w:val="0"/>
              <w:spacing w:before="0" w:beforeAutospacing="0" w:after="0" w:afterAutospacing="0" w:line="360" w:lineRule="auto"/>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C1A1DD4">
            <w:pPr>
              <w:pStyle w:val="20"/>
              <w:widowControl w:val="0"/>
              <w:spacing w:before="0" w:beforeAutospacing="0" w:after="0" w:afterAutospacing="0" w:line="360" w:lineRule="auto"/>
              <w:ind w:firstLine="480" w:firstLineChars="200"/>
              <w:jc w:val="center"/>
              <w:rPr>
                <w:rFonts w:cs="宋体"/>
                <w:highlight w:val="none"/>
              </w:rPr>
            </w:pPr>
          </w:p>
        </w:tc>
      </w:tr>
      <w:tr w14:paraId="52A43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35B8031C">
            <w:pPr>
              <w:pStyle w:val="20"/>
              <w:widowControl w:val="0"/>
              <w:spacing w:before="0" w:beforeAutospacing="0" w:after="0" w:afterAutospacing="0" w:line="360" w:lineRule="auto"/>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F5C196B">
            <w:pPr>
              <w:pStyle w:val="20"/>
              <w:widowControl w:val="0"/>
              <w:spacing w:before="0" w:beforeAutospacing="0" w:after="0" w:afterAutospacing="0" w:line="360" w:lineRule="auto"/>
              <w:ind w:firstLine="480" w:firstLineChars="200"/>
              <w:jc w:val="center"/>
              <w:rPr>
                <w:rFonts w:cs="宋体"/>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B480C51">
            <w:pPr>
              <w:pStyle w:val="20"/>
              <w:widowControl w:val="0"/>
              <w:spacing w:before="0" w:beforeAutospacing="0" w:after="0" w:afterAutospacing="0" w:line="360" w:lineRule="auto"/>
              <w:ind w:firstLine="480" w:firstLineChars="200"/>
              <w:jc w:val="center"/>
              <w:rPr>
                <w:rFonts w:cs="宋体"/>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560D4F60">
            <w:pPr>
              <w:pStyle w:val="20"/>
              <w:widowControl w:val="0"/>
              <w:spacing w:before="0" w:beforeAutospacing="0" w:after="0" w:afterAutospacing="0" w:line="360" w:lineRule="auto"/>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7AAE872">
            <w:pPr>
              <w:pStyle w:val="20"/>
              <w:widowControl w:val="0"/>
              <w:spacing w:before="0" w:beforeAutospacing="0" w:after="0" w:afterAutospacing="0" w:line="360" w:lineRule="auto"/>
              <w:ind w:firstLine="480" w:firstLineChars="200"/>
              <w:jc w:val="center"/>
              <w:rPr>
                <w:rFonts w:cs="宋体"/>
                <w:highlight w:val="none"/>
              </w:rPr>
            </w:pPr>
          </w:p>
        </w:tc>
      </w:tr>
    </w:tbl>
    <w:p w14:paraId="01DFBF2B">
      <w:pPr>
        <w:pStyle w:val="20"/>
        <w:widowControl w:val="0"/>
        <w:spacing w:before="0" w:beforeAutospacing="0" w:after="0" w:afterAutospacing="0" w:line="360" w:lineRule="auto"/>
        <w:rPr>
          <w:rFonts w:cs="宋体"/>
          <w:highlight w:val="none"/>
        </w:rPr>
      </w:pPr>
      <w:r>
        <w:rPr>
          <w:rFonts w:hint="eastAsia" w:cs="宋体"/>
          <w:highlight w:val="none"/>
        </w:rPr>
        <w:t>说明：</w:t>
      </w:r>
    </w:p>
    <w:p w14:paraId="7FB57E81">
      <w:pPr>
        <w:pStyle w:val="20"/>
        <w:widowControl w:val="0"/>
        <w:spacing w:before="0" w:beforeAutospacing="0" w:after="0" w:afterAutospacing="0" w:line="360" w:lineRule="auto"/>
        <w:ind w:firstLine="480" w:firstLineChars="200"/>
        <w:jc w:val="both"/>
        <w:rPr>
          <w:rFonts w:cs="宋体"/>
          <w:highlight w:val="none"/>
        </w:rPr>
      </w:pPr>
      <w:r>
        <w:rPr>
          <w:rFonts w:hint="eastAsia" w:cs="宋体"/>
          <w:highlight w:val="none"/>
        </w:rPr>
        <w:t>1.参照第四章合同条款要求内容进行响应。</w:t>
      </w:r>
    </w:p>
    <w:p w14:paraId="70C3094F">
      <w:pPr>
        <w:pStyle w:val="20"/>
        <w:widowControl w:val="0"/>
        <w:spacing w:before="0" w:beforeAutospacing="0" w:after="0" w:afterAutospacing="0" w:line="360" w:lineRule="auto"/>
        <w:ind w:firstLine="480" w:firstLineChars="200"/>
        <w:jc w:val="both"/>
        <w:rPr>
          <w:rFonts w:cs="宋体"/>
          <w:highlight w:val="none"/>
        </w:rPr>
      </w:pPr>
      <w:r>
        <w:rPr>
          <w:rFonts w:hint="eastAsia" w:cs="宋体"/>
          <w:highlight w:val="none"/>
        </w:rPr>
        <w:t>2.本表只填写磋商响应文件中与磋商文件有偏离（包括正偏离和负偏离）的内容，磋商响应文件中商务响应与磋商文件要求完全一致的，不用在此表中列出，但必须提交空白表。</w:t>
      </w:r>
    </w:p>
    <w:p w14:paraId="05490294">
      <w:pPr>
        <w:pStyle w:val="20"/>
        <w:widowControl w:val="0"/>
        <w:spacing w:before="0" w:beforeAutospacing="0" w:after="0" w:afterAutospacing="0" w:line="360" w:lineRule="auto"/>
        <w:ind w:firstLine="480" w:firstLineChars="200"/>
        <w:rPr>
          <w:rFonts w:cs="宋体"/>
          <w:highlight w:val="none"/>
        </w:rPr>
      </w:pPr>
      <w:r>
        <w:rPr>
          <w:rFonts w:hint="eastAsia" w:cs="宋体"/>
          <w:highlight w:val="none"/>
        </w:rPr>
        <w:t>3.供应商必须据实填写，不得虚假响应，否则将取消其磋商或成交资格，并按有关规定进处罚。</w:t>
      </w:r>
    </w:p>
    <w:p w14:paraId="5CF4AA60">
      <w:pPr>
        <w:pStyle w:val="20"/>
        <w:widowControl w:val="0"/>
        <w:spacing w:before="0" w:beforeAutospacing="0" w:after="0" w:afterAutospacing="0" w:line="360" w:lineRule="auto"/>
        <w:ind w:firstLine="480" w:firstLineChars="200"/>
        <w:jc w:val="center"/>
        <w:rPr>
          <w:rFonts w:cs="宋体"/>
          <w:highlight w:val="none"/>
        </w:rPr>
      </w:pPr>
    </w:p>
    <w:p w14:paraId="31391113">
      <w:pPr>
        <w:pStyle w:val="20"/>
        <w:widowControl w:val="0"/>
        <w:spacing w:before="0" w:beforeAutospacing="0" w:after="0" w:afterAutospacing="0" w:line="360" w:lineRule="auto"/>
        <w:ind w:firstLine="480" w:firstLineChars="200"/>
        <w:rPr>
          <w:rFonts w:cs="宋体"/>
          <w:highlight w:val="none"/>
        </w:rPr>
      </w:pPr>
      <w:r>
        <w:rPr>
          <w:rFonts w:hint="eastAsia" w:cs="宋体"/>
          <w:highlight w:val="none"/>
        </w:rPr>
        <w:t>供应商名称：</w:t>
      </w:r>
      <w:r>
        <w:rPr>
          <w:rFonts w:hint="eastAsia" w:cs="宋体"/>
          <w:highlight w:val="none"/>
          <w:u w:val="single"/>
        </w:rPr>
        <w:t xml:space="preserve">                       </w:t>
      </w:r>
      <w:r>
        <w:rPr>
          <w:rFonts w:hint="eastAsia" w:cs="宋体"/>
          <w:highlight w:val="none"/>
        </w:rPr>
        <w:t>（单位公章）</w:t>
      </w:r>
    </w:p>
    <w:p w14:paraId="7550C477">
      <w:pPr>
        <w:pStyle w:val="20"/>
        <w:widowControl w:val="0"/>
        <w:spacing w:before="0" w:beforeAutospacing="0" w:after="0" w:afterAutospacing="0" w:line="360" w:lineRule="auto"/>
        <w:ind w:firstLine="480" w:firstLineChars="200"/>
        <w:jc w:val="center"/>
        <w:rPr>
          <w:rFonts w:cs="宋体"/>
          <w:highlight w:val="none"/>
        </w:rPr>
      </w:pPr>
    </w:p>
    <w:p w14:paraId="368DFCC5">
      <w:pPr>
        <w:spacing w:line="360" w:lineRule="auto"/>
        <w:ind w:firstLine="480" w:firstLineChars="200"/>
        <w:rPr>
          <w:rFonts w:hAnsi="宋体" w:cs="宋体"/>
          <w:szCs w:val="24"/>
          <w:highlight w:val="none"/>
        </w:rPr>
      </w:pPr>
      <w:r>
        <w:rPr>
          <w:rFonts w:hint="eastAsia" w:hAnsi="宋体" w:cs="宋体"/>
          <w:highlight w:val="none"/>
        </w:rPr>
        <w:t>法定代表人或委托代理人：</w:t>
      </w:r>
      <w:r>
        <w:rPr>
          <w:rFonts w:hint="eastAsia" w:hAnsi="宋体" w:cs="宋体"/>
          <w:highlight w:val="none"/>
          <w:u w:val="single"/>
        </w:rPr>
        <w:t xml:space="preserve">              </w:t>
      </w:r>
      <w:r>
        <w:rPr>
          <w:rFonts w:hint="eastAsia" w:hAnsi="宋体" w:cs="宋体"/>
          <w:highlight w:val="none"/>
        </w:rPr>
        <w:t xml:space="preserve">（签字或盖章） </w:t>
      </w:r>
    </w:p>
    <w:bookmarkEnd w:id="193"/>
    <w:p w14:paraId="70ABC03E">
      <w:pPr>
        <w:spacing w:line="360" w:lineRule="auto"/>
        <w:jc w:val="center"/>
        <w:outlineLvl w:val="1"/>
        <w:rPr>
          <w:rFonts w:hAnsi="宋体" w:cs="宋体"/>
          <w:b/>
          <w:bCs/>
          <w:sz w:val="30"/>
          <w:szCs w:val="30"/>
          <w:highlight w:val="none"/>
        </w:rPr>
      </w:pPr>
      <w:bookmarkStart w:id="209" w:name="_Toc363474033"/>
      <w:bookmarkStart w:id="210" w:name="_Toc403077656"/>
      <w:r>
        <w:rPr>
          <w:rFonts w:hint="eastAsia" w:hAnsi="宋体" w:cs="宋体"/>
          <w:b/>
          <w:bCs/>
          <w:sz w:val="30"/>
          <w:szCs w:val="30"/>
          <w:highlight w:val="none"/>
        </w:rPr>
        <w:br w:type="page"/>
      </w:r>
      <w:bookmarkStart w:id="211" w:name="_Toc27470"/>
      <w:bookmarkStart w:id="212" w:name="_Toc1542"/>
      <w:bookmarkStart w:id="213" w:name="_Toc2495"/>
      <w:bookmarkStart w:id="214" w:name="_Toc3386"/>
      <w:bookmarkStart w:id="215" w:name="_Toc3253"/>
      <w:r>
        <w:rPr>
          <w:rFonts w:hint="eastAsia" w:hAnsi="宋体" w:cs="宋体"/>
          <w:b/>
          <w:bCs/>
          <w:sz w:val="30"/>
          <w:szCs w:val="30"/>
          <w:highlight w:val="none"/>
        </w:rPr>
        <w:t>五、陕西省政府采购供应商拒绝政府采购领域商业贿赂承诺书</w:t>
      </w:r>
      <w:bookmarkEnd w:id="209"/>
      <w:bookmarkEnd w:id="210"/>
      <w:bookmarkEnd w:id="211"/>
      <w:bookmarkEnd w:id="212"/>
      <w:bookmarkEnd w:id="213"/>
      <w:bookmarkEnd w:id="214"/>
      <w:bookmarkEnd w:id="215"/>
    </w:p>
    <w:p w14:paraId="07FB044A">
      <w:pPr>
        <w:spacing w:line="600" w:lineRule="exact"/>
        <w:ind w:firstLine="480" w:firstLineChars="200"/>
        <w:jc w:val="left"/>
        <w:rPr>
          <w:rFonts w:hAnsi="宋体" w:cs="宋体"/>
          <w:szCs w:val="24"/>
          <w:highlight w:val="none"/>
        </w:rPr>
      </w:pPr>
      <w:r>
        <w:rPr>
          <w:rFonts w:hint="eastAsia" w:hAnsi="宋体" w:cs="宋体"/>
          <w:szCs w:val="24"/>
          <w:highlight w:val="none"/>
        </w:rPr>
        <w:t>为响应党中央、国务院关于治理政府采购领域商业贿赂行为的号召，我公司在此庄严承诺：</w:t>
      </w:r>
    </w:p>
    <w:p w14:paraId="43E02CD3">
      <w:pPr>
        <w:spacing w:line="600" w:lineRule="exact"/>
        <w:ind w:firstLine="480" w:firstLineChars="200"/>
        <w:jc w:val="left"/>
        <w:rPr>
          <w:rFonts w:hAnsi="宋体" w:cs="宋体"/>
          <w:szCs w:val="24"/>
          <w:highlight w:val="none"/>
        </w:rPr>
      </w:pPr>
      <w:r>
        <w:rPr>
          <w:rFonts w:hint="eastAsia" w:hAnsi="宋体" w:cs="宋体"/>
          <w:szCs w:val="24"/>
          <w:highlight w:val="none"/>
        </w:rPr>
        <w:t>1、在参与政府采购活动中遵纪守法、诚信经营、公平竞标。</w:t>
      </w:r>
    </w:p>
    <w:p w14:paraId="0A247F5C">
      <w:pPr>
        <w:spacing w:line="600" w:lineRule="exact"/>
        <w:ind w:firstLine="480" w:firstLineChars="200"/>
        <w:jc w:val="left"/>
        <w:rPr>
          <w:rFonts w:hAnsi="宋体" w:cs="宋体"/>
          <w:szCs w:val="24"/>
          <w:highlight w:val="none"/>
        </w:rPr>
      </w:pPr>
      <w:r>
        <w:rPr>
          <w:rFonts w:hint="eastAsia" w:hAnsi="宋体" w:cs="宋体"/>
          <w:szCs w:val="24"/>
          <w:highlight w:val="none"/>
        </w:rPr>
        <w:t>2、不向政府采购人、采购代理机构和政府采购评审专家进行任何形式的商业贿赂以谋取交易机会。</w:t>
      </w:r>
    </w:p>
    <w:p w14:paraId="3536A4B2">
      <w:pPr>
        <w:spacing w:line="600" w:lineRule="exact"/>
        <w:ind w:firstLine="480" w:firstLineChars="200"/>
        <w:jc w:val="left"/>
        <w:rPr>
          <w:rFonts w:hAnsi="宋体" w:cs="宋体"/>
          <w:szCs w:val="24"/>
          <w:highlight w:val="none"/>
        </w:rPr>
      </w:pPr>
      <w:r>
        <w:rPr>
          <w:rFonts w:hint="eastAsia" w:hAnsi="宋体" w:cs="宋体"/>
          <w:szCs w:val="24"/>
          <w:highlight w:val="none"/>
        </w:rPr>
        <w:t>3、不向政府采购代理机构和采购人提供虚假资质文件或采用虚假应标方式参与政府采购市场竞争并谋取中标、成交。</w:t>
      </w:r>
    </w:p>
    <w:p w14:paraId="0C5903F4">
      <w:pPr>
        <w:spacing w:line="600" w:lineRule="exact"/>
        <w:ind w:firstLine="480" w:firstLineChars="200"/>
        <w:jc w:val="left"/>
        <w:rPr>
          <w:rFonts w:hAnsi="宋体" w:cs="宋体"/>
          <w:szCs w:val="24"/>
          <w:highlight w:val="none"/>
        </w:rPr>
      </w:pPr>
      <w:r>
        <w:rPr>
          <w:rFonts w:hint="eastAsia" w:hAnsi="宋体" w:cs="宋体"/>
          <w:szCs w:val="24"/>
          <w:highlight w:val="none"/>
        </w:rPr>
        <w:t>4、不采取“围标、陪标”等商业欺诈手段获得政府采购定单。</w:t>
      </w:r>
    </w:p>
    <w:p w14:paraId="4DF95F76">
      <w:pPr>
        <w:spacing w:line="600" w:lineRule="exact"/>
        <w:ind w:firstLine="480" w:firstLineChars="200"/>
        <w:jc w:val="left"/>
        <w:rPr>
          <w:rFonts w:hAnsi="宋体" w:cs="宋体"/>
          <w:szCs w:val="24"/>
          <w:highlight w:val="none"/>
        </w:rPr>
      </w:pPr>
      <w:r>
        <w:rPr>
          <w:rFonts w:hint="eastAsia" w:hAnsi="宋体" w:cs="宋体"/>
          <w:szCs w:val="24"/>
          <w:highlight w:val="none"/>
        </w:rPr>
        <w:t>5、不采取不正当手段诋毁、排挤其他供应商。</w:t>
      </w:r>
    </w:p>
    <w:p w14:paraId="72D01811">
      <w:pPr>
        <w:spacing w:line="600" w:lineRule="exact"/>
        <w:ind w:firstLine="480" w:firstLineChars="200"/>
        <w:jc w:val="left"/>
        <w:rPr>
          <w:rFonts w:hAnsi="宋体" w:cs="宋体"/>
          <w:szCs w:val="24"/>
          <w:highlight w:val="none"/>
        </w:rPr>
      </w:pPr>
      <w:r>
        <w:rPr>
          <w:rFonts w:hint="eastAsia" w:hAnsi="宋体" w:cs="宋体"/>
          <w:szCs w:val="24"/>
          <w:highlight w:val="none"/>
        </w:rPr>
        <w:t>6、不在提供商品和服务时“偷梁换柱、以次充好”损害采购人的合法权益。</w:t>
      </w:r>
    </w:p>
    <w:p w14:paraId="34383B17">
      <w:pPr>
        <w:spacing w:line="600" w:lineRule="exact"/>
        <w:ind w:firstLine="480" w:firstLineChars="200"/>
        <w:jc w:val="left"/>
        <w:rPr>
          <w:rFonts w:hAnsi="宋体" w:cs="宋体"/>
          <w:szCs w:val="24"/>
          <w:highlight w:val="none"/>
        </w:rPr>
      </w:pPr>
      <w:r>
        <w:rPr>
          <w:rFonts w:hint="eastAsia" w:hAnsi="宋体" w:cs="宋体"/>
          <w:szCs w:val="24"/>
          <w:highlight w:val="none"/>
        </w:rPr>
        <w:t>7、不与采购人、采购代理机构政府采购评审专家或其它供应商恶意串通，进行质疑和投诉，维护政府采购市场秩序。</w:t>
      </w:r>
    </w:p>
    <w:p w14:paraId="6C3F9F05">
      <w:pPr>
        <w:spacing w:line="600" w:lineRule="exact"/>
        <w:ind w:firstLine="480" w:firstLineChars="200"/>
        <w:jc w:val="left"/>
        <w:rPr>
          <w:rFonts w:hAnsi="宋体" w:cs="宋体"/>
          <w:szCs w:val="24"/>
          <w:highlight w:val="none"/>
        </w:rPr>
      </w:pPr>
      <w:r>
        <w:rPr>
          <w:rFonts w:hint="eastAsia" w:hAnsi="宋体" w:cs="宋体"/>
          <w:szCs w:val="24"/>
          <w:highlight w:val="none"/>
        </w:rPr>
        <w:t>8、尊重和接受政府采购监督管理部门的监督和政府采购代理机构招标采购要求，承担因违约行为给采购人造成的损失。</w:t>
      </w:r>
    </w:p>
    <w:p w14:paraId="5FC46F76">
      <w:pPr>
        <w:spacing w:line="600" w:lineRule="exact"/>
        <w:ind w:left="761" w:leftChars="267" w:hanging="120" w:hangingChars="50"/>
        <w:jc w:val="left"/>
        <w:rPr>
          <w:rFonts w:hAnsi="宋体" w:cs="宋体"/>
          <w:szCs w:val="24"/>
          <w:highlight w:val="none"/>
        </w:rPr>
      </w:pPr>
      <w:r>
        <w:rPr>
          <w:rFonts w:hint="eastAsia" w:hAnsi="宋体" w:cs="宋体"/>
          <w:szCs w:val="24"/>
          <w:highlight w:val="none"/>
        </w:rPr>
        <w:t>9、不发生其他有悖于政府采购公开、公平、公正和诚信原则的行为。</w:t>
      </w:r>
    </w:p>
    <w:p w14:paraId="0DF4EA65">
      <w:pPr>
        <w:spacing w:line="600" w:lineRule="exact"/>
        <w:ind w:firstLine="720" w:firstLineChars="300"/>
        <w:jc w:val="left"/>
        <w:rPr>
          <w:rFonts w:hAnsi="宋体" w:cs="宋体"/>
          <w:szCs w:val="24"/>
          <w:highlight w:val="none"/>
        </w:rPr>
      </w:pPr>
      <w:r>
        <w:rPr>
          <w:rFonts w:hint="eastAsia" w:hAnsi="宋体" w:cs="宋体"/>
          <w:szCs w:val="24"/>
          <w:highlight w:val="none"/>
        </w:rPr>
        <w:t>承诺单位（盖章）：</w:t>
      </w:r>
    </w:p>
    <w:p w14:paraId="07D0E715">
      <w:pPr>
        <w:spacing w:line="600" w:lineRule="exact"/>
        <w:ind w:firstLine="720" w:firstLineChars="300"/>
        <w:jc w:val="left"/>
        <w:rPr>
          <w:rFonts w:hAnsi="宋体" w:cs="宋体"/>
          <w:szCs w:val="24"/>
          <w:highlight w:val="none"/>
        </w:rPr>
      </w:pPr>
      <w:r>
        <w:rPr>
          <w:rFonts w:hint="eastAsia" w:hAnsi="宋体" w:cs="宋体"/>
          <w:szCs w:val="24"/>
          <w:highlight w:val="none"/>
        </w:rPr>
        <w:t>全权代表（签字或盖章）：</w:t>
      </w:r>
    </w:p>
    <w:p w14:paraId="743DC18E">
      <w:pPr>
        <w:spacing w:line="600" w:lineRule="exact"/>
        <w:ind w:firstLine="720" w:firstLineChars="300"/>
        <w:rPr>
          <w:rFonts w:hAnsi="宋体" w:cs="宋体"/>
          <w:szCs w:val="24"/>
          <w:highlight w:val="none"/>
        </w:rPr>
      </w:pPr>
      <w:r>
        <w:rPr>
          <w:rFonts w:hint="eastAsia" w:hAnsi="宋体" w:cs="宋体"/>
          <w:szCs w:val="24"/>
          <w:highlight w:val="none"/>
        </w:rPr>
        <w:t xml:space="preserve">地    址：                                                       </w:t>
      </w:r>
    </w:p>
    <w:p w14:paraId="003755E2">
      <w:pPr>
        <w:spacing w:line="600" w:lineRule="exact"/>
        <w:ind w:firstLine="720" w:firstLineChars="300"/>
        <w:rPr>
          <w:rFonts w:hAnsi="宋体" w:cs="宋体"/>
          <w:szCs w:val="24"/>
          <w:highlight w:val="none"/>
        </w:rPr>
      </w:pPr>
      <w:r>
        <w:rPr>
          <w:rFonts w:hint="eastAsia" w:hAnsi="宋体" w:cs="宋体"/>
          <w:szCs w:val="24"/>
          <w:highlight w:val="none"/>
        </w:rPr>
        <w:t xml:space="preserve">邮    编：                                                       </w:t>
      </w:r>
    </w:p>
    <w:p w14:paraId="65E664CA">
      <w:pPr>
        <w:spacing w:line="600" w:lineRule="exact"/>
        <w:ind w:left="240" w:leftChars="100" w:firstLine="480" w:firstLineChars="200"/>
        <w:rPr>
          <w:rFonts w:hAnsi="宋体" w:cs="宋体"/>
          <w:szCs w:val="24"/>
          <w:highlight w:val="none"/>
        </w:rPr>
      </w:pPr>
      <w:r>
        <w:rPr>
          <w:rFonts w:hint="eastAsia" w:hAnsi="宋体" w:cs="宋体"/>
          <w:szCs w:val="24"/>
          <w:highlight w:val="none"/>
        </w:rPr>
        <w:t xml:space="preserve">电    话：                                                       </w:t>
      </w:r>
    </w:p>
    <w:p w14:paraId="52B5813C">
      <w:pPr>
        <w:spacing w:line="600" w:lineRule="exact"/>
        <w:ind w:left="754" w:leftChars="314" w:firstLine="5280" w:firstLineChars="2200"/>
        <w:jc w:val="left"/>
        <w:rPr>
          <w:rFonts w:hAnsi="宋体" w:cs="宋体"/>
          <w:szCs w:val="24"/>
          <w:highlight w:val="none"/>
        </w:rPr>
      </w:pPr>
      <w:r>
        <w:rPr>
          <w:rFonts w:hint="eastAsia" w:hAnsi="宋体" w:cs="宋体"/>
          <w:szCs w:val="24"/>
          <w:highlight w:val="none"/>
        </w:rPr>
        <w:t>年    月    日</w:t>
      </w:r>
    </w:p>
    <w:p w14:paraId="182BB995">
      <w:pPr>
        <w:jc w:val="center"/>
        <w:outlineLvl w:val="1"/>
        <w:rPr>
          <w:rFonts w:hAnsi="宋体" w:cs="宋体"/>
          <w:highlight w:val="none"/>
          <w:shd w:val="clear" w:color="auto" w:fill="FFFFFF"/>
        </w:rPr>
      </w:pPr>
      <w:bookmarkStart w:id="216" w:name="_Toc363474034"/>
      <w:bookmarkStart w:id="217" w:name="_Toc403077657"/>
      <w:r>
        <w:rPr>
          <w:rFonts w:hint="eastAsia" w:hAnsi="宋体" w:cs="宋体"/>
          <w:b/>
          <w:bCs/>
          <w:sz w:val="30"/>
          <w:szCs w:val="30"/>
          <w:highlight w:val="none"/>
        </w:rPr>
        <w:br w:type="page"/>
      </w:r>
      <w:bookmarkStart w:id="218" w:name="_Toc32016"/>
      <w:bookmarkStart w:id="219" w:name="_Toc7842"/>
      <w:bookmarkStart w:id="220" w:name="_Toc6273"/>
      <w:bookmarkStart w:id="221" w:name="_Toc29285"/>
      <w:bookmarkStart w:id="222" w:name="_Toc21622"/>
      <w:r>
        <w:rPr>
          <w:rFonts w:hint="eastAsia" w:hAnsi="宋体" w:cs="宋体"/>
          <w:b/>
          <w:bCs/>
          <w:sz w:val="30"/>
          <w:szCs w:val="30"/>
          <w:highlight w:val="none"/>
        </w:rPr>
        <w:t>六、特定资格证明文件</w:t>
      </w:r>
      <w:bookmarkEnd w:id="216"/>
      <w:bookmarkEnd w:id="217"/>
      <w:bookmarkEnd w:id="218"/>
      <w:bookmarkEnd w:id="219"/>
      <w:bookmarkEnd w:id="220"/>
      <w:bookmarkEnd w:id="221"/>
      <w:bookmarkEnd w:id="222"/>
    </w:p>
    <w:p w14:paraId="607B5A59">
      <w:pPr>
        <w:spacing w:line="560" w:lineRule="exact"/>
        <w:rPr>
          <w:rFonts w:hAnsi="宋体" w:cs="宋体"/>
          <w:b/>
          <w:bCs/>
          <w:sz w:val="28"/>
          <w:szCs w:val="28"/>
          <w:highlight w:val="none"/>
        </w:rPr>
      </w:pPr>
      <w:r>
        <w:rPr>
          <w:rFonts w:hint="eastAsia" w:hAnsi="宋体" w:cs="宋体"/>
          <w:b/>
          <w:bCs/>
          <w:sz w:val="28"/>
          <w:szCs w:val="28"/>
          <w:highlight w:val="none"/>
        </w:rPr>
        <w:t>后附相关格式：</w:t>
      </w:r>
    </w:p>
    <w:p w14:paraId="774604A3">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（1）具有独立承担民事责任能力的法人、其他组织或自然人，并出具合法有效的统一社会信用代码的营业执照或事业单位法人证书等国家规定的相关证明，自然人参与的提供其身份证明；</w:t>
      </w:r>
    </w:p>
    <w:p w14:paraId="542CC82A">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（2）提供法定代表人授权书(附法定代表人、被授权人身份证复印件及授权代表本单位证明(养老保险缴纳证明)，(法定代表人直接参加投标，须提供法定代表人身份证明及身份证复印件)；</w:t>
      </w:r>
      <w:r>
        <w:rPr>
          <w:rFonts w:ascii="宋体" w:hAnsi="宋体" w:eastAsia="宋体" w:cs="宋体"/>
          <w:sz w:val="24"/>
          <w:szCs w:val="24"/>
          <w:highlight w:val="none"/>
          <w:lang w:eastAsia="zh-CN"/>
        </w:rPr>
        <w:br w:type="textWrapping"/>
      </w:r>
      <w:r>
        <w:rPr>
          <w:rFonts w:ascii="宋体" w:hAnsi="宋体" w:eastAsia="宋体" w:cs="宋体"/>
          <w:sz w:val="24"/>
          <w:szCs w:val="24"/>
          <w:highlight w:val="none"/>
          <w:lang w:eastAsia="zh-CN"/>
        </w:rPr>
        <w:t xml:space="preserve">  </w:t>
      </w:r>
      <w:r>
        <w:rPr>
          <w:rFonts w:ascii="宋体" w:hAnsi="宋体" w:eastAsia="宋体" w:cs="宋体"/>
          <w:sz w:val="24"/>
          <w:szCs w:val="24"/>
          <w:highlight w:val="none"/>
        </w:rPr>
        <w:t>（3）财务状况报告：提供2025年度经审计的财务报告（包括“四表⼀注”，即资产负债表、利润表、现⾦流量表、所有者权益变动表及其附注，符合《中⼩企业划型标准规定》的⼩型企业按照《⼩企业会计准则》执⾏。成⽴时间⾄提交投标⽂件截⽌时间不⾜⼀年的可提供成⽴后任意时段的资产负债表），审计报告须具有注册会计师⾏业统⼀监管平台（http://acc.mof.gov.cn）赋予的验证码；或提供其开标前三个⽉内基本开户银⾏出具的资信证明；</w:t>
      </w:r>
    </w:p>
    <w:p w14:paraId="5507E346">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（4）税收缴纳证明：</w:t>
      </w:r>
      <w:r>
        <w:rPr>
          <w:rFonts w:ascii="宋体" w:hAnsi="宋体" w:eastAsia="宋体" w:cs="宋体"/>
          <w:sz w:val="24"/>
          <w:szCs w:val="24"/>
          <w:highlight w:val="none"/>
          <w:lang w:eastAsia="zh-CN"/>
        </w:rPr>
        <w:t>供应商</w:t>
      </w:r>
      <w:r>
        <w:rPr>
          <w:rFonts w:ascii="宋体" w:hAnsi="宋体" w:eastAsia="宋体" w:cs="宋体"/>
          <w:sz w:val="24"/>
          <w:szCs w:val="24"/>
          <w:highlight w:val="none"/>
        </w:rPr>
        <w:t>须提供</w:t>
      </w:r>
      <w:r>
        <w:rPr>
          <w:rFonts w:ascii="宋体" w:hAnsi="宋体" w:eastAsia="宋体" w:cs="宋体"/>
          <w:sz w:val="24"/>
          <w:szCs w:val="24"/>
          <w:highlight w:val="none"/>
          <w:lang w:eastAsia="zh-CN"/>
        </w:rPr>
        <w:t>响应</w:t>
      </w:r>
      <w:r>
        <w:rPr>
          <w:rFonts w:ascii="宋体" w:hAnsi="宋体" w:eastAsia="宋体" w:cs="宋体"/>
          <w:sz w:val="24"/>
          <w:szCs w:val="24"/>
          <w:highlight w:val="none"/>
        </w:rPr>
        <w:t>截止时间前12个月内任意1个月的纳税证明或完税证明（任意税种），依法免税的单位应提供相关证明材料；</w:t>
      </w:r>
    </w:p>
    <w:p w14:paraId="2AA6E37A">
      <w:pPr>
        <w:pStyle w:val="48"/>
        <w:spacing w:line="360" w:lineRule="auto"/>
        <w:ind w:firstLine="480" w:firstLineChars="200"/>
        <w:outlineLvl w:val="3"/>
        <w:rPr>
          <w:rFonts w:hint="default" w:ascii="宋体" w:hAnsi="宋体" w:eastAsia="宋体" w:cs="宋体"/>
          <w:sz w:val="24"/>
          <w:szCs w:val="24"/>
          <w:highlight w:val="none"/>
          <w:lang w:eastAsia="zh-CN"/>
        </w:rPr>
      </w:pPr>
      <w:r>
        <w:rPr>
          <w:rFonts w:ascii="宋体" w:hAnsi="宋体" w:eastAsia="宋体" w:cs="宋体"/>
          <w:sz w:val="24"/>
          <w:szCs w:val="24"/>
          <w:highlight w:val="none"/>
        </w:rPr>
        <w:t>（5）社会保障资金缴纳证明：</w:t>
      </w:r>
      <w:r>
        <w:rPr>
          <w:rFonts w:ascii="宋体" w:hAnsi="宋体" w:eastAsia="宋体" w:cs="宋体"/>
          <w:sz w:val="24"/>
          <w:szCs w:val="24"/>
          <w:highlight w:val="none"/>
          <w:lang w:eastAsia="zh-CN"/>
        </w:rPr>
        <w:t>供应商</w:t>
      </w:r>
      <w:r>
        <w:rPr>
          <w:rFonts w:ascii="宋体" w:hAnsi="宋体" w:eastAsia="宋体" w:cs="宋体"/>
          <w:sz w:val="24"/>
          <w:szCs w:val="24"/>
          <w:highlight w:val="none"/>
        </w:rPr>
        <w:t>须提供</w:t>
      </w:r>
      <w:r>
        <w:rPr>
          <w:rFonts w:ascii="宋体" w:hAnsi="宋体" w:eastAsia="宋体" w:cs="宋体"/>
          <w:sz w:val="24"/>
          <w:szCs w:val="24"/>
          <w:highlight w:val="none"/>
          <w:lang w:eastAsia="zh-CN"/>
        </w:rPr>
        <w:t>响应</w:t>
      </w:r>
      <w:r>
        <w:rPr>
          <w:rFonts w:ascii="宋体" w:hAnsi="宋体" w:eastAsia="宋体" w:cs="宋体"/>
          <w:sz w:val="24"/>
          <w:szCs w:val="24"/>
          <w:highlight w:val="none"/>
        </w:rPr>
        <w:t>截止时间前12个月内任意1个月的社会保障资金缴纳记录（专用收据或社会保险缴纳清单），复印件加盖投标人公章。依法免税或不需要缴纳社会保障资金的投标人，应提供相应文件证明其依法免税或不需要缴纳社会保障资金</w:t>
      </w:r>
      <w:r>
        <w:rPr>
          <w:rFonts w:ascii="宋体" w:hAnsi="宋体" w:eastAsia="宋体" w:cs="宋体"/>
          <w:sz w:val="24"/>
          <w:szCs w:val="24"/>
          <w:highlight w:val="none"/>
          <w:lang w:eastAsia="zh-CN"/>
        </w:rPr>
        <w:t>；</w:t>
      </w:r>
    </w:p>
    <w:p w14:paraId="5F717A23">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6</w:t>
      </w:r>
      <w:r>
        <w:rPr>
          <w:rFonts w:ascii="宋体" w:hAnsi="宋体" w:eastAsia="宋体" w:cs="宋体"/>
          <w:sz w:val="24"/>
          <w:szCs w:val="24"/>
          <w:highlight w:val="none"/>
        </w:rPr>
        <w:t>）提供具有履行本合同所必需的设备和专业技术能力的说明及承诺书；</w:t>
      </w:r>
    </w:p>
    <w:p w14:paraId="1F67811C">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7</w:t>
      </w:r>
      <w:r>
        <w:rPr>
          <w:rFonts w:ascii="宋体" w:hAnsi="宋体" w:eastAsia="宋体" w:cs="宋体"/>
          <w:sz w:val="24"/>
          <w:szCs w:val="24"/>
          <w:highlight w:val="none"/>
        </w:rPr>
        <w:t>）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60D0D454">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8</w:t>
      </w:r>
      <w:r>
        <w:rPr>
          <w:rFonts w:ascii="宋体" w:hAnsi="宋体" w:eastAsia="宋体" w:cs="宋体"/>
          <w:sz w:val="24"/>
          <w:szCs w:val="24"/>
          <w:highlight w:val="none"/>
        </w:rPr>
        <w:t>）参加政府采购活动前3年内，在经营活动中没有重大违法记录的书面声明；</w:t>
      </w:r>
    </w:p>
    <w:p w14:paraId="466E8D75">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cs="宋体"/>
          <w:sz w:val="24"/>
          <w:szCs w:val="24"/>
          <w:highlight w:val="none"/>
          <w:lang w:eastAsia="zh-CN"/>
        </w:rPr>
        <w:t>9</w:t>
      </w:r>
      <w:r>
        <w:rPr>
          <w:rFonts w:ascii="宋体" w:hAnsi="宋体" w:eastAsia="宋体" w:cs="宋体"/>
          <w:sz w:val="24"/>
          <w:szCs w:val="24"/>
          <w:highlight w:val="none"/>
        </w:rPr>
        <w:t>）控股管理关系：提供直接控股和管理关系清单。若与其他供应商存在单位负责人为同一人或者存在直接控股、管理关系的，则投标无效；</w:t>
      </w:r>
    </w:p>
    <w:p w14:paraId="1A358D69">
      <w:pPr>
        <w:pStyle w:val="48"/>
        <w:spacing w:line="360" w:lineRule="auto"/>
        <w:ind w:firstLine="480" w:firstLineChars="200"/>
        <w:outlineLvl w:val="3"/>
        <w:rPr>
          <w:rFonts w:hint="default" w:ascii="宋体" w:hAnsi="宋体" w:eastAsia="宋体" w:cs="宋体"/>
          <w:sz w:val="24"/>
          <w:szCs w:val="24"/>
          <w:highlight w:val="none"/>
          <w:lang w:eastAsia="zh-CN"/>
        </w:rPr>
      </w:pPr>
      <w:r>
        <w:rPr>
          <w:rFonts w:ascii="宋体" w:hAnsi="宋体" w:eastAsia="宋体" w:cs="宋体"/>
          <w:sz w:val="24"/>
          <w:szCs w:val="24"/>
          <w:highlight w:val="none"/>
          <w:lang w:eastAsia="zh-CN"/>
        </w:rPr>
        <w:t>（10）本项目为专门面向中小企业采购；</w:t>
      </w:r>
    </w:p>
    <w:p w14:paraId="137EA8B3">
      <w:pPr>
        <w:pStyle w:val="48"/>
        <w:spacing w:line="360" w:lineRule="auto"/>
        <w:ind w:firstLine="480" w:firstLineChars="200"/>
        <w:outlineLvl w:val="3"/>
        <w:rPr>
          <w:rFonts w:hint="default" w:ascii="宋体" w:hAnsi="宋体" w:eastAsia="宋体" w:cs="宋体"/>
          <w:sz w:val="24"/>
          <w:szCs w:val="24"/>
          <w:highlight w:val="none"/>
        </w:rPr>
      </w:pPr>
      <w:r>
        <w:rPr>
          <w:rFonts w:ascii="宋体" w:hAnsi="宋体" w:eastAsia="宋体" w:cs="宋体"/>
          <w:sz w:val="24"/>
          <w:szCs w:val="24"/>
          <w:highlight w:val="none"/>
          <w:lang w:eastAsia="zh-CN"/>
        </w:rPr>
        <w:t>（11）</w:t>
      </w:r>
      <w:r>
        <w:rPr>
          <w:rFonts w:ascii="宋体" w:hAnsi="宋体" w:eastAsia="宋体" w:cs="宋体"/>
          <w:sz w:val="24"/>
          <w:szCs w:val="24"/>
          <w:highlight w:val="none"/>
        </w:rPr>
        <w:t>本项目不接受联合体</w:t>
      </w:r>
      <w:r>
        <w:rPr>
          <w:rFonts w:ascii="宋体" w:hAnsi="宋体" w:eastAsia="宋体" w:cs="宋体"/>
          <w:sz w:val="24"/>
          <w:szCs w:val="24"/>
          <w:highlight w:val="none"/>
          <w:lang w:eastAsia="zh-CN"/>
        </w:rPr>
        <w:t>磋商</w:t>
      </w:r>
      <w:r>
        <w:rPr>
          <w:rFonts w:ascii="宋体" w:hAnsi="宋体" w:eastAsia="宋体" w:cs="宋体"/>
          <w:sz w:val="24"/>
          <w:szCs w:val="24"/>
          <w:highlight w:val="none"/>
        </w:rPr>
        <w:t>（提供承诺书）。</w:t>
      </w:r>
    </w:p>
    <w:p w14:paraId="7D1A8D4D">
      <w:pPr>
        <w:jc w:val="center"/>
        <w:outlineLvl w:val="1"/>
        <w:rPr>
          <w:rFonts w:hAnsi="宋体" w:cs="宋体"/>
          <w:b/>
          <w:bCs/>
          <w:sz w:val="30"/>
          <w:szCs w:val="30"/>
          <w:highlight w:val="none"/>
        </w:rPr>
      </w:pPr>
      <w:r>
        <w:rPr>
          <w:rFonts w:hint="eastAsia" w:hAnsi="宋体" w:cs="宋体"/>
          <w:szCs w:val="24"/>
          <w:highlight w:val="none"/>
        </w:rPr>
        <w:br w:type="page"/>
      </w:r>
      <w:bookmarkStart w:id="223" w:name="_Toc6853"/>
      <w:bookmarkStart w:id="224" w:name="_Toc12717"/>
      <w:bookmarkStart w:id="225" w:name="_Toc19114"/>
      <w:bookmarkStart w:id="226" w:name="_Toc3824"/>
      <w:bookmarkStart w:id="227" w:name="_Toc23859"/>
      <w:r>
        <w:rPr>
          <w:rFonts w:hint="eastAsia" w:hAnsi="宋体" w:cs="宋体"/>
          <w:b/>
          <w:bCs/>
          <w:sz w:val="30"/>
          <w:szCs w:val="30"/>
          <w:highlight w:val="none"/>
        </w:rPr>
        <w:t>七、其它</w:t>
      </w:r>
      <w:bookmarkEnd w:id="223"/>
      <w:bookmarkEnd w:id="224"/>
      <w:bookmarkEnd w:id="225"/>
      <w:bookmarkEnd w:id="226"/>
      <w:bookmarkEnd w:id="227"/>
    </w:p>
    <w:p w14:paraId="7EABBE9A">
      <w:pPr>
        <w:pStyle w:val="10"/>
        <w:rPr>
          <w:rFonts w:ascii="宋体" w:hAnsi="宋体" w:cs="宋体"/>
          <w:sz w:val="24"/>
          <w:szCs w:val="24"/>
          <w:highlight w:val="none"/>
        </w:rPr>
      </w:pPr>
      <w:r>
        <w:rPr>
          <w:rFonts w:hint="eastAsia" w:ascii="宋体" w:hAnsi="宋体" w:cs="宋体"/>
          <w:sz w:val="24"/>
          <w:szCs w:val="24"/>
          <w:highlight w:val="none"/>
        </w:rPr>
        <w:t>1、依据竞争性磋商文件要求，供应商认为有必要说明的其他内容</w:t>
      </w:r>
    </w:p>
    <w:p w14:paraId="1DBC0F10">
      <w:pPr>
        <w:pStyle w:val="10"/>
        <w:rPr>
          <w:rFonts w:ascii="宋体" w:hAnsi="宋体" w:cs="宋体"/>
          <w:sz w:val="24"/>
          <w:szCs w:val="24"/>
          <w:highlight w:val="none"/>
        </w:rPr>
      </w:pPr>
      <w:r>
        <w:rPr>
          <w:rFonts w:hint="eastAsia" w:ascii="宋体" w:hAnsi="宋体" w:cs="宋体"/>
          <w:sz w:val="24"/>
          <w:szCs w:val="24"/>
          <w:highlight w:val="none"/>
        </w:rPr>
        <w:t>2、其他可以证明供应商实力的文件。</w:t>
      </w:r>
    </w:p>
    <w:p w14:paraId="529A88B1">
      <w:pPr>
        <w:spacing w:before="156" w:beforeLines="50" w:after="156" w:afterLines="50" w:line="500" w:lineRule="exact"/>
        <w:outlineLvl w:val="2"/>
        <w:rPr>
          <w:rFonts w:hAnsi="宋体" w:cs="宋体"/>
          <w:b/>
          <w:sz w:val="28"/>
          <w:szCs w:val="28"/>
          <w:highlight w:val="none"/>
        </w:rPr>
      </w:pPr>
      <w:r>
        <w:rPr>
          <w:rFonts w:hint="eastAsia" w:hAnsi="宋体" w:cs="宋体"/>
          <w:szCs w:val="24"/>
          <w:highlight w:val="none"/>
        </w:rPr>
        <w:br w:type="page"/>
      </w:r>
      <w:bookmarkStart w:id="228" w:name="_Toc28753"/>
      <w:bookmarkStart w:id="229" w:name="_Toc6055"/>
      <w:bookmarkStart w:id="230" w:name="_Toc29387"/>
      <w:bookmarkStart w:id="231" w:name="_Toc17513"/>
      <w:r>
        <w:rPr>
          <w:rFonts w:hint="eastAsia" w:hAnsi="宋体" w:cs="宋体"/>
          <w:b/>
          <w:sz w:val="28"/>
          <w:szCs w:val="28"/>
          <w:highlight w:val="none"/>
        </w:rPr>
        <w:t>附件1：法定代表人身份证明授权书</w:t>
      </w:r>
      <w:bookmarkEnd w:id="228"/>
      <w:bookmarkEnd w:id="229"/>
      <w:bookmarkEnd w:id="230"/>
      <w:bookmarkEnd w:id="231"/>
    </w:p>
    <w:p w14:paraId="0D7ACAC4">
      <w:pPr>
        <w:rPr>
          <w:rFonts w:hAnsi="宋体" w:cs="宋体"/>
          <w:b/>
          <w:bCs/>
          <w:szCs w:val="32"/>
          <w:highlight w:val="none"/>
        </w:rPr>
      </w:pPr>
      <w:r>
        <w:rPr>
          <w:rFonts w:hint="eastAsia" w:hAnsi="宋体" w:cs="宋体"/>
          <w:highlight w:val="none"/>
        </w:rPr>
        <w:t xml:space="preserve">      </w:t>
      </w:r>
      <w:r>
        <w:rPr>
          <w:rFonts w:hint="eastAsia" w:hAnsi="宋体" w:cs="宋体"/>
          <w:szCs w:val="32"/>
          <w:highlight w:val="none"/>
        </w:rPr>
        <w:t xml:space="preserve"> </w:t>
      </w:r>
    </w:p>
    <w:p w14:paraId="3AC17A39">
      <w:pPr>
        <w:pStyle w:val="10"/>
        <w:jc w:val="center"/>
        <w:rPr>
          <w:rFonts w:ascii="宋体" w:hAnsi="宋体" w:cs="宋体"/>
          <w:b/>
          <w:bCs/>
          <w:sz w:val="32"/>
          <w:szCs w:val="32"/>
          <w:highlight w:val="none"/>
        </w:rPr>
      </w:pPr>
      <w:r>
        <w:rPr>
          <w:rFonts w:hint="eastAsia" w:ascii="宋体" w:hAnsi="宋体" w:cs="宋体"/>
          <w:b/>
          <w:bCs/>
          <w:sz w:val="32"/>
          <w:szCs w:val="32"/>
          <w:highlight w:val="none"/>
        </w:rPr>
        <w:t>法定代表人身份证明</w:t>
      </w:r>
    </w:p>
    <w:p w14:paraId="2B7ABF50">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供应商名称：</w:t>
      </w:r>
      <w:r>
        <w:rPr>
          <w:rFonts w:hint="eastAsia" w:hAnsi="宋体" w:cs="宋体"/>
          <w:highlight w:val="none"/>
          <w:u w:val="single"/>
        </w:rPr>
        <w:t xml:space="preserve">                  </w:t>
      </w:r>
      <w:r>
        <w:rPr>
          <w:rFonts w:hint="eastAsia" w:hAnsi="宋体" w:cs="宋体"/>
          <w:highlight w:val="none"/>
        </w:rPr>
        <w:t xml:space="preserve"> </w:t>
      </w:r>
    </w:p>
    <w:p w14:paraId="1F0A3B67">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统一社会信用代码：</w:t>
      </w:r>
      <w:r>
        <w:rPr>
          <w:rFonts w:hint="eastAsia" w:hAnsi="宋体" w:cs="宋体"/>
          <w:highlight w:val="none"/>
          <w:u w:val="single"/>
        </w:rPr>
        <w:t xml:space="preserve">                </w:t>
      </w:r>
    </w:p>
    <w:p w14:paraId="6695A200">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注册地址：</w:t>
      </w:r>
      <w:r>
        <w:rPr>
          <w:rFonts w:hint="eastAsia" w:hAnsi="宋体" w:cs="宋体"/>
          <w:highlight w:val="none"/>
          <w:u w:val="single"/>
        </w:rPr>
        <w:t xml:space="preserve">                        </w:t>
      </w:r>
    </w:p>
    <w:p w14:paraId="1574D410">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成立时间：</w:t>
      </w:r>
      <w:r>
        <w:rPr>
          <w:rFonts w:hint="eastAsia" w:hAnsi="宋体" w:cs="宋体"/>
          <w:highlight w:val="none"/>
          <w:u w:val="single"/>
        </w:rPr>
        <w:t xml:space="preserve">    </w:t>
      </w:r>
      <w:r>
        <w:rPr>
          <w:rFonts w:hint="eastAsia" w:hAnsi="宋体" w:cs="宋体"/>
          <w:highlight w:val="none"/>
        </w:rPr>
        <w:t xml:space="preserve">年 </w:t>
      </w:r>
      <w:r>
        <w:rPr>
          <w:rFonts w:hint="eastAsia" w:hAnsi="宋体" w:cs="宋体"/>
          <w:highlight w:val="none"/>
          <w:u w:val="single"/>
        </w:rPr>
        <w:t xml:space="preserve">  </w:t>
      </w:r>
      <w:r>
        <w:rPr>
          <w:rFonts w:hint="eastAsia" w:hAnsi="宋体" w:cs="宋体"/>
          <w:highlight w:val="none"/>
        </w:rPr>
        <w:t>月</w:t>
      </w:r>
      <w:r>
        <w:rPr>
          <w:rFonts w:hint="eastAsia" w:hAnsi="宋体" w:cs="宋体"/>
          <w:highlight w:val="none"/>
          <w:u w:val="single"/>
        </w:rPr>
        <w:t xml:space="preserve">  </w:t>
      </w:r>
      <w:r>
        <w:rPr>
          <w:rFonts w:hint="eastAsia" w:hAnsi="宋体" w:cs="宋体"/>
          <w:highlight w:val="none"/>
        </w:rPr>
        <w:t>日</w:t>
      </w:r>
    </w:p>
    <w:p w14:paraId="3DF8192B">
      <w:pPr>
        <w:autoSpaceDE w:val="0"/>
        <w:autoSpaceDN w:val="0"/>
        <w:adjustRightInd w:val="0"/>
        <w:snapToGrid w:val="0"/>
        <w:spacing w:before="156" w:beforeLines="50" w:line="360" w:lineRule="auto"/>
        <w:jc w:val="left"/>
        <w:rPr>
          <w:rFonts w:hAnsi="宋体" w:cs="宋体"/>
          <w:highlight w:val="none"/>
          <w:u w:val="single"/>
        </w:rPr>
      </w:pPr>
      <w:r>
        <w:rPr>
          <w:rFonts w:hint="eastAsia" w:hAnsi="宋体" w:cs="宋体"/>
          <w:highlight w:val="none"/>
        </w:rPr>
        <w:t>经营期限：</w:t>
      </w:r>
      <w:r>
        <w:rPr>
          <w:rFonts w:hint="eastAsia" w:hAnsi="宋体" w:cs="宋体"/>
          <w:highlight w:val="none"/>
          <w:u w:val="single"/>
        </w:rPr>
        <w:t xml:space="preserve">                  </w:t>
      </w:r>
    </w:p>
    <w:p w14:paraId="71EA58AA">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姓名：</w:t>
      </w:r>
      <w:r>
        <w:rPr>
          <w:rFonts w:hint="eastAsia" w:hAnsi="宋体" w:cs="宋体"/>
          <w:highlight w:val="none"/>
          <w:u w:val="single"/>
        </w:rPr>
        <w:t xml:space="preserve">      </w:t>
      </w:r>
      <w:r>
        <w:rPr>
          <w:rFonts w:hint="eastAsia" w:hAnsi="宋体" w:cs="宋体"/>
          <w:highlight w:val="none"/>
        </w:rPr>
        <w:t xml:space="preserve"> 性别：</w:t>
      </w:r>
      <w:r>
        <w:rPr>
          <w:rFonts w:hint="eastAsia" w:hAnsi="宋体" w:cs="宋体"/>
          <w:highlight w:val="none"/>
          <w:u w:val="single"/>
        </w:rPr>
        <w:t xml:space="preserve">  </w:t>
      </w:r>
      <w:r>
        <w:rPr>
          <w:rFonts w:hint="eastAsia" w:hAnsi="宋体" w:cs="宋体"/>
          <w:highlight w:val="none"/>
        </w:rPr>
        <w:t xml:space="preserve"> 年龄：</w:t>
      </w:r>
      <w:r>
        <w:rPr>
          <w:rFonts w:hint="eastAsia" w:hAnsi="宋体" w:cs="宋体"/>
          <w:highlight w:val="none"/>
          <w:u w:val="single"/>
        </w:rPr>
        <w:t xml:space="preserve">   </w:t>
      </w:r>
      <w:r>
        <w:rPr>
          <w:rFonts w:hint="eastAsia" w:hAnsi="宋体" w:cs="宋体"/>
          <w:highlight w:val="none"/>
        </w:rPr>
        <w:t xml:space="preserve"> 系</w:t>
      </w:r>
      <w:r>
        <w:rPr>
          <w:rFonts w:hint="eastAsia" w:hAnsi="宋体" w:cs="宋体"/>
          <w:highlight w:val="none"/>
          <w:u w:val="single"/>
        </w:rPr>
        <w:t xml:space="preserve">             </w:t>
      </w:r>
      <w:r>
        <w:rPr>
          <w:rFonts w:hint="eastAsia" w:hAnsi="宋体" w:cs="宋体"/>
          <w:highlight w:val="none"/>
        </w:rPr>
        <w:t>（供应商名称）的法定代表人。</w:t>
      </w:r>
    </w:p>
    <w:p w14:paraId="46586DFD">
      <w:pPr>
        <w:autoSpaceDE w:val="0"/>
        <w:autoSpaceDN w:val="0"/>
        <w:adjustRightInd w:val="0"/>
        <w:snapToGrid w:val="0"/>
        <w:spacing w:before="156" w:beforeLines="50" w:line="360" w:lineRule="auto"/>
        <w:jc w:val="left"/>
        <w:rPr>
          <w:rFonts w:hAnsi="宋体" w:cs="宋体"/>
          <w:highlight w:val="none"/>
        </w:rPr>
      </w:pPr>
      <w:r>
        <w:rPr>
          <w:rFonts w:hint="eastAsia" w:hAnsi="宋体" w:cs="宋体"/>
          <w:highlight w:val="none"/>
        </w:rPr>
        <w:t>特此证明。</w:t>
      </w:r>
    </w:p>
    <w:p w14:paraId="4980630B">
      <w:pPr>
        <w:autoSpaceDE w:val="0"/>
        <w:autoSpaceDN w:val="0"/>
        <w:adjustRightInd w:val="0"/>
        <w:snapToGrid w:val="0"/>
        <w:spacing w:before="156" w:beforeLines="50" w:line="360" w:lineRule="auto"/>
        <w:jc w:val="left"/>
        <w:rPr>
          <w:rFonts w:hAnsi="宋体" w:cs="宋体"/>
          <w:szCs w:val="21"/>
          <w:highlight w:val="none"/>
        </w:rPr>
      </w:pPr>
      <w:r>
        <w:rPr>
          <w:rFonts w:hint="eastAsia" w:hAnsi="宋体" w:cs="宋体"/>
          <w:szCs w:val="21"/>
          <w:highlight w:val="none"/>
        </w:rPr>
        <w:t>附：法定代表人身份证复印件</w:t>
      </w:r>
    </w:p>
    <w:tbl>
      <w:tblPr>
        <w:tblStyle w:val="24"/>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3F418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vAlign w:val="center"/>
          </w:tcPr>
          <w:p w14:paraId="5D64788F">
            <w:pPr>
              <w:snapToGrid w:val="0"/>
              <w:spacing w:line="480" w:lineRule="auto"/>
              <w:jc w:val="center"/>
              <w:rPr>
                <w:rFonts w:hAnsi="宋体" w:cs="宋体"/>
                <w:szCs w:val="21"/>
                <w:highlight w:val="none"/>
              </w:rPr>
            </w:pPr>
          </w:p>
          <w:p w14:paraId="7271DE70">
            <w:pPr>
              <w:snapToGrid w:val="0"/>
              <w:spacing w:line="480" w:lineRule="auto"/>
              <w:jc w:val="center"/>
              <w:rPr>
                <w:rFonts w:hAnsi="宋体" w:cs="宋体"/>
                <w:szCs w:val="21"/>
                <w:highlight w:val="none"/>
              </w:rPr>
            </w:pPr>
          </w:p>
          <w:p w14:paraId="156F5C63">
            <w:pPr>
              <w:autoSpaceDE w:val="0"/>
              <w:autoSpaceDN w:val="0"/>
              <w:adjustRightInd w:val="0"/>
              <w:snapToGrid w:val="0"/>
              <w:spacing w:before="156" w:beforeLines="50" w:line="360" w:lineRule="auto"/>
              <w:jc w:val="center"/>
              <w:rPr>
                <w:rFonts w:hAnsi="宋体" w:cs="宋体"/>
                <w:szCs w:val="21"/>
                <w:highlight w:val="none"/>
              </w:rPr>
            </w:pPr>
            <w:r>
              <w:rPr>
                <w:rFonts w:hint="eastAsia" w:hAnsi="宋体" w:cs="宋体"/>
                <w:szCs w:val="21"/>
                <w:highlight w:val="none"/>
              </w:rPr>
              <w:t>法定代表人身份证复印件粘贴处</w:t>
            </w:r>
          </w:p>
          <w:p w14:paraId="6C37F271">
            <w:pPr>
              <w:pStyle w:val="10"/>
              <w:jc w:val="center"/>
              <w:rPr>
                <w:rFonts w:ascii="宋体" w:hAnsi="宋体" w:cs="宋体"/>
                <w:highlight w:val="none"/>
              </w:rPr>
            </w:pPr>
            <w:r>
              <w:rPr>
                <w:rFonts w:hint="eastAsia" w:ascii="宋体" w:hAnsi="宋体" w:cs="宋体"/>
                <w:szCs w:val="21"/>
                <w:highlight w:val="none"/>
              </w:rPr>
              <w:t>（正反面）</w:t>
            </w:r>
          </w:p>
          <w:p w14:paraId="395CC6E5">
            <w:pPr>
              <w:snapToGrid w:val="0"/>
              <w:spacing w:line="480" w:lineRule="auto"/>
              <w:jc w:val="center"/>
              <w:rPr>
                <w:rFonts w:hAnsi="宋体" w:cs="宋体"/>
                <w:szCs w:val="21"/>
                <w:highlight w:val="none"/>
              </w:rPr>
            </w:pPr>
          </w:p>
          <w:p w14:paraId="3747241F">
            <w:pPr>
              <w:snapToGrid w:val="0"/>
              <w:spacing w:line="480" w:lineRule="auto"/>
              <w:jc w:val="center"/>
              <w:rPr>
                <w:rFonts w:hAnsi="宋体" w:cs="宋体"/>
                <w:szCs w:val="21"/>
                <w:highlight w:val="none"/>
              </w:rPr>
            </w:pPr>
          </w:p>
        </w:tc>
      </w:tr>
    </w:tbl>
    <w:p w14:paraId="4FCF53F9">
      <w:pPr>
        <w:snapToGrid w:val="0"/>
        <w:spacing w:line="480" w:lineRule="auto"/>
        <w:rPr>
          <w:rFonts w:hAnsi="宋体" w:cs="宋体"/>
          <w:szCs w:val="21"/>
          <w:highlight w:val="none"/>
        </w:rPr>
      </w:pPr>
    </w:p>
    <w:p w14:paraId="5FD556C4">
      <w:pPr>
        <w:snapToGrid w:val="0"/>
        <w:rPr>
          <w:rFonts w:hAnsi="宋体" w:cs="宋体"/>
          <w:szCs w:val="21"/>
          <w:highlight w:val="none"/>
        </w:rPr>
      </w:pPr>
    </w:p>
    <w:p w14:paraId="166E78D8">
      <w:pPr>
        <w:snapToGrid w:val="0"/>
        <w:rPr>
          <w:rFonts w:hAnsi="宋体" w:cs="宋体"/>
          <w:szCs w:val="21"/>
          <w:highlight w:val="none"/>
        </w:rPr>
      </w:pPr>
    </w:p>
    <w:p w14:paraId="271EAF91">
      <w:pPr>
        <w:snapToGrid w:val="0"/>
        <w:rPr>
          <w:rFonts w:hAnsi="宋体" w:cs="宋体"/>
          <w:szCs w:val="21"/>
          <w:highlight w:val="none"/>
        </w:rPr>
      </w:pPr>
    </w:p>
    <w:p w14:paraId="5F4210E3">
      <w:pPr>
        <w:snapToGrid w:val="0"/>
        <w:rPr>
          <w:rFonts w:hAnsi="宋体" w:cs="宋体"/>
          <w:szCs w:val="21"/>
          <w:highlight w:val="none"/>
        </w:rPr>
      </w:pPr>
    </w:p>
    <w:p w14:paraId="048EABAF">
      <w:pPr>
        <w:adjustRightInd w:val="0"/>
        <w:snapToGrid w:val="0"/>
        <w:spacing w:line="360" w:lineRule="auto"/>
        <w:rPr>
          <w:rFonts w:hAnsi="宋体" w:cs="宋体"/>
          <w:highlight w:val="none"/>
        </w:rPr>
      </w:pPr>
    </w:p>
    <w:p w14:paraId="705D1C88">
      <w:pPr>
        <w:adjustRightInd w:val="0"/>
        <w:snapToGrid w:val="0"/>
        <w:spacing w:line="360" w:lineRule="auto"/>
        <w:ind w:right="420"/>
        <w:rPr>
          <w:rFonts w:hAnsi="宋体" w:cs="宋体"/>
          <w:highlight w:val="none"/>
        </w:rPr>
      </w:pPr>
    </w:p>
    <w:p w14:paraId="3F1C83F1">
      <w:pPr>
        <w:adjustRightInd w:val="0"/>
        <w:snapToGrid w:val="0"/>
        <w:spacing w:line="360" w:lineRule="auto"/>
        <w:ind w:right="420"/>
        <w:rPr>
          <w:rFonts w:hAnsi="宋体" w:cs="宋体"/>
          <w:highlight w:val="none"/>
        </w:rPr>
      </w:pPr>
    </w:p>
    <w:p w14:paraId="43FE9C2D">
      <w:pPr>
        <w:adjustRightInd w:val="0"/>
        <w:snapToGrid w:val="0"/>
        <w:spacing w:line="360" w:lineRule="auto"/>
        <w:ind w:right="420"/>
        <w:rPr>
          <w:rFonts w:hAnsi="宋体" w:cs="宋体"/>
          <w:highlight w:val="none"/>
        </w:rPr>
      </w:pPr>
    </w:p>
    <w:p w14:paraId="19BA4C35">
      <w:pPr>
        <w:adjustRightInd w:val="0"/>
        <w:snapToGrid w:val="0"/>
        <w:spacing w:line="360" w:lineRule="auto"/>
        <w:ind w:right="420"/>
        <w:rPr>
          <w:rFonts w:hAnsi="宋体" w:cs="宋体"/>
          <w:highlight w:val="none"/>
        </w:rPr>
      </w:pPr>
    </w:p>
    <w:p w14:paraId="1B0A4946">
      <w:pPr>
        <w:adjustRightInd w:val="0"/>
        <w:snapToGrid w:val="0"/>
        <w:spacing w:line="360" w:lineRule="auto"/>
        <w:ind w:right="420"/>
        <w:rPr>
          <w:rFonts w:hAnsi="宋体" w:cs="宋体"/>
          <w:highlight w:val="none"/>
        </w:rPr>
      </w:pPr>
      <w:r>
        <w:rPr>
          <w:rFonts w:hint="eastAsia" w:hAnsi="宋体" w:cs="宋体"/>
          <w:highlight w:val="none"/>
        </w:rPr>
        <w:t>供应商名称（公章）：</w:t>
      </w:r>
    </w:p>
    <w:p w14:paraId="74A9C8DC">
      <w:pPr>
        <w:adjustRightInd w:val="0"/>
        <w:snapToGrid w:val="0"/>
        <w:spacing w:line="360" w:lineRule="auto"/>
        <w:ind w:right="420"/>
        <w:rPr>
          <w:rFonts w:hAnsi="宋体" w:cs="宋体"/>
          <w:highlight w:val="none"/>
        </w:rPr>
      </w:pPr>
      <w:r>
        <w:rPr>
          <w:rFonts w:hint="eastAsia" w:hAnsi="宋体" w:cs="宋体"/>
          <w:highlight w:val="none"/>
        </w:rPr>
        <w:t>日期：    年  月  日</w:t>
      </w:r>
    </w:p>
    <w:p w14:paraId="308B963C">
      <w:pPr>
        <w:pStyle w:val="10"/>
        <w:rPr>
          <w:rFonts w:ascii="宋体" w:hAnsi="宋体" w:cs="宋体"/>
          <w:highlight w:val="none"/>
        </w:rPr>
      </w:pPr>
    </w:p>
    <w:p w14:paraId="760F4E71">
      <w:pPr>
        <w:spacing w:line="360" w:lineRule="auto"/>
        <w:jc w:val="left"/>
        <w:rPr>
          <w:rFonts w:hAnsi="宋体" w:cs="宋体"/>
          <w:spacing w:val="4"/>
          <w:szCs w:val="24"/>
          <w:highlight w:val="none"/>
        </w:rPr>
      </w:pPr>
    </w:p>
    <w:p w14:paraId="44412C4D">
      <w:pPr>
        <w:keepNext/>
        <w:spacing w:before="312" w:beforeLines="100"/>
        <w:jc w:val="center"/>
        <w:rPr>
          <w:rFonts w:hAnsi="宋体" w:cs="宋体"/>
          <w:b/>
          <w:bCs/>
          <w:sz w:val="32"/>
          <w:szCs w:val="32"/>
          <w:highlight w:val="none"/>
        </w:rPr>
      </w:pPr>
      <w:r>
        <w:rPr>
          <w:rFonts w:hint="eastAsia" w:hAnsi="宋体" w:cs="宋体"/>
          <w:b/>
          <w:bCs/>
          <w:sz w:val="32"/>
          <w:szCs w:val="32"/>
          <w:highlight w:val="none"/>
        </w:rPr>
        <w:t>法定代表人授权书</w:t>
      </w:r>
    </w:p>
    <w:p w14:paraId="134D6B81">
      <w:pPr>
        <w:spacing w:line="500" w:lineRule="exact"/>
        <w:jc w:val="left"/>
        <w:rPr>
          <w:rFonts w:hAnsi="宋体" w:cs="宋体"/>
          <w:spacing w:val="4"/>
          <w:szCs w:val="24"/>
          <w:highlight w:val="none"/>
        </w:rPr>
      </w:pPr>
      <w:r>
        <w:rPr>
          <w:rFonts w:hint="eastAsia" w:hAnsi="宋体" w:cs="宋体"/>
          <w:spacing w:val="4"/>
          <w:szCs w:val="24"/>
          <w:highlight w:val="none"/>
        </w:rPr>
        <w:t>致：</w:t>
      </w:r>
      <w:r>
        <w:rPr>
          <w:rFonts w:hint="eastAsia" w:hAnsi="宋体" w:cs="宋体"/>
          <w:spacing w:val="4"/>
          <w:szCs w:val="24"/>
          <w:highlight w:val="none"/>
          <w:u w:val="single"/>
        </w:rPr>
        <w:t xml:space="preserve">陕西至诚项目管理集团有限公司 </w:t>
      </w:r>
    </w:p>
    <w:p w14:paraId="1C21EC10">
      <w:pPr>
        <w:spacing w:line="500" w:lineRule="exact"/>
        <w:ind w:firstLine="496" w:firstLineChars="200"/>
        <w:jc w:val="left"/>
        <w:rPr>
          <w:rFonts w:hAnsi="宋体" w:cs="宋体"/>
          <w:spacing w:val="4"/>
          <w:szCs w:val="24"/>
          <w:highlight w:val="none"/>
        </w:rPr>
      </w:pPr>
      <w:r>
        <w:rPr>
          <w:rFonts w:hint="eastAsia" w:hAnsi="宋体" w:cs="宋体"/>
          <w:spacing w:val="4"/>
          <w:szCs w:val="24"/>
          <w:highlight w:val="none"/>
          <w:u w:val="single"/>
        </w:rPr>
        <w:t>(供应商名称)</w:t>
      </w:r>
      <w:r>
        <w:rPr>
          <w:rFonts w:hint="eastAsia" w:hAnsi="宋体" w:cs="宋体"/>
          <w:spacing w:val="4"/>
          <w:szCs w:val="24"/>
          <w:highlight w:val="none"/>
        </w:rPr>
        <w:t>按中华人民共和国法律于</w:t>
      </w:r>
      <w:r>
        <w:rPr>
          <w:rFonts w:hint="eastAsia" w:hAnsi="宋体" w:cs="宋体"/>
          <w:spacing w:val="4"/>
          <w:szCs w:val="24"/>
          <w:highlight w:val="none"/>
          <w:u w:val="single"/>
        </w:rPr>
        <w:t>（  年  月  日 ）</w:t>
      </w:r>
      <w:r>
        <w:rPr>
          <w:rFonts w:hint="eastAsia" w:hAnsi="宋体" w:cs="宋体"/>
          <w:spacing w:val="4"/>
          <w:szCs w:val="24"/>
          <w:highlight w:val="none"/>
        </w:rPr>
        <w:t>成立。</w:t>
      </w:r>
      <w:r>
        <w:rPr>
          <w:rFonts w:hint="eastAsia" w:hAnsi="宋体" w:cs="宋体"/>
          <w:spacing w:val="4"/>
          <w:szCs w:val="24"/>
          <w:highlight w:val="none"/>
          <w:u w:val="single"/>
        </w:rPr>
        <w:t>(法定代表人姓名)</w:t>
      </w:r>
      <w:r>
        <w:rPr>
          <w:rFonts w:hint="eastAsia" w:hAnsi="宋体" w:cs="宋体"/>
          <w:spacing w:val="4"/>
          <w:szCs w:val="24"/>
          <w:highlight w:val="none"/>
        </w:rPr>
        <w:t>特授权</w:t>
      </w:r>
      <w:r>
        <w:rPr>
          <w:rFonts w:hint="eastAsia" w:hAnsi="宋体" w:cs="宋体"/>
          <w:spacing w:val="4"/>
          <w:szCs w:val="24"/>
          <w:highlight w:val="none"/>
          <w:u w:val="single"/>
        </w:rPr>
        <w:t xml:space="preserve">（ </w:t>
      </w:r>
      <w:r>
        <w:rPr>
          <w:rFonts w:hint="eastAsia" w:hAnsi="宋体" w:cs="宋体"/>
          <w:szCs w:val="24"/>
          <w:highlight w:val="none"/>
          <w:u w:val="single"/>
        </w:rPr>
        <w:t>授权代表</w:t>
      </w:r>
      <w:r>
        <w:rPr>
          <w:rFonts w:hint="eastAsia" w:hAnsi="宋体" w:cs="宋体"/>
          <w:spacing w:val="4"/>
          <w:szCs w:val="24"/>
          <w:highlight w:val="none"/>
          <w:u w:val="single"/>
        </w:rPr>
        <w:t>姓名 ）</w:t>
      </w:r>
      <w:r>
        <w:rPr>
          <w:rFonts w:hint="eastAsia" w:hAnsi="宋体" w:cs="宋体"/>
          <w:spacing w:val="4"/>
          <w:szCs w:val="24"/>
          <w:highlight w:val="none"/>
        </w:rPr>
        <w:t xml:space="preserve">代表我公司全权办理针对本次 </w:t>
      </w:r>
      <w:r>
        <w:rPr>
          <w:rFonts w:hint="eastAsia" w:hAnsi="宋体" w:cs="宋体"/>
          <w:spacing w:val="4"/>
          <w:szCs w:val="24"/>
          <w:highlight w:val="none"/>
          <w:u w:val="single"/>
        </w:rPr>
        <w:t>（项目编号</w:t>
      </w:r>
      <w:r>
        <w:rPr>
          <w:rFonts w:hint="eastAsia"/>
          <w:highlight w:val="none"/>
          <w:u w:val="single"/>
        </w:rPr>
        <w:t xml:space="preserve">：  </w:t>
      </w:r>
      <w:r>
        <w:rPr>
          <w:rFonts w:hint="eastAsia" w:hAnsi="宋体" w:cs="宋体"/>
          <w:spacing w:val="4"/>
          <w:szCs w:val="24"/>
          <w:highlight w:val="none"/>
          <w:u w:val="single"/>
        </w:rPr>
        <w:t xml:space="preserve"> ）</w:t>
      </w:r>
      <w:r>
        <w:rPr>
          <w:rFonts w:hint="eastAsia" w:hAnsi="宋体" w:cs="宋体"/>
          <w:spacing w:val="4"/>
          <w:szCs w:val="24"/>
          <w:highlight w:val="none"/>
        </w:rPr>
        <w:t>项目的磋商、签约等具体工作，并签署全部有关的文件、协议及合同。</w:t>
      </w:r>
    </w:p>
    <w:p w14:paraId="5C69DE21">
      <w:pPr>
        <w:spacing w:line="500" w:lineRule="exact"/>
        <w:ind w:firstLine="496" w:firstLineChars="200"/>
        <w:jc w:val="left"/>
        <w:rPr>
          <w:rFonts w:hAnsi="宋体" w:cs="宋体"/>
          <w:spacing w:val="4"/>
          <w:szCs w:val="24"/>
          <w:highlight w:val="none"/>
        </w:rPr>
      </w:pPr>
      <w:r>
        <w:rPr>
          <w:rFonts w:hint="eastAsia" w:hAnsi="宋体" w:cs="宋体"/>
          <w:spacing w:val="4"/>
          <w:szCs w:val="24"/>
          <w:highlight w:val="none"/>
        </w:rPr>
        <w:t>我公司对</w:t>
      </w:r>
      <w:r>
        <w:rPr>
          <w:rFonts w:hint="eastAsia" w:hAnsi="宋体" w:cs="宋体"/>
          <w:szCs w:val="24"/>
          <w:highlight w:val="none"/>
        </w:rPr>
        <w:t>授权代表</w:t>
      </w:r>
      <w:r>
        <w:rPr>
          <w:rFonts w:hint="eastAsia" w:hAnsi="宋体" w:cs="宋体"/>
          <w:spacing w:val="4"/>
          <w:szCs w:val="24"/>
          <w:highlight w:val="none"/>
        </w:rPr>
        <w:t>的签名负全部责任。</w:t>
      </w:r>
    </w:p>
    <w:p w14:paraId="647B7A4B">
      <w:pPr>
        <w:spacing w:line="500" w:lineRule="exact"/>
        <w:ind w:right="617" w:rightChars="257" w:firstLine="480" w:firstLineChars="200"/>
        <w:jc w:val="left"/>
        <w:rPr>
          <w:rFonts w:hAnsi="宋体" w:cs="宋体"/>
          <w:szCs w:val="24"/>
          <w:highlight w:val="none"/>
        </w:rPr>
      </w:pPr>
      <w:r>
        <w:rPr>
          <w:rFonts w:hint="eastAsia" w:hAnsi="宋体" w:cs="宋体"/>
          <w:szCs w:val="24"/>
          <w:highlight w:val="none"/>
        </w:rPr>
        <w:t>委托期限：</w:t>
      </w:r>
      <w:r>
        <w:rPr>
          <w:rFonts w:hint="eastAsia" w:hAnsi="宋体" w:cs="宋体"/>
          <w:szCs w:val="24"/>
          <w:highlight w:val="none"/>
          <w:lang w:val="zh-CN"/>
        </w:rPr>
        <w:t>自磋商之日起</w:t>
      </w:r>
      <w:r>
        <w:rPr>
          <w:rFonts w:hint="eastAsia" w:hAnsi="宋体" w:cs="宋体"/>
          <w:szCs w:val="24"/>
          <w:highlight w:val="none"/>
          <w:u w:val="single"/>
        </w:rPr>
        <w:t>90</w:t>
      </w:r>
      <w:r>
        <w:rPr>
          <w:rFonts w:hint="eastAsia" w:hAnsi="宋体" w:cs="宋体"/>
          <w:szCs w:val="24"/>
          <w:highlight w:val="none"/>
          <w:lang w:val="zh-CN"/>
        </w:rPr>
        <w:t>天。</w:t>
      </w:r>
    </w:p>
    <w:p w14:paraId="700F7512">
      <w:pPr>
        <w:spacing w:line="500" w:lineRule="exact"/>
        <w:ind w:firstLine="496" w:firstLineChars="200"/>
        <w:jc w:val="left"/>
        <w:rPr>
          <w:rFonts w:hAnsi="宋体" w:cs="宋体"/>
          <w:spacing w:val="4"/>
          <w:szCs w:val="24"/>
          <w:highlight w:val="none"/>
        </w:rPr>
      </w:pPr>
      <w:r>
        <w:rPr>
          <w:rFonts w:hint="eastAsia" w:hAnsi="宋体" w:cs="宋体"/>
          <w:spacing w:val="4"/>
          <w:szCs w:val="24"/>
          <w:highlight w:val="none"/>
        </w:rPr>
        <w:t>本授权书于</w:t>
      </w:r>
      <w:r>
        <w:rPr>
          <w:rFonts w:hint="eastAsia" w:hAnsi="宋体" w:cs="宋体"/>
          <w:spacing w:val="4"/>
          <w:szCs w:val="24"/>
          <w:highlight w:val="none"/>
          <w:u w:val="single"/>
        </w:rPr>
        <w:t xml:space="preserve">      年   月   日</w:t>
      </w:r>
      <w:r>
        <w:rPr>
          <w:rFonts w:hint="eastAsia" w:hAnsi="宋体" w:cs="宋体"/>
          <w:spacing w:val="4"/>
          <w:szCs w:val="24"/>
          <w:highlight w:val="none"/>
        </w:rPr>
        <w:t>签字生效，特此证明。</w:t>
      </w:r>
    </w:p>
    <w:p w14:paraId="1C0B2DF9">
      <w:pPr>
        <w:spacing w:line="360" w:lineRule="auto"/>
        <w:ind w:firstLine="496" w:firstLineChars="200"/>
        <w:jc w:val="left"/>
        <w:rPr>
          <w:rFonts w:hAnsi="宋体" w:cs="宋体"/>
          <w:spacing w:val="4"/>
          <w:szCs w:val="24"/>
          <w:highlight w:val="none"/>
        </w:rPr>
      </w:pPr>
    </w:p>
    <w:tbl>
      <w:tblPr>
        <w:tblStyle w:val="24"/>
        <w:tblW w:w="0" w:type="auto"/>
        <w:tblInd w:w="633" w:type="dxa"/>
        <w:tblLayout w:type="fixed"/>
        <w:tblCellMar>
          <w:top w:w="0" w:type="dxa"/>
          <w:left w:w="108" w:type="dxa"/>
          <w:bottom w:w="0" w:type="dxa"/>
          <w:right w:w="108" w:type="dxa"/>
        </w:tblCellMar>
      </w:tblPr>
      <w:tblGrid>
        <w:gridCol w:w="4200"/>
        <w:gridCol w:w="3990"/>
      </w:tblGrid>
      <w:tr w14:paraId="0F0462A2">
        <w:tblPrEx>
          <w:tblCellMar>
            <w:top w:w="0" w:type="dxa"/>
            <w:left w:w="108" w:type="dxa"/>
            <w:bottom w:w="0" w:type="dxa"/>
            <w:right w:w="108" w:type="dxa"/>
          </w:tblCellMar>
        </w:tblPrEx>
        <w:trPr>
          <w:trHeight w:val="600" w:hRule="atLeast"/>
        </w:trPr>
        <w:tc>
          <w:tcPr>
            <w:tcW w:w="4200" w:type="dxa"/>
          </w:tcPr>
          <w:p w14:paraId="73EF7BCD">
            <w:pPr>
              <w:spacing w:line="360" w:lineRule="auto"/>
              <w:jc w:val="left"/>
              <w:rPr>
                <w:rFonts w:hAnsi="宋体" w:cs="宋体"/>
                <w:spacing w:val="4"/>
                <w:szCs w:val="24"/>
                <w:highlight w:val="none"/>
              </w:rPr>
            </w:pPr>
            <w:r>
              <w:rPr>
                <w:rFonts w:hint="eastAsia" w:hAnsi="宋体" w:cs="宋体"/>
                <w:spacing w:val="4"/>
                <w:szCs w:val="24"/>
                <w:highlight w:val="none"/>
              </w:rPr>
              <w:t>被授权人签字或盖章：</w:t>
            </w:r>
          </w:p>
        </w:tc>
        <w:tc>
          <w:tcPr>
            <w:tcW w:w="3990" w:type="dxa"/>
          </w:tcPr>
          <w:p w14:paraId="456D5937">
            <w:pPr>
              <w:spacing w:line="360" w:lineRule="auto"/>
              <w:jc w:val="left"/>
              <w:rPr>
                <w:rFonts w:hAnsi="宋体" w:cs="宋体"/>
                <w:spacing w:val="4"/>
                <w:szCs w:val="24"/>
                <w:highlight w:val="none"/>
              </w:rPr>
            </w:pPr>
            <w:r>
              <w:rPr>
                <w:rFonts w:hint="eastAsia" w:hAnsi="宋体" w:cs="宋体"/>
                <w:spacing w:val="4"/>
                <w:szCs w:val="24"/>
                <w:highlight w:val="none"/>
              </w:rPr>
              <w:t>法定代表人签字或盖章：</w:t>
            </w:r>
          </w:p>
        </w:tc>
      </w:tr>
      <w:tr w14:paraId="5ED2D020">
        <w:tblPrEx>
          <w:tblCellMar>
            <w:top w:w="0" w:type="dxa"/>
            <w:left w:w="108" w:type="dxa"/>
            <w:bottom w:w="0" w:type="dxa"/>
            <w:right w:w="108" w:type="dxa"/>
          </w:tblCellMar>
        </w:tblPrEx>
        <w:trPr>
          <w:trHeight w:val="600" w:hRule="atLeast"/>
        </w:trPr>
        <w:tc>
          <w:tcPr>
            <w:tcW w:w="4200" w:type="dxa"/>
          </w:tcPr>
          <w:p w14:paraId="3648978D">
            <w:pPr>
              <w:spacing w:line="360" w:lineRule="auto"/>
              <w:jc w:val="left"/>
              <w:rPr>
                <w:rFonts w:hAnsi="宋体" w:cs="宋体"/>
                <w:spacing w:val="4"/>
                <w:szCs w:val="24"/>
                <w:highlight w:val="none"/>
              </w:rPr>
            </w:pPr>
            <w:r>
              <w:rPr>
                <w:rFonts w:hint="eastAsia" w:hAnsi="宋体" w:cs="宋体"/>
                <w:spacing w:val="4"/>
                <w:szCs w:val="24"/>
                <w:highlight w:val="none"/>
              </w:rPr>
              <w:t>职务：</w:t>
            </w:r>
          </w:p>
        </w:tc>
        <w:tc>
          <w:tcPr>
            <w:tcW w:w="3990" w:type="dxa"/>
          </w:tcPr>
          <w:p w14:paraId="19EAC6A1">
            <w:pPr>
              <w:spacing w:line="360" w:lineRule="auto"/>
              <w:jc w:val="left"/>
              <w:rPr>
                <w:rFonts w:hAnsi="宋体" w:cs="宋体"/>
                <w:spacing w:val="4"/>
                <w:szCs w:val="24"/>
                <w:highlight w:val="none"/>
              </w:rPr>
            </w:pPr>
            <w:r>
              <w:rPr>
                <w:rFonts w:hint="eastAsia" w:hAnsi="宋体" w:cs="宋体"/>
                <w:spacing w:val="4"/>
                <w:szCs w:val="24"/>
                <w:highlight w:val="none"/>
              </w:rPr>
              <w:t>职务：</w:t>
            </w:r>
          </w:p>
        </w:tc>
      </w:tr>
      <w:tr w14:paraId="39C033BF">
        <w:tblPrEx>
          <w:tblCellMar>
            <w:top w:w="0" w:type="dxa"/>
            <w:left w:w="108" w:type="dxa"/>
            <w:bottom w:w="0" w:type="dxa"/>
            <w:right w:w="108" w:type="dxa"/>
          </w:tblCellMar>
        </w:tblPrEx>
        <w:trPr>
          <w:trHeight w:val="600" w:hRule="atLeast"/>
        </w:trPr>
        <w:tc>
          <w:tcPr>
            <w:tcW w:w="4200" w:type="dxa"/>
          </w:tcPr>
          <w:p w14:paraId="588739F5">
            <w:pPr>
              <w:spacing w:line="360" w:lineRule="auto"/>
              <w:jc w:val="left"/>
              <w:rPr>
                <w:rFonts w:hAnsi="宋体" w:cs="宋体"/>
                <w:spacing w:val="4"/>
                <w:szCs w:val="24"/>
                <w:highlight w:val="none"/>
              </w:rPr>
            </w:pPr>
            <w:r>
              <w:rPr>
                <w:rFonts w:hint="eastAsia" w:hAnsi="宋体" w:cs="宋体"/>
                <w:spacing w:val="4"/>
                <w:szCs w:val="24"/>
                <w:highlight w:val="none"/>
              </w:rPr>
              <w:t>身份证号：</w:t>
            </w:r>
          </w:p>
        </w:tc>
        <w:tc>
          <w:tcPr>
            <w:tcW w:w="3990" w:type="dxa"/>
          </w:tcPr>
          <w:p w14:paraId="56C76024">
            <w:pPr>
              <w:spacing w:line="360" w:lineRule="auto"/>
              <w:jc w:val="left"/>
              <w:rPr>
                <w:rFonts w:hAnsi="宋体" w:cs="宋体"/>
                <w:spacing w:val="4"/>
                <w:szCs w:val="24"/>
                <w:highlight w:val="none"/>
              </w:rPr>
            </w:pPr>
            <w:r>
              <w:rPr>
                <w:rFonts w:hint="eastAsia" w:hAnsi="宋体" w:cs="宋体"/>
                <w:spacing w:val="4"/>
                <w:szCs w:val="24"/>
                <w:highlight w:val="none"/>
              </w:rPr>
              <w:t>身份证号：</w:t>
            </w:r>
          </w:p>
        </w:tc>
      </w:tr>
      <w:tr w14:paraId="23A58690">
        <w:tblPrEx>
          <w:tblCellMar>
            <w:top w:w="0" w:type="dxa"/>
            <w:left w:w="108" w:type="dxa"/>
            <w:bottom w:w="0" w:type="dxa"/>
            <w:right w:w="108" w:type="dxa"/>
          </w:tblCellMar>
        </w:tblPrEx>
        <w:trPr>
          <w:trHeight w:val="600" w:hRule="atLeast"/>
        </w:trPr>
        <w:tc>
          <w:tcPr>
            <w:tcW w:w="4200" w:type="dxa"/>
          </w:tcPr>
          <w:p w14:paraId="1D8E0B18">
            <w:pPr>
              <w:spacing w:line="360" w:lineRule="auto"/>
              <w:jc w:val="left"/>
              <w:rPr>
                <w:rFonts w:hAnsi="宋体" w:cs="宋体"/>
                <w:spacing w:val="4"/>
                <w:szCs w:val="24"/>
                <w:highlight w:val="none"/>
              </w:rPr>
            </w:pPr>
            <w:r>
              <w:rPr>
                <w:rFonts w:hint="eastAsia" w:hAnsi="宋体" w:cs="宋体"/>
                <w:spacing w:val="4"/>
                <w:szCs w:val="24"/>
                <w:highlight w:val="none"/>
              </w:rPr>
              <w:t>所在部门：</w:t>
            </w:r>
          </w:p>
        </w:tc>
        <w:tc>
          <w:tcPr>
            <w:tcW w:w="3990" w:type="dxa"/>
          </w:tcPr>
          <w:p w14:paraId="6D4C4FFD">
            <w:pPr>
              <w:spacing w:line="360" w:lineRule="auto"/>
              <w:jc w:val="left"/>
              <w:rPr>
                <w:rFonts w:hAnsi="宋体" w:cs="宋体"/>
                <w:spacing w:val="4"/>
                <w:szCs w:val="24"/>
                <w:highlight w:val="none"/>
              </w:rPr>
            </w:pPr>
          </w:p>
        </w:tc>
      </w:tr>
    </w:tbl>
    <w:p w14:paraId="2027FA49">
      <w:pPr>
        <w:spacing w:line="360" w:lineRule="auto"/>
        <w:ind w:firstLine="505" w:firstLineChars="204"/>
        <w:rPr>
          <w:rFonts w:hAnsi="宋体" w:cs="宋体"/>
          <w:spacing w:val="4"/>
          <w:szCs w:val="24"/>
          <w:highlight w:val="none"/>
        </w:rPr>
      </w:pPr>
      <w:r>
        <w:rPr>
          <w:rFonts w:hint="eastAsia" w:hAnsi="宋体" w:cs="宋体"/>
          <w:spacing w:val="4"/>
          <w:szCs w:val="24"/>
          <w:highlight w:val="none"/>
        </w:rPr>
        <w:t>附：法定代表人、被授权人身份证复印件</w:t>
      </w:r>
    </w:p>
    <w:p w14:paraId="38B9904C">
      <w:pPr>
        <w:spacing w:line="360" w:lineRule="auto"/>
        <w:rPr>
          <w:rFonts w:hAnsi="宋体" w:cs="宋体"/>
          <w:spacing w:val="4"/>
          <w:szCs w:val="24"/>
          <w:highlight w:val="none"/>
        </w:rPr>
      </w:pPr>
    </w:p>
    <w:tbl>
      <w:tblPr>
        <w:tblStyle w:val="24"/>
        <w:tblW w:w="0" w:type="auto"/>
        <w:tblInd w:w="540" w:type="dxa"/>
        <w:tblLayout w:type="fixed"/>
        <w:tblCellMar>
          <w:top w:w="0" w:type="dxa"/>
          <w:left w:w="108" w:type="dxa"/>
          <w:bottom w:w="0" w:type="dxa"/>
          <w:right w:w="108" w:type="dxa"/>
        </w:tblCellMar>
      </w:tblPr>
      <w:tblGrid>
        <w:gridCol w:w="4246"/>
        <w:gridCol w:w="4111"/>
      </w:tblGrid>
      <w:tr w14:paraId="4A3D493E">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41E17BEA">
            <w:pPr>
              <w:spacing w:line="360" w:lineRule="auto"/>
              <w:jc w:val="center"/>
              <w:rPr>
                <w:rFonts w:hAnsi="宋体" w:cs="宋体"/>
                <w:szCs w:val="21"/>
                <w:highlight w:val="none"/>
                <w:lang w:val="zh-CN"/>
              </w:rPr>
            </w:pPr>
            <w:r>
              <w:rPr>
                <w:rFonts w:hint="eastAsia" w:hAnsi="宋体" w:cs="宋体"/>
                <w:szCs w:val="21"/>
                <w:highlight w:val="none"/>
                <w:lang w:val="zh-CN"/>
              </w:rPr>
              <w:t>法定代表人身份证复印件粘贴处</w:t>
            </w:r>
          </w:p>
          <w:p w14:paraId="025BA4B7">
            <w:pPr>
              <w:spacing w:line="360" w:lineRule="auto"/>
              <w:jc w:val="center"/>
              <w:rPr>
                <w:rFonts w:hAnsi="宋体" w:cs="宋体"/>
                <w:szCs w:val="21"/>
                <w:highlight w:val="none"/>
                <w:u w:val="single"/>
              </w:rPr>
            </w:pPr>
            <w:r>
              <w:rPr>
                <w:rFonts w:hint="eastAsia" w:hAnsi="宋体" w:cs="宋体"/>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10CAB8C1">
            <w:pPr>
              <w:spacing w:line="360" w:lineRule="auto"/>
              <w:jc w:val="center"/>
              <w:rPr>
                <w:rFonts w:hAnsi="宋体" w:cs="宋体"/>
                <w:szCs w:val="21"/>
                <w:highlight w:val="none"/>
                <w:lang w:val="zh-CN"/>
              </w:rPr>
            </w:pPr>
            <w:r>
              <w:rPr>
                <w:rFonts w:hint="eastAsia" w:hAnsi="宋体" w:cs="宋体"/>
                <w:szCs w:val="21"/>
                <w:highlight w:val="none"/>
                <w:lang w:val="zh-CN"/>
              </w:rPr>
              <w:t>授权代表身份证复印件粘贴处</w:t>
            </w:r>
          </w:p>
          <w:p w14:paraId="4C1E8767">
            <w:pPr>
              <w:spacing w:line="360" w:lineRule="auto"/>
              <w:jc w:val="center"/>
              <w:rPr>
                <w:rFonts w:hAnsi="宋体" w:cs="宋体"/>
                <w:highlight w:val="none"/>
                <w:u w:val="single"/>
              </w:rPr>
            </w:pPr>
            <w:r>
              <w:rPr>
                <w:rFonts w:hint="eastAsia" w:hAnsi="宋体" w:cs="宋体"/>
                <w:szCs w:val="21"/>
                <w:highlight w:val="none"/>
                <w:lang w:val="zh-CN"/>
              </w:rPr>
              <w:t>（正反面）</w:t>
            </w:r>
          </w:p>
        </w:tc>
      </w:tr>
    </w:tbl>
    <w:p w14:paraId="2C2FACA9">
      <w:pPr>
        <w:spacing w:line="360" w:lineRule="auto"/>
        <w:ind w:firstLine="510"/>
        <w:rPr>
          <w:rFonts w:hAnsi="宋体" w:cs="宋体"/>
          <w:spacing w:val="4"/>
          <w:szCs w:val="24"/>
          <w:highlight w:val="none"/>
        </w:rPr>
      </w:pPr>
    </w:p>
    <w:p w14:paraId="3BFFA0C4">
      <w:pPr>
        <w:spacing w:before="156" w:beforeLines="50" w:after="156" w:afterLines="50" w:line="360" w:lineRule="auto"/>
        <w:rPr>
          <w:rFonts w:hAnsi="宋体" w:cs="宋体"/>
          <w:spacing w:val="4"/>
          <w:szCs w:val="24"/>
          <w:highlight w:val="none"/>
        </w:rPr>
      </w:pPr>
      <w:r>
        <w:rPr>
          <w:rFonts w:hint="eastAsia" w:hAnsi="宋体" w:cs="宋体"/>
          <w:spacing w:val="4"/>
          <w:szCs w:val="24"/>
          <w:highlight w:val="none"/>
        </w:rPr>
        <w:t>供应商名称：</w:t>
      </w:r>
      <w:r>
        <w:rPr>
          <w:rFonts w:hint="eastAsia" w:hAnsi="宋体" w:cs="宋体"/>
          <w:highlight w:val="none"/>
          <w:u w:val="single"/>
        </w:rPr>
        <w:t xml:space="preserve">      （加盖单位公章）       </w:t>
      </w:r>
    </w:p>
    <w:p w14:paraId="58C76315">
      <w:pPr>
        <w:spacing w:before="156" w:beforeLines="50" w:after="156" w:afterLines="50" w:line="360" w:lineRule="auto"/>
        <w:rPr>
          <w:rFonts w:hAnsi="宋体" w:cs="宋体"/>
          <w:spacing w:val="4"/>
          <w:szCs w:val="24"/>
          <w:highlight w:val="none"/>
        </w:rPr>
      </w:pPr>
      <w:r>
        <w:rPr>
          <w:rFonts w:hint="eastAsia" w:hAnsi="宋体" w:cs="宋体"/>
          <w:spacing w:val="4"/>
          <w:szCs w:val="24"/>
          <w:highlight w:val="none"/>
        </w:rPr>
        <w:t>日期：</w:t>
      </w:r>
    </w:p>
    <w:p w14:paraId="7430FB56">
      <w:pPr>
        <w:rPr>
          <w:rFonts w:hAnsi="宋体" w:cs="宋体"/>
          <w:b/>
          <w:sz w:val="28"/>
          <w:szCs w:val="28"/>
          <w:highlight w:val="none"/>
        </w:rPr>
      </w:pPr>
      <w:r>
        <w:rPr>
          <w:rFonts w:hint="eastAsia" w:hAnsi="宋体" w:cs="宋体"/>
          <w:b/>
          <w:sz w:val="28"/>
          <w:szCs w:val="28"/>
          <w:highlight w:val="none"/>
        </w:rPr>
        <w:br w:type="page"/>
      </w:r>
      <w:bookmarkStart w:id="232" w:name="_Toc17295"/>
      <w:bookmarkStart w:id="233" w:name="_Toc11767"/>
    </w:p>
    <w:p w14:paraId="162702DD">
      <w:pPr>
        <w:widowControl/>
        <w:spacing w:line="360" w:lineRule="auto"/>
        <w:ind w:left="1" w:firstLine="281" w:firstLineChars="100"/>
        <w:jc w:val="center"/>
        <w:rPr>
          <w:rFonts w:hAnsi="宋体" w:cs="宋体"/>
          <w:b/>
          <w:sz w:val="28"/>
          <w:szCs w:val="28"/>
          <w:highlight w:val="none"/>
        </w:rPr>
      </w:pPr>
      <w:r>
        <w:rPr>
          <w:rFonts w:hint="eastAsia" w:hAnsi="宋体" w:cs="宋体"/>
          <w:b/>
          <w:sz w:val="28"/>
          <w:szCs w:val="28"/>
          <w:highlight w:val="none"/>
        </w:rPr>
        <w:t>参加政府采购活动前3年内在经营活动中没有重大违法纪录的书面声明</w:t>
      </w:r>
    </w:p>
    <w:p w14:paraId="71A58C0F">
      <w:pPr>
        <w:widowControl/>
        <w:spacing w:line="360" w:lineRule="auto"/>
        <w:ind w:left="1"/>
        <w:jc w:val="center"/>
        <w:rPr>
          <w:rFonts w:hAnsi="宋体" w:cs="宋体"/>
          <w:b/>
          <w:sz w:val="28"/>
          <w:szCs w:val="28"/>
          <w:highlight w:val="none"/>
        </w:rPr>
      </w:pPr>
      <w:r>
        <w:rPr>
          <w:rFonts w:hint="eastAsia" w:hAnsi="宋体" w:cs="宋体"/>
          <w:b/>
          <w:sz w:val="28"/>
          <w:szCs w:val="28"/>
          <w:highlight w:val="none"/>
        </w:rPr>
        <w:t>（格式）</w:t>
      </w:r>
    </w:p>
    <w:p w14:paraId="76FB08FE">
      <w:pPr>
        <w:pStyle w:val="20"/>
        <w:wordWrap w:val="0"/>
        <w:spacing w:beforeAutospacing="0" w:afterAutospacing="0" w:line="560" w:lineRule="exact"/>
        <w:rPr>
          <w:rFonts w:cs="宋体"/>
          <w:highlight w:val="none"/>
          <w:u w:val="single"/>
          <w:shd w:val="clear" w:color="auto" w:fill="FFFFFF"/>
        </w:rPr>
      </w:pPr>
      <w:r>
        <w:rPr>
          <w:rFonts w:hint="eastAsia" w:cs="宋体"/>
          <w:highlight w:val="none"/>
          <w:u w:val="single"/>
          <w:shd w:val="clear" w:color="auto" w:fill="FFFFFF"/>
        </w:rPr>
        <w:t xml:space="preserve">      （采购人）           ：</w:t>
      </w:r>
    </w:p>
    <w:p w14:paraId="1794E7B2">
      <w:pPr>
        <w:pStyle w:val="20"/>
        <w:wordWrap w:val="0"/>
        <w:spacing w:beforeAutospacing="0" w:afterAutospacing="0" w:line="560" w:lineRule="exact"/>
        <w:ind w:firstLine="640"/>
        <w:rPr>
          <w:rFonts w:cs="宋体"/>
          <w:highlight w:val="none"/>
        </w:rPr>
      </w:pPr>
      <w:r>
        <w:rPr>
          <w:rFonts w:hint="eastAsia" w:cs="宋体"/>
          <w:highlight w:val="none"/>
          <w:shd w:val="clear" w:color="auto" w:fill="FFFFFF"/>
        </w:rPr>
        <w:t>我方作为项目名称</w:t>
      </w:r>
      <w:r>
        <w:rPr>
          <w:rFonts w:hint="eastAsia" w:cs="宋体"/>
          <w:highlight w:val="none"/>
          <w:u w:val="single"/>
          <w:shd w:val="clear" w:color="auto" w:fill="FFFFFF"/>
        </w:rPr>
        <w:t xml:space="preserve">             </w:t>
      </w:r>
      <w:r>
        <w:rPr>
          <w:rFonts w:hint="eastAsia" w:cs="宋体"/>
          <w:highlight w:val="none"/>
          <w:shd w:val="clear" w:color="auto" w:fill="FFFFFF"/>
        </w:rPr>
        <w:t>（项目编号：</w:t>
      </w:r>
      <w:r>
        <w:rPr>
          <w:rFonts w:hint="eastAsia" w:cs="宋体"/>
          <w:i/>
          <w:iCs/>
          <w:highlight w:val="none"/>
          <w:u w:val="single"/>
          <w:shd w:val="clear" w:color="auto" w:fill="FFFFFF"/>
        </w:rPr>
        <w:t xml:space="preserve">          </w:t>
      </w:r>
      <w:r>
        <w:rPr>
          <w:rFonts w:hint="eastAsia" w:cs="宋体"/>
          <w:highlight w:val="none"/>
          <w:shd w:val="clear" w:color="auto" w:fill="FFFFFF"/>
        </w:rPr>
        <w:t xml:space="preserve">）的供应商，在此郑重声明： </w:t>
      </w:r>
    </w:p>
    <w:p w14:paraId="46894F09">
      <w:pPr>
        <w:pStyle w:val="20"/>
        <w:wordWrap w:val="0"/>
        <w:spacing w:beforeAutospacing="0" w:afterAutospacing="0" w:line="560" w:lineRule="exact"/>
        <w:ind w:firstLine="480" w:firstLineChars="200"/>
        <w:rPr>
          <w:rFonts w:cs="宋体"/>
          <w:highlight w:val="none"/>
        </w:rPr>
      </w:pPr>
      <w:r>
        <w:rPr>
          <w:rFonts w:hint="eastAsia" w:cs="宋体"/>
          <w:highlight w:val="none"/>
          <w:shd w:val="clear" w:color="auto" w:fill="FFFFFF"/>
        </w:rPr>
        <w:t>在参加本次政府采购活动前3年内的经营活动中</w:t>
      </w:r>
      <w:r>
        <w:rPr>
          <w:rFonts w:hint="eastAsia" w:cs="宋体"/>
          <w:highlight w:val="none"/>
          <w:u w:val="single"/>
          <w:shd w:val="clear" w:color="auto" w:fill="FFFFFF"/>
        </w:rPr>
        <w:t xml:space="preserve">          </w:t>
      </w:r>
      <w:r>
        <w:rPr>
          <w:rFonts w:hint="eastAsia" w:cs="宋体"/>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1CA9EF07">
      <w:pPr>
        <w:pStyle w:val="20"/>
        <w:wordWrap w:val="0"/>
        <w:spacing w:beforeAutospacing="0" w:afterAutospacing="0" w:line="560" w:lineRule="exact"/>
        <w:ind w:firstLine="420"/>
        <w:rPr>
          <w:rFonts w:cs="宋体"/>
          <w:highlight w:val="none"/>
        </w:rPr>
      </w:pPr>
      <w:r>
        <w:rPr>
          <w:rFonts w:hint="eastAsia" w:cs="宋体"/>
          <w:highlight w:val="none"/>
          <w:shd w:val="clear" w:color="auto" w:fill="FFFFFF"/>
        </w:rPr>
        <w:t>如有不实，我方将无条件地退出本项目的采购活动，并遵照《</w:t>
      </w:r>
      <w:r>
        <w:rPr>
          <w:highlight w:val="none"/>
        </w:rPr>
        <w:fldChar w:fldCharType="begin"/>
      </w:r>
      <w:r>
        <w:rPr>
          <w:highlight w:val="none"/>
        </w:rPr>
        <w:instrText xml:space="preserve"> HYPERLINK "https://www.ccgp-shaanxi.gov.cn/freecms/site/shaanxi/ggxx/info/oldweb/4028807e62394cf101623bd796a20016.html" \t "https://www.ccgp-shaanxi.gov.cn/cms-sx/site/shanxi/zcfg/_blank" </w:instrText>
      </w:r>
      <w:r>
        <w:rPr>
          <w:highlight w:val="none"/>
        </w:rPr>
        <w:fldChar w:fldCharType="separate"/>
      </w:r>
      <w:r>
        <w:rPr>
          <w:rFonts w:hint="eastAsia" w:cs="宋体"/>
          <w:highlight w:val="none"/>
          <w:shd w:val="clear" w:color="auto" w:fill="FFFFFF"/>
        </w:rPr>
        <w:t>中华人民共和国政府采购法</w:t>
      </w:r>
      <w:r>
        <w:rPr>
          <w:rFonts w:hint="eastAsia" w:cs="宋体"/>
          <w:highlight w:val="none"/>
          <w:shd w:val="clear" w:color="auto" w:fill="FFFFFF"/>
        </w:rPr>
        <w:fldChar w:fldCharType="end"/>
      </w:r>
      <w:r>
        <w:rPr>
          <w:rFonts w:hint="eastAsia" w:cs="宋体"/>
          <w:highlight w:val="none"/>
          <w:shd w:val="clear" w:color="auto" w:fill="FFFFFF"/>
        </w:rPr>
        <w:t xml:space="preserve">》有关“提供虚假材料的规定”接受处罚。 </w:t>
      </w:r>
    </w:p>
    <w:p w14:paraId="3E43A274">
      <w:pPr>
        <w:pStyle w:val="20"/>
        <w:wordWrap w:val="0"/>
        <w:spacing w:beforeAutospacing="0" w:afterAutospacing="0" w:line="560" w:lineRule="exact"/>
        <w:ind w:firstLine="420"/>
        <w:rPr>
          <w:rFonts w:cs="宋体"/>
          <w:highlight w:val="none"/>
          <w:shd w:val="clear" w:color="auto" w:fill="FFFFFF"/>
        </w:rPr>
      </w:pPr>
      <w:r>
        <w:rPr>
          <w:rFonts w:hint="eastAsia" w:cs="宋体"/>
          <w:highlight w:val="none"/>
          <w:shd w:val="clear" w:color="auto" w:fill="FFFFFF"/>
        </w:rPr>
        <w:t>特此声明！</w:t>
      </w:r>
    </w:p>
    <w:p w14:paraId="43BC1DD9">
      <w:pPr>
        <w:pStyle w:val="20"/>
        <w:wordWrap w:val="0"/>
        <w:spacing w:beforeAutospacing="0" w:afterAutospacing="0" w:line="560" w:lineRule="exact"/>
        <w:ind w:firstLine="420"/>
        <w:rPr>
          <w:rFonts w:cs="宋体"/>
          <w:highlight w:val="none"/>
          <w:shd w:val="clear" w:color="auto" w:fill="FFFFFF"/>
        </w:rPr>
      </w:pPr>
    </w:p>
    <w:p w14:paraId="22D1E247">
      <w:pPr>
        <w:spacing w:line="480" w:lineRule="auto"/>
        <w:ind w:firstLine="3360" w:firstLineChars="1400"/>
        <w:rPr>
          <w:rFonts w:hAnsi="宋体" w:cs="宋体"/>
          <w:highlight w:val="none"/>
        </w:rPr>
      </w:pPr>
      <w:r>
        <w:rPr>
          <w:rFonts w:hint="eastAsia" w:hAnsi="宋体" w:cs="宋体"/>
          <w:highlight w:val="none"/>
        </w:rPr>
        <w:t>供应商名称：</w:t>
      </w:r>
      <w:r>
        <w:rPr>
          <w:rFonts w:hint="eastAsia" w:hAnsi="宋体" w:cs="宋体"/>
          <w:highlight w:val="none"/>
          <w:u w:val="single"/>
        </w:rPr>
        <w:t xml:space="preserve">               </w:t>
      </w:r>
      <w:r>
        <w:rPr>
          <w:rFonts w:hint="eastAsia" w:hAnsi="宋体" w:cs="宋体"/>
          <w:highlight w:val="none"/>
        </w:rPr>
        <w:t>（盖章）</w:t>
      </w:r>
    </w:p>
    <w:p w14:paraId="68E28C77">
      <w:pPr>
        <w:pStyle w:val="38"/>
        <w:spacing w:before="156" w:beforeLines="50"/>
        <w:ind w:firstLine="3360" w:firstLineChars="1400"/>
        <w:rPr>
          <w:rFonts w:ascii="宋体" w:hAnsi="宋体" w:cs="宋体"/>
          <w:szCs w:val="24"/>
          <w:highlight w:val="none"/>
        </w:rPr>
      </w:pPr>
      <w:r>
        <w:rPr>
          <w:rFonts w:hint="eastAsia" w:ascii="宋体" w:hAnsi="宋体" w:cs="宋体"/>
          <w:szCs w:val="24"/>
          <w:highlight w:val="none"/>
        </w:rPr>
        <w:t>日        期：</w:t>
      </w:r>
      <w:r>
        <w:rPr>
          <w:rFonts w:hint="eastAsia" w:ascii="宋体" w:hAnsi="宋体" w:cs="宋体"/>
          <w:szCs w:val="24"/>
          <w:highlight w:val="none"/>
          <w:u w:val="single"/>
        </w:rPr>
        <w:t xml:space="preserve">      </w:t>
      </w:r>
      <w:r>
        <w:rPr>
          <w:rFonts w:hint="eastAsia" w:ascii="宋体" w:hAnsi="宋体" w:cs="宋体"/>
          <w:szCs w:val="24"/>
          <w:highlight w:val="none"/>
        </w:rPr>
        <w:t>年</w:t>
      </w:r>
      <w:r>
        <w:rPr>
          <w:rFonts w:hint="eastAsia" w:ascii="宋体" w:hAnsi="宋体" w:cs="宋体"/>
          <w:szCs w:val="24"/>
          <w:highlight w:val="none"/>
          <w:u w:val="single"/>
        </w:rPr>
        <w:t xml:space="preserve">     </w:t>
      </w:r>
      <w:r>
        <w:rPr>
          <w:rFonts w:hint="eastAsia" w:ascii="宋体" w:hAnsi="宋体" w:cs="宋体"/>
          <w:szCs w:val="24"/>
          <w:highlight w:val="none"/>
        </w:rPr>
        <w:t>月</w:t>
      </w:r>
      <w:r>
        <w:rPr>
          <w:rFonts w:hint="eastAsia" w:ascii="宋体" w:hAnsi="宋体" w:cs="宋体"/>
          <w:szCs w:val="24"/>
          <w:highlight w:val="none"/>
          <w:u w:val="single"/>
        </w:rPr>
        <w:t xml:space="preserve">     </w:t>
      </w:r>
      <w:r>
        <w:rPr>
          <w:rFonts w:hint="eastAsia" w:ascii="宋体" w:hAnsi="宋体" w:cs="宋体"/>
          <w:szCs w:val="24"/>
          <w:highlight w:val="none"/>
        </w:rPr>
        <w:t>日</w:t>
      </w:r>
    </w:p>
    <w:p w14:paraId="5633A6CB">
      <w:pPr>
        <w:adjustRightInd w:val="0"/>
        <w:snapToGrid w:val="0"/>
        <w:spacing w:line="360" w:lineRule="auto"/>
        <w:jc w:val="center"/>
        <w:rPr>
          <w:rFonts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br w:type="page"/>
      </w:r>
    </w:p>
    <w:p w14:paraId="1692935D">
      <w:pPr>
        <w:adjustRightInd w:val="0"/>
        <w:snapToGrid w:val="0"/>
        <w:spacing w:line="360" w:lineRule="auto"/>
        <w:jc w:val="center"/>
        <w:rPr>
          <w:rFonts w:hAnsi="宋体" w:cs="宋体"/>
          <w:b/>
          <w:sz w:val="28"/>
          <w:szCs w:val="28"/>
          <w:highlight w:val="none"/>
        </w:rPr>
      </w:pPr>
      <w:r>
        <w:rPr>
          <w:rFonts w:hint="eastAsia" w:hAnsi="宋体" w:cs="宋体"/>
          <w:b/>
          <w:sz w:val="28"/>
          <w:szCs w:val="28"/>
          <w:highlight w:val="none"/>
        </w:rPr>
        <w:t>具有履行本合同所必需的设备和专业技术能力的书面声明</w:t>
      </w:r>
    </w:p>
    <w:p w14:paraId="102C138E">
      <w:pPr>
        <w:widowControl/>
        <w:spacing w:line="360" w:lineRule="auto"/>
        <w:ind w:left="1"/>
        <w:jc w:val="center"/>
        <w:rPr>
          <w:rFonts w:hAnsi="宋体" w:cs="宋体"/>
          <w:b/>
          <w:sz w:val="28"/>
          <w:szCs w:val="28"/>
          <w:highlight w:val="none"/>
        </w:rPr>
      </w:pPr>
      <w:r>
        <w:rPr>
          <w:rFonts w:hint="eastAsia" w:hAnsi="宋体" w:cs="宋体"/>
          <w:b/>
          <w:sz w:val="28"/>
          <w:szCs w:val="28"/>
          <w:highlight w:val="none"/>
        </w:rPr>
        <w:t>（格式）</w:t>
      </w:r>
    </w:p>
    <w:p w14:paraId="05F6EDFB">
      <w:pPr>
        <w:rPr>
          <w:highlight w:val="none"/>
        </w:rPr>
      </w:pPr>
    </w:p>
    <w:p w14:paraId="6D145CEB">
      <w:pPr>
        <w:pStyle w:val="13"/>
        <w:adjustRightInd w:val="0"/>
        <w:snapToGrid w:val="0"/>
        <w:spacing w:line="720" w:lineRule="exact"/>
        <w:jc w:val="center"/>
        <w:rPr>
          <w:rFonts w:hAnsi="宋体" w:cs="宋体"/>
          <w:b/>
          <w:sz w:val="28"/>
          <w:szCs w:val="28"/>
          <w:highlight w:val="none"/>
        </w:rPr>
      </w:pPr>
    </w:p>
    <w:p w14:paraId="413DA00D">
      <w:pPr>
        <w:spacing w:line="720" w:lineRule="exact"/>
        <w:rPr>
          <w:rFonts w:hAnsi="宋体" w:cs="宋体"/>
          <w:spacing w:val="4"/>
          <w:highlight w:val="none"/>
          <w:u w:val="single"/>
        </w:rPr>
      </w:pPr>
      <w:r>
        <w:rPr>
          <w:rFonts w:hint="eastAsia" w:hAnsi="宋体" w:cs="宋体"/>
          <w:spacing w:val="4"/>
          <w:highlight w:val="none"/>
          <w:u w:val="single"/>
        </w:rPr>
        <w:t xml:space="preserve">     （采购人名称）    ：</w:t>
      </w:r>
    </w:p>
    <w:p w14:paraId="7431F626">
      <w:pPr>
        <w:pStyle w:val="13"/>
        <w:adjustRightInd w:val="0"/>
        <w:snapToGrid w:val="0"/>
        <w:spacing w:line="720" w:lineRule="exact"/>
        <w:rPr>
          <w:rFonts w:hAnsi="宋体" w:cs="宋体"/>
          <w:spacing w:val="4"/>
          <w:sz w:val="24"/>
          <w:szCs w:val="24"/>
          <w:highlight w:val="none"/>
        </w:rPr>
      </w:pPr>
      <w:r>
        <w:rPr>
          <w:rFonts w:hint="eastAsia" w:hAnsi="宋体" w:cs="宋体"/>
          <w:spacing w:val="4"/>
          <w:sz w:val="24"/>
          <w:szCs w:val="24"/>
          <w:highlight w:val="none"/>
        </w:rPr>
        <w:t xml:space="preserve">   </w:t>
      </w:r>
      <w:r>
        <w:rPr>
          <w:rFonts w:hint="eastAsia" w:hAnsi="宋体" w:cs="宋体"/>
          <w:spacing w:val="4"/>
          <w:sz w:val="24"/>
          <w:szCs w:val="24"/>
          <w:highlight w:val="none"/>
          <w:u w:val="single"/>
        </w:rPr>
        <w:t xml:space="preserve">      （供应商名称）    </w:t>
      </w:r>
      <w:r>
        <w:rPr>
          <w:rFonts w:hint="eastAsia" w:hAnsi="宋体" w:cs="宋体"/>
          <w:spacing w:val="4"/>
          <w:sz w:val="24"/>
          <w:szCs w:val="24"/>
          <w:highlight w:val="none"/>
        </w:rPr>
        <w:t xml:space="preserve"> 于</w:t>
      </w:r>
      <w:r>
        <w:rPr>
          <w:rFonts w:hint="eastAsia" w:hAnsi="宋体" w:cs="宋体"/>
          <w:spacing w:val="4"/>
          <w:sz w:val="24"/>
          <w:szCs w:val="24"/>
          <w:highlight w:val="none"/>
          <w:u w:val="single"/>
        </w:rPr>
        <w:t xml:space="preserve">     </w:t>
      </w:r>
      <w:r>
        <w:rPr>
          <w:rFonts w:hint="eastAsia" w:hAnsi="宋体" w:cs="宋体"/>
          <w:spacing w:val="4"/>
          <w:sz w:val="24"/>
          <w:szCs w:val="24"/>
          <w:highlight w:val="none"/>
        </w:rPr>
        <w:t>年</w:t>
      </w:r>
      <w:r>
        <w:rPr>
          <w:rFonts w:hint="eastAsia" w:hAnsi="宋体" w:cs="宋体"/>
          <w:spacing w:val="4"/>
          <w:sz w:val="24"/>
          <w:szCs w:val="24"/>
          <w:highlight w:val="none"/>
          <w:u w:val="single"/>
        </w:rPr>
        <w:t xml:space="preserve">    </w:t>
      </w:r>
      <w:r>
        <w:rPr>
          <w:rFonts w:hint="eastAsia" w:hAnsi="宋体" w:cs="宋体"/>
          <w:spacing w:val="4"/>
          <w:sz w:val="24"/>
          <w:szCs w:val="24"/>
          <w:highlight w:val="none"/>
        </w:rPr>
        <w:t>月</w:t>
      </w:r>
      <w:r>
        <w:rPr>
          <w:rFonts w:hint="eastAsia" w:hAnsi="宋体" w:cs="宋体"/>
          <w:spacing w:val="4"/>
          <w:sz w:val="24"/>
          <w:szCs w:val="24"/>
          <w:highlight w:val="none"/>
          <w:u w:val="single"/>
        </w:rPr>
        <w:t xml:space="preserve">   </w:t>
      </w:r>
      <w:r>
        <w:rPr>
          <w:rFonts w:hint="eastAsia" w:hAnsi="宋体" w:cs="宋体"/>
          <w:spacing w:val="4"/>
          <w:sz w:val="24"/>
          <w:szCs w:val="24"/>
          <w:highlight w:val="none"/>
        </w:rPr>
        <w:t>日在中华人民共和国境内</w:t>
      </w:r>
      <w:r>
        <w:rPr>
          <w:rFonts w:hint="eastAsia" w:hAnsi="宋体" w:cs="宋体"/>
          <w:spacing w:val="4"/>
          <w:sz w:val="24"/>
          <w:szCs w:val="24"/>
          <w:highlight w:val="none"/>
          <w:u w:val="single"/>
        </w:rPr>
        <w:t xml:space="preserve">               （详细注册地址）     </w:t>
      </w:r>
      <w:r>
        <w:rPr>
          <w:rFonts w:hint="eastAsia" w:hAnsi="宋体" w:cs="宋体"/>
          <w:spacing w:val="4"/>
          <w:sz w:val="24"/>
          <w:szCs w:val="24"/>
          <w:highlight w:val="none"/>
        </w:rPr>
        <w:t>合法注册并经营，公司主营业务为</w:t>
      </w:r>
      <w:r>
        <w:rPr>
          <w:rFonts w:hint="eastAsia" w:hAnsi="宋体" w:cs="宋体"/>
          <w:spacing w:val="4"/>
          <w:sz w:val="24"/>
          <w:szCs w:val="24"/>
          <w:highlight w:val="none"/>
          <w:u w:val="single"/>
        </w:rPr>
        <w:t xml:space="preserve">                        </w:t>
      </w:r>
      <w:r>
        <w:rPr>
          <w:rFonts w:hint="eastAsia" w:hAnsi="宋体" w:cs="宋体"/>
          <w:spacing w:val="4"/>
          <w:sz w:val="24"/>
          <w:szCs w:val="24"/>
          <w:highlight w:val="none"/>
        </w:rPr>
        <w:t>。</w:t>
      </w:r>
    </w:p>
    <w:p w14:paraId="3BBD116E">
      <w:pPr>
        <w:pStyle w:val="13"/>
        <w:adjustRightInd w:val="0"/>
        <w:snapToGrid w:val="0"/>
        <w:spacing w:line="720" w:lineRule="exact"/>
        <w:ind w:firstLine="550" w:firstLineChars="222"/>
        <w:rPr>
          <w:rFonts w:hAnsi="宋体" w:cs="宋体"/>
          <w:spacing w:val="4"/>
          <w:sz w:val="24"/>
          <w:szCs w:val="24"/>
          <w:highlight w:val="none"/>
        </w:rPr>
      </w:pPr>
      <w:r>
        <w:rPr>
          <w:rFonts w:hint="eastAsia" w:hAnsi="宋体" w:cs="宋体"/>
          <w:spacing w:val="4"/>
          <w:sz w:val="24"/>
          <w:szCs w:val="24"/>
          <w:highlight w:val="none"/>
        </w:rPr>
        <w:t>我公司郑重承诺，我公司具有履行本合同所必需的设备和专业技术能力，合同履约中将无条件增加相关设备、人员，直至满足项目需求。</w:t>
      </w:r>
    </w:p>
    <w:p w14:paraId="5F528C17">
      <w:pPr>
        <w:pStyle w:val="13"/>
        <w:adjustRightInd w:val="0"/>
        <w:snapToGrid w:val="0"/>
        <w:spacing w:line="720" w:lineRule="exact"/>
        <w:rPr>
          <w:rFonts w:hAnsi="宋体" w:cs="宋体"/>
          <w:spacing w:val="4"/>
          <w:sz w:val="24"/>
          <w:szCs w:val="24"/>
          <w:highlight w:val="none"/>
        </w:rPr>
      </w:pPr>
    </w:p>
    <w:p w14:paraId="7CD5341B">
      <w:pPr>
        <w:pStyle w:val="13"/>
        <w:adjustRightInd w:val="0"/>
        <w:snapToGrid w:val="0"/>
        <w:spacing w:line="720" w:lineRule="exact"/>
        <w:rPr>
          <w:rFonts w:hAnsi="宋体" w:cs="宋体"/>
          <w:spacing w:val="4"/>
          <w:sz w:val="24"/>
          <w:szCs w:val="24"/>
          <w:highlight w:val="none"/>
        </w:rPr>
      </w:pPr>
    </w:p>
    <w:p w14:paraId="1A3CE347">
      <w:pPr>
        <w:pStyle w:val="13"/>
        <w:adjustRightInd w:val="0"/>
        <w:snapToGrid w:val="0"/>
        <w:spacing w:line="720" w:lineRule="exact"/>
        <w:rPr>
          <w:rFonts w:hAnsi="宋体" w:cs="宋体"/>
          <w:spacing w:val="4"/>
          <w:sz w:val="24"/>
          <w:szCs w:val="24"/>
          <w:highlight w:val="none"/>
        </w:rPr>
      </w:pPr>
    </w:p>
    <w:p w14:paraId="2CE7CAD3">
      <w:pPr>
        <w:spacing w:line="480" w:lineRule="auto"/>
        <w:ind w:firstLine="3360" w:firstLineChars="1400"/>
        <w:rPr>
          <w:rFonts w:hAnsi="宋体" w:cs="宋体"/>
          <w:highlight w:val="none"/>
        </w:rPr>
      </w:pPr>
      <w:r>
        <w:rPr>
          <w:rFonts w:hint="eastAsia" w:hAnsi="宋体" w:cs="宋体"/>
          <w:highlight w:val="none"/>
        </w:rPr>
        <w:t>供应商名称：</w:t>
      </w:r>
      <w:r>
        <w:rPr>
          <w:rFonts w:hint="eastAsia" w:hAnsi="宋体" w:cs="宋体"/>
          <w:highlight w:val="none"/>
          <w:u w:val="single"/>
        </w:rPr>
        <w:t xml:space="preserve">               </w:t>
      </w:r>
      <w:r>
        <w:rPr>
          <w:rFonts w:hint="eastAsia" w:hAnsi="宋体" w:cs="宋体"/>
          <w:highlight w:val="none"/>
        </w:rPr>
        <w:t>（盖章）</w:t>
      </w:r>
    </w:p>
    <w:p w14:paraId="535CC4B0">
      <w:pPr>
        <w:pStyle w:val="38"/>
        <w:spacing w:before="156" w:beforeLines="50"/>
        <w:ind w:firstLine="3360" w:firstLineChars="1400"/>
        <w:rPr>
          <w:rFonts w:ascii="宋体" w:hAnsi="宋体" w:cs="宋体"/>
          <w:szCs w:val="24"/>
          <w:highlight w:val="none"/>
        </w:rPr>
      </w:pPr>
      <w:r>
        <w:rPr>
          <w:rFonts w:hint="eastAsia" w:ascii="宋体" w:hAnsi="宋体" w:cs="宋体"/>
          <w:szCs w:val="24"/>
          <w:highlight w:val="none"/>
        </w:rPr>
        <w:t>日        期：</w:t>
      </w:r>
      <w:r>
        <w:rPr>
          <w:rFonts w:hint="eastAsia" w:ascii="宋体" w:hAnsi="宋体" w:cs="宋体"/>
          <w:szCs w:val="24"/>
          <w:highlight w:val="none"/>
          <w:u w:val="single"/>
        </w:rPr>
        <w:t xml:space="preserve">      </w:t>
      </w:r>
      <w:r>
        <w:rPr>
          <w:rFonts w:hint="eastAsia" w:ascii="宋体" w:hAnsi="宋体" w:cs="宋体"/>
          <w:szCs w:val="24"/>
          <w:highlight w:val="none"/>
        </w:rPr>
        <w:t>年</w:t>
      </w:r>
      <w:r>
        <w:rPr>
          <w:rFonts w:hint="eastAsia" w:ascii="宋体" w:hAnsi="宋体" w:cs="宋体"/>
          <w:szCs w:val="24"/>
          <w:highlight w:val="none"/>
          <w:u w:val="single"/>
        </w:rPr>
        <w:t xml:space="preserve">     </w:t>
      </w:r>
      <w:r>
        <w:rPr>
          <w:rFonts w:hint="eastAsia" w:ascii="宋体" w:hAnsi="宋体" w:cs="宋体"/>
          <w:szCs w:val="24"/>
          <w:highlight w:val="none"/>
        </w:rPr>
        <w:t>月</w:t>
      </w:r>
      <w:r>
        <w:rPr>
          <w:rFonts w:hint="eastAsia" w:ascii="宋体" w:hAnsi="宋体" w:cs="宋体"/>
          <w:szCs w:val="24"/>
          <w:highlight w:val="none"/>
          <w:u w:val="single"/>
        </w:rPr>
        <w:t xml:space="preserve">     </w:t>
      </w:r>
      <w:r>
        <w:rPr>
          <w:rFonts w:hint="eastAsia" w:ascii="宋体" w:hAnsi="宋体" w:cs="宋体"/>
          <w:szCs w:val="24"/>
          <w:highlight w:val="none"/>
        </w:rPr>
        <w:t>日</w:t>
      </w:r>
    </w:p>
    <w:p w14:paraId="28F26B15">
      <w:pPr>
        <w:widowControl/>
        <w:rPr>
          <w:rFonts w:hAnsi="宋体" w:cs="宋体"/>
          <w:sz w:val="28"/>
          <w:szCs w:val="28"/>
          <w:highlight w:val="none"/>
        </w:rPr>
      </w:pPr>
      <w:r>
        <w:rPr>
          <w:rFonts w:hint="eastAsia" w:hAnsi="宋体" w:cs="宋体"/>
          <w:spacing w:val="4"/>
          <w:szCs w:val="30"/>
          <w:highlight w:val="none"/>
        </w:rPr>
        <w:br w:type="page"/>
      </w:r>
      <w:r>
        <w:rPr>
          <w:rFonts w:hint="eastAsia" w:hAnsi="宋体" w:cs="宋体"/>
          <w:b/>
          <w:bCs/>
          <w:color w:val="000000"/>
          <w:sz w:val="28"/>
          <w:szCs w:val="28"/>
          <w:highlight w:val="none"/>
          <w:lang w:bidi="ar"/>
        </w:rPr>
        <w:t>投标人提供直接控股和管理关系清单，格式不限。</w:t>
      </w:r>
    </w:p>
    <w:p w14:paraId="7702C19E">
      <w:pPr>
        <w:widowControl/>
        <w:jc w:val="center"/>
        <w:rPr>
          <w:rFonts w:hAnsi="宋体" w:cs="宋体"/>
          <w:color w:val="000000"/>
          <w:sz w:val="28"/>
          <w:szCs w:val="28"/>
          <w:highlight w:val="none"/>
          <w:lang w:bidi="ar"/>
        </w:rPr>
      </w:pPr>
      <w:r>
        <w:rPr>
          <w:rFonts w:hint="eastAsia" w:hAnsi="宋体" w:cs="宋体"/>
          <w:b/>
          <w:bCs/>
          <w:color w:val="000000"/>
          <w:sz w:val="28"/>
          <w:szCs w:val="28"/>
          <w:highlight w:val="none"/>
          <w:lang w:bidi="ar"/>
        </w:rPr>
        <w:t>控股管理关系（样表）</w:t>
      </w:r>
    </w:p>
    <w:p w14:paraId="3FCAC50E">
      <w:pPr>
        <w:widowControl/>
        <w:spacing w:line="360" w:lineRule="auto"/>
        <w:jc w:val="left"/>
        <w:rPr>
          <w:rFonts w:hAnsi="宋体" w:cs="宋体"/>
          <w:szCs w:val="24"/>
          <w:highlight w:val="none"/>
        </w:rPr>
      </w:pPr>
      <w:r>
        <w:rPr>
          <w:rFonts w:hint="eastAsia" w:hAnsi="宋体" w:cs="宋体"/>
          <w:color w:val="000000"/>
          <w:szCs w:val="24"/>
          <w:highlight w:val="none"/>
          <w:lang w:bidi="ar"/>
        </w:rPr>
        <w:t>陕西至诚项目管理集团有限公司：</w:t>
      </w:r>
    </w:p>
    <w:p w14:paraId="60F69143">
      <w:pPr>
        <w:widowControl/>
        <w:spacing w:line="360" w:lineRule="auto"/>
        <w:ind w:firstLine="480" w:firstLineChars="200"/>
        <w:jc w:val="left"/>
        <w:rPr>
          <w:rFonts w:hAnsi="宋体" w:cs="宋体"/>
          <w:szCs w:val="24"/>
          <w:highlight w:val="none"/>
        </w:rPr>
      </w:pPr>
      <w:r>
        <w:rPr>
          <w:rFonts w:hint="eastAsia" w:hAnsi="宋体" w:cs="宋体"/>
          <w:color w:val="000000"/>
          <w:szCs w:val="24"/>
          <w:highlight w:val="none"/>
          <w:lang w:bidi="ar"/>
        </w:rPr>
        <w:t>我方与以下投标人存在直接控股、管理关系：</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3290B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6E2F95BF">
            <w:pPr>
              <w:jc w:val="center"/>
              <w:rPr>
                <w:rFonts w:hAnsi="宋体" w:cs="宋体"/>
                <w:b/>
                <w:bCs/>
                <w:szCs w:val="24"/>
                <w:highlight w:val="none"/>
                <w:shd w:val="clear" w:color="auto" w:fill="FFFFFF"/>
              </w:rPr>
            </w:pPr>
            <w:r>
              <w:rPr>
                <w:rFonts w:hAnsi="宋体" w:cs="宋体"/>
                <w:b/>
                <w:bCs/>
                <w:szCs w:val="24"/>
                <w:highlight w:val="none"/>
                <w:shd w:val="clear" w:color="auto" w:fill="FFFFFF"/>
              </w:rPr>
              <w:t>存在直接控股、管理关系的相关投标人</w:t>
            </w:r>
          </w:p>
        </w:tc>
      </w:tr>
      <w:tr w14:paraId="60730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7575BB65">
            <w:pPr>
              <w:jc w:val="center"/>
              <w:rPr>
                <w:rFonts w:hAnsi="宋体" w:cs="宋体"/>
                <w:b/>
                <w:bCs/>
                <w:szCs w:val="24"/>
                <w:highlight w:val="none"/>
                <w:shd w:val="clear" w:color="auto" w:fill="FFFFFF"/>
              </w:rPr>
            </w:pPr>
            <w:r>
              <w:rPr>
                <w:rFonts w:hint="eastAsia" w:hAnsi="宋体" w:cs="宋体"/>
                <w:b/>
                <w:bCs/>
                <w:szCs w:val="24"/>
                <w:highlight w:val="none"/>
                <w:shd w:val="clear" w:color="auto" w:fill="FFFFFF"/>
              </w:rPr>
              <w:t>序号</w:t>
            </w:r>
          </w:p>
        </w:tc>
        <w:tc>
          <w:tcPr>
            <w:tcW w:w="4005" w:type="dxa"/>
            <w:vAlign w:val="center"/>
          </w:tcPr>
          <w:p w14:paraId="40A2FDBD">
            <w:pPr>
              <w:jc w:val="center"/>
              <w:rPr>
                <w:rFonts w:hAnsi="宋体" w:cs="宋体"/>
                <w:b/>
                <w:bCs/>
                <w:szCs w:val="24"/>
                <w:highlight w:val="none"/>
                <w:shd w:val="clear" w:color="auto" w:fill="FFFFFF"/>
              </w:rPr>
            </w:pPr>
            <w:r>
              <w:rPr>
                <w:rFonts w:hAnsi="宋体" w:cs="宋体"/>
                <w:b/>
                <w:bCs/>
                <w:szCs w:val="24"/>
                <w:highlight w:val="none"/>
                <w:shd w:val="clear" w:color="auto" w:fill="FFFFFF"/>
              </w:rPr>
              <w:t>直接控股股东名称及出资比例</w:t>
            </w:r>
          </w:p>
        </w:tc>
        <w:tc>
          <w:tcPr>
            <w:tcW w:w="3150" w:type="dxa"/>
            <w:vAlign w:val="center"/>
          </w:tcPr>
          <w:p w14:paraId="47ED12CD">
            <w:pPr>
              <w:jc w:val="center"/>
              <w:rPr>
                <w:rFonts w:hAnsi="宋体" w:cs="宋体"/>
                <w:b/>
                <w:bCs/>
                <w:szCs w:val="24"/>
                <w:highlight w:val="none"/>
                <w:shd w:val="clear" w:color="auto" w:fill="FFFFFF"/>
              </w:rPr>
            </w:pPr>
            <w:r>
              <w:rPr>
                <w:rFonts w:hAnsi="宋体" w:cs="宋体"/>
                <w:b/>
                <w:bCs/>
                <w:szCs w:val="24"/>
                <w:highlight w:val="none"/>
                <w:shd w:val="clear" w:color="auto" w:fill="FFFFFF"/>
              </w:rPr>
              <w:t>直接管理关系单位名称</w:t>
            </w:r>
          </w:p>
        </w:tc>
        <w:tc>
          <w:tcPr>
            <w:tcW w:w="1394" w:type="dxa"/>
            <w:vAlign w:val="center"/>
          </w:tcPr>
          <w:p w14:paraId="6CF725D3">
            <w:pPr>
              <w:jc w:val="center"/>
              <w:rPr>
                <w:rFonts w:hAnsi="宋体" w:cs="宋体"/>
                <w:b/>
                <w:bCs/>
                <w:szCs w:val="24"/>
                <w:highlight w:val="none"/>
                <w:shd w:val="clear" w:color="auto" w:fill="FFFFFF"/>
              </w:rPr>
            </w:pPr>
            <w:r>
              <w:rPr>
                <w:rFonts w:hint="eastAsia" w:hAnsi="宋体" w:cs="宋体"/>
                <w:b/>
                <w:bCs/>
                <w:szCs w:val="24"/>
                <w:highlight w:val="none"/>
                <w:shd w:val="clear" w:color="auto" w:fill="FFFFFF"/>
              </w:rPr>
              <w:t>备注</w:t>
            </w:r>
          </w:p>
        </w:tc>
      </w:tr>
      <w:tr w14:paraId="2271F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385F5FE0">
            <w:pPr>
              <w:jc w:val="center"/>
              <w:rPr>
                <w:rFonts w:hAnsi="宋体" w:cs="宋体"/>
                <w:b/>
                <w:bCs/>
                <w:szCs w:val="24"/>
                <w:highlight w:val="none"/>
                <w:shd w:val="clear" w:color="auto" w:fill="FFFFFF"/>
              </w:rPr>
            </w:pPr>
            <w:r>
              <w:rPr>
                <w:rFonts w:hint="eastAsia" w:hAnsi="宋体" w:cs="宋体"/>
                <w:b/>
                <w:bCs/>
                <w:szCs w:val="24"/>
                <w:highlight w:val="none"/>
                <w:shd w:val="clear" w:color="auto" w:fill="FFFFFF"/>
              </w:rPr>
              <w:t>1</w:t>
            </w:r>
          </w:p>
        </w:tc>
        <w:tc>
          <w:tcPr>
            <w:tcW w:w="4005" w:type="dxa"/>
          </w:tcPr>
          <w:p w14:paraId="3DEDF2C9">
            <w:pPr>
              <w:rPr>
                <w:rFonts w:hAnsi="宋体" w:cs="宋体"/>
                <w:b/>
                <w:bCs/>
                <w:szCs w:val="24"/>
                <w:highlight w:val="none"/>
                <w:shd w:val="clear" w:color="auto" w:fill="FFFFFF"/>
              </w:rPr>
            </w:pPr>
          </w:p>
        </w:tc>
        <w:tc>
          <w:tcPr>
            <w:tcW w:w="3150" w:type="dxa"/>
          </w:tcPr>
          <w:p w14:paraId="6C87DDC3">
            <w:pPr>
              <w:rPr>
                <w:rFonts w:hAnsi="宋体" w:cs="宋体"/>
                <w:b/>
                <w:bCs/>
                <w:szCs w:val="24"/>
                <w:highlight w:val="none"/>
                <w:shd w:val="clear" w:color="auto" w:fill="FFFFFF"/>
              </w:rPr>
            </w:pPr>
          </w:p>
        </w:tc>
        <w:tc>
          <w:tcPr>
            <w:tcW w:w="1394" w:type="dxa"/>
          </w:tcPr>
          <w:p w14:paraId="33536C64">
            <w:pPr>
              <w:rPr>
                <w:rFonts w:hAnsi="宋体" w:cs="宋体"/>
                <w:b/>
                <w:bCs/>
                <w:szCs w:val="24"/>
                <w:highlight w:val="none"/>
                <w:shd w:val="clear" w:color="auto" w:fill="FFFFFF"/>
              </w:rPr>
            </w:pPr>
          </w:p>
        </w:tc>
      </w:tr>
      <w:tr w14:paraId="7ABA4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924FBDB">
            <w:pPr>
              <w:jc w:val="center"/>
              <w:rPr>
                <w:rFonts w:hAnsi="宋体" w:cs="宋体"/>
                <w:b/>
                <w:bCs/>
                <w:szCs w:val="24"/>
                <w:highlight w:val="none"/>
                <w:shd w:val="clear" w:color="auto" w:fill="FFFFFF"/>
              </w:rPr>
            </w:pPr>
            <w:r>
              <w:rPr>
                <w:rFonts w:hint="eastAsia" w:hAnsi="宋体" w:cs="宋体"/>
                <w:b/>
                <w:bCs/>
                <w:szCs w:val="24"/>
                <w:highlight w:val="none"/>
                <w:shd w:val="clear" w:color="auto" w:fill="FFFFFF"/>
              </w:rPr>
              <w:t>2</w:t>
            </w:r>
          </w:p>
        </w:tc>
        <w:tc>
          <w:tcPr>
            <w:tcW w:w="4005" w:type="dxa"/>
          </w:tcPr>
          <w:p w14:paraId="6ADEA6FF">
            <w:pPr>
              <w:rPr>
                <w:rFonts w:hAnsi="宋体" w:cs="宋体"/>
                <w:b/>
                <w:bCs/>
                <w:szCs w:val="24"/>
                <w:highlight w:val="none"/>
                <w:shd w:val="clear" w:color="auto" w:fill="FFFFFF"/>
              </w:rPr>
            </w:pPr>
          </w:p>
        </w:tc>
        <w:tc>
          <w:tcPr>
            <w:tcW w:w="3150" w:type="dxa"/>
          </w:tcPr>
          <w:p w14:paraId="7AB96571">
            <w:pPr>
              <w:rPr>
                <w:rFonts w:hAnsi="宋体" w:cs="宋体"/>
                <w:b/>
                <w:bCs/>
                <w:szCs w:val="24"/>
                <w:highlight w:val="none"/>
                <w:shd w:val="clear" w:color="auto" w:fill="FFFFFF"/>
              </w:rPr>
            </w:pPr>
          </w:p>
        </w:tc>
        <w:tc>
          <w:tcPr>
            <w:tcW w:w="1394" w:type="dxa"/>
          </w:tcPr>
          <w:p w14:paraId="357593F7">
            <w:pPr>
              <w:rPr>
                <w:rFonts w:hAnsi="宋体" w:cs="宋体"/>
                <w:b/>
                <w:bCs/>
                <w:szCs w:val="24"/>
                <w:highlight w:val="none"/>
                <w:shd w:val="clear" w:color="auto" w:fill="FFFFFF"/>
              </w:rPr>
            </w:pPr>
          </w:p>
        </w:tc>
      </w:tr>
      <w:tr w14:paraId="79FD4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56E566B6">
            <w:pPr>
              <w:jc w:val="center"/>
              <w:rPr>
                <w:rFonts w:hAnsi="宋体" w:cs="宋体"/>
                <w:b/>
                <w:bCs/>
                <w:szCs w:val="24"/>
                <w:highlight w:val="none"/>
                <w:shd w:val="clear" w:color="auto" w:fill="FFFFFF"/>
              </w:rPr>
            </w:pPr>
            <w:r>
              <w:rPr>
                <w:rFonts w:hint="eastAsia" w:hAnsi="宋体" w:cs="宋体"/>
                <w:b/>
                <w:bCs/>
                <w:szCs w:val="24"/>
                <w:highlight w:val="none"/>
                <w:shd w:val="clear" w:color="auto" w:fill="FFFFFF"/>
              </w:rPr>
              <w:t>3</w:t>
            </w:r>
          </w:p>
        </w:tc>
        <w:tc>
          <w:tcPr>
            <w:tcW w:w="4005" w:type="dxa"/>
          </w:tcPr>
          <w:p w14:paraId="39A22DA8">
            <w:pPr>
              <w:rPr>
                <w:rFonts w:hAnsi="宋体" w:cs="宋体"/>
                <w:b/>
                <w:bCs/>
                <w:szCs w:val="24"/>
                <w:highlight w:val="none"/>
                <w:shd w:val="clear" w:color="auto" w:fill="FFFFFF"/>
              </w:rPr>
            </w:pPr>
          </w:p>
        </w:tc>
        <w:tc>
          <w:tcPr>
            <w:tcW w:w="3150" w:type="dxa"/>
          </w:tcPr>
          <w:p w14:paraId="1DBE6232">
            <w:pPr>
              <w:rPr>
                <w:rFonts w:hAnsi="宋体" w:cs="宋体"/>
                <w:b/>
                <w:bCs/>
                <w:szCs w:val="24"/>
                <w:highlight w:val="none"/>
                <w:shd w:val="clear" w:color="auto" w:fill="FFFFFF"/>
              </w:rPr>
            </w:pPr>
          </w:p>
        </w:tc>
        <w:tc>
          <w:tcPr>
            <w:tcW w:w="1394" w:type="dxa"/>
          </w:tcPr>
          <w:p w14:paraId="2BC9DBAD">
            <w:pPr>
              <w:rPr>
                <w:rFonts w:hAnsi="宋体" w:cs="宋体"/>
                <w:b/>
                <w:bCs/>
                <w:szCs w:val="24"/>
                <w:highlight w:val="none"/>
                <w:shd w:val="clear" w:color="auto" w:fill="FFFFFF"/>
              </w:rPr>
            </w:pPr>
          </w:p>
        </w:tc>
      </w:tr>
      <w:tr w14:paraId="4AD61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4D6093F">
            <w:pPr>
              <w:jc w:val="center"/>
              <w:rPr>
                <w:rFonts w:hAnsi="宋体" w:cs="宋体"/>
                <w:b/>
                <w:bCs/>
                <w:szCs w:val="24"/>
                <w:highlight w:val="none"/>
                <w:shd w:val="clear" w:color="auto" w:fill="FFFFFF"/>
              </w:rPr>
            </w:pPr>
            <w:r>
              <w:rPr>
                <w:rFonts w:hint="eastAsia" w:hAnsi="宋体" w:cs="宋体"/>
                <w:b/>
                <w:bCs/>
                <w:szCs w:val="24"/>
                <w:highlight w:val="none"/>
                <w:shd w:val="clear" w:color="auto" w:fill="FFFFFF"/>
              </w:rPr>
              <w:t>......</w:t>
            </w:r>
          </w:p>
        </w:tc>
        <w:tc>
          <w:tcPr>
            <w:tcW w:w="4005" w:type="dxa"/>
          </w:tcPr>
          <w:p w14:paraId="222D6146">
            <w:pPr>
              <w:rPr>
                <w:rFonts w:hAnsi="宋体" w:cs="宋体"/>
                <w:b/>
                <w:bCs/>
                <w:szCs w:val="24"/>
                <w:highlight w:val="none"/>
                <w:shd w:val="clear" w:color="auto" w:fill="FFFFFF"/>
              </w:rPr>
            </w:pPr>
          </w:p>
        </w:tc>
        <w:tc>
          <w:tcPr>
            <w:tcW w:w="3150" w:type="dxa"/>
          </w:tcPr>
          <w:p w14:paraId="41F9746D">
            <w:pPr>
              <w:rPr>
                <w:rFonts w:hAnsi="宋体" w:cs="宋体"/>
                <w:b/>
                <w:bCs/>
                <w:szCs w:val="24"/>
                <w:highlight w:val="none"/>
                <w:shd w:val="clear" w:color="auto" w:fill="FFFFFF"/>
              </w:rPr>
            </w:pPr>
          </w:p>
        </w:tc>
        <w:tc>
          <w:tcPr>
            <w:tcW w:w="1394" w:type="dxa"/>
          </w:tcPr>
          <w:p w14:paraId="19F443B4">
            <w:pPr>
              <w:rPr>
                <w:rFonts w:hAnsi="宋体" w:cs="宋体"/>
                <w:b/>
                <w:bCs/>
                <w:szCs w:val="24"/>
                <w:highlight w:val="none"/>
                <w:shd w:val="clear" w:color="auto" w:fill="FFFFFF"/>
              </w:rPr>
            </w:pPr>
          </w:p>
        </w:tc>
      </w:tr>
    </w:tbl>
    <w:p w14:paraId="1310E2C6">
      <w:pPr>
        <w:rPr>
          <w:rFonts w:hAnsi="宋体" w:cs="宋体"/>
          <w:b/>
          <w:bCs/>
          <w:sz w:val="32"/>
          <w:szCs w:val="32"/>
          <w:highlight w:val="none"/>
          <w:shd w:val="clear" w:color="auto" w:fill="FFFFFF"/>
        </w:rPr>
      </w:pPr>
    </w:p>
    <w:p w14:paraId="09D89236">
      <w:pPr>
        <w:widowControl/>
        <w:spacing w:line="360" w:lineRule="auto"/>
        <w:jc w:val="left"/>
        <w:rPr>
          <w:rFonts w:hAnsi="宋体" w:cs="宋体"/>
          <w:color w:val="000000"/>
          <w:szCs w:val="24"/>
          <w:highlight w:val="none"/>
          <w:lang w:bidi="ar"/>
        </w:rPr>
      </w:pPr>
    </w:p>
    <w:p w14:paraId="546DD1A5">
      <w:pPr>
        <w:widowControl/>
        <w:spacing w:line="360" w:lineRule="auto"/>
        <w:jc w:val="right"/>
        <w:rPr>
          <w:rFonts w:hAnsi="宋体" w:cs="宋体"/>
          <w:szCs w:val="24"/>
          <w:highlight w:val="none"/>
        </w:rPr>
      </w:pPr>
      <w:r>
        <w:rPr>
          <w:rFonts w:hint="eastAsia" w:hAnsi="宋体" w:cs="宋体"/>
          <w:color w:val="000000"/>
          <w:szCs w:val="24"/>
          <w:highlight w:val="none"/>
          <w:lang w:bidi="ar"/>
        </w:rPr>
        <w:t>投标人名称：</w:t>
      </w:r>
      <w:r>
        <w:rPr>
          <w:rFonts w:hint="eastAsia" w:hAnsi="宋体" w:cs="宋体"/>
          <w:color w:val="000000"/>
          <w:szCs w:val="24"/>
          <w:highlight w:val="none"/>
          <w:u w:val="single"/>
          <w:lang w:bidi="ar"/>
        </w:rPr>
        <w:t xml:space="preserve">           </w:t>
      </w:r>
      <w:r>
        <w:rPr>
          <w:rFonts w:hint="eastAsia" w:hAnsi="宋体" w:cs="宋体"/>
          <w:color w:val="000000"/>
          <w:szCs w:val="24"/>
          <w:highlight w:val="none"/>
          <w:lang w:bidi="ar"/>
        </w:rPr>
        <w:t>（加盖公章）</w:t>
      </w:r>
    </w:p>
    <w:p w14:paraId="14109158">
      <w:pPr>
        <w:widowControl/>
        <w:spacing w:line="360" w:lineRule="auto"/>
        <w:jc w:val="right"/>
        <w:rPr>
          <w:rFonts w:hAnsi="宋体" w:cs="宋体"/>
          <w:szCs w:val="24"/>
          <w:highlight w:val="none"/>
        </w:rPr>
      </w:pPr>
      <w:r>
        <w:rPr>
          <w:rFonts w:hint="eastAsia" w:hAnsi="宋体" w:cs="宋体"/>
          <w:color w:val="000000"/>
          <w:szCs w:val="24"/>
          <w:highlight w:val="none"/>
          <w:lang w:bidi="ar"/>
        </w:rPr>
        <w:t>日期：</w:t>
      </w:r>
      <w:r>
        <w:rPr>
          <w:rFonts w:hint="eastAsia" w:hAnsi="宋体" w:cs="宋体"/>
          <w:color w:val="000000"/>
          <w:szCs w:val="24"/>
          <w:highlight w:val="none"/>
          <w:u w:val="single"/>
          <w:lang w:bidi="ar"/>
        </w:rPr>
        <w:t xml:space="preserve">     </w:t>
      </w:r>
      <w:r>
        <w:rPr>
          <w:rFonts w:hint="eastAsia" w:hAnsi="宋体" w:cs="宋体"/>
          <w:color w:val="000000"/>
          <w:szCs w:val="24"/>
          <w:highlight w:val="none"/>
          <w:lang w:bidi="ar"/>
        </w:rPr>
        <w:t>年</w:t>
      </w:r>
      <w:r>
        <w:rPr>
          <w:rFonts w:hint="eastAsia" w:hAnsi="宋体" w:cs="宋体"/>
          <w:color w:val="000000"/>
          <w:szCs w:val="24"/>
          <w:highlight w:val="none"/>
          <w:u w:val="single"/>
          <w:lang w:bidi="ar"/>
        </w:rPr>
        <w:t xml:space="preserve">    </w:t>
      </w:r>
      <w:r>
        <w:rPr>
          <w:rFonts w:hint="eastAsia" w:hAnsi="宋体" w:cs="宋体"/>
          <w:color w:val="000000"/>
          <w:szCs w:val="24"/>
          <w:highlight w:val="none"/>
          <w:lang w:bidi="ar"/>
        </w:rPr>
        <w:t>月</w:t>
      </w:r>
      <w:r>
        <w:rPr>
          <w:rFonts w:hint="eastAsia" w:hAnsi="宋体" w:cs="宋体"/>
          <w:color w:val="000000"/>
          <w:szCs w:val="24"/>
          <w:highlight w:val="none"/>
          <w:u w:val="single"/>
          <w:lang w:bidi="ar"/>
        </w:rPr>
        <w:t xml:space="preserve">    </w:t>
      </w:r>
      <w:r>
        <w:rPr>
          <w:rFonts w:hint="eastAsia" w:hAnsi="宋体" w:cs="宋体"/>
          <w:color w:val="000000"/>
          <w:szCs w:val="24"/>
          <w:highlight w:val="none"/>
          <w:lang w:bidi="ar"/>
        </w:rPr>
        <w:t>日</w:t>
      </w:r>
    </w:p>
    <w:p w14:paraId="5AA48DBF">
      <w:pPr>
        <w:widowControl/>
        <w:spacing w:line="360" w:lineRule="auto"/>
        <w:ind w:firstLine="420" w:firstLineChars="200"/>
        <w:jc w:val="left"/>
        <w:rPr>
          <w:sz w:val="21"/>
          <w:szCs w:val="21"/>
          <w:highlight w:val="none"/>
        </w:rPr>
      </w:pPr>
      <w:r>
        <w:rPr>
          <w:rFonts w:hint="eastAsia" w:hAnsi="宋体" w:cs="宋体"/>
          <w:color w:val="000000"/>
          <w:sz w:val="21"/>
          <w:szCs w:val="21"/>
          <w:highlight w:val="none"/>
          <w:lang w:bidi="ar"/>
        </w:rPr>
        <w:t xml:space="preserve">备注： </w:t>
      </w:r>
    </w:p>
    <w:p w14:paraId="75DEBBBD">
      <w:pPr>
        <w:widowControl/>
        <w:spacing w:line="360" w:lineRule="auto"/>
        <w:ind w:firstLine="420" w:firstLineChars="200"/>
        <w:jc w:val="left"/>
        <w:rPr>
          <w:sz w:val="21"/>
          <w:szCs w:val="21"/>
          <w:highlight w:val="none"/>
        </w:rPr>
      </w:pPr>
      <w:r>
        <w:rPr>
          <w:rFonts w:hint="eastAsia" w:hAnsi="宋体" w:cs="宋体"/>
          <w:color w:val="000000"/>
          <w:sz w:val="21"/>
          <w:szCs w:val="21"/>
          <w:highlight w:val="none"/>
          <w:lang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7CD53C50">
      <w:pPr>
        <w:widowControl/>
        <w:spacing w:line="360" w:lineRule="auto"/>
        <w:ind w:firstLine="420" w:firstLineChars="200"/>
        <w:jc w:val="left"/>
        <w:rPr>
          <w:sz w:val="21"/>
          <w:szCs w:val="21"/>
          <w:highlight w:val="none"/>
        </w:rPr>
      </w:pPr>
      <w:r>
        <w:rPr>
          <w:rFonts w:hint="eastAsia" w:hAnsi="宋体" w:cs="宋体"/>
          <w:color w:val="000000"/>
          <w:sz w:val="21"/>
          <w:szCs w:val="21"/>
          <w:highlight w:val="none"/>
          <w:lang w:bidi="ar"/>
        </w:rPr>
        <w:t>2.管理关系：是指不具有出资持股关系的其他单位之间存在的管理与被管理关系，如一些上下级关系的事业单位和团体组织。</w:t>
      </w:r>
    </w:p>
    <w:p w14:paraId="1B77D69B">
      <w:pPr>
        <w:widowControl/>
        <w:spacing w:line="360" w:lineRule="auto"/>
        <w:ind w:firstLine="420" w:firstLineChars="200"/>
        <w:jc w:val="left"/>
        <w:rPr>
          <w:sz w:val="21"/>
          <w:szCs w:val="21"/>
          <w:highlight w:val="none"/>
        </w:rPr>
      </w:pPr>
      <w:r>
        <w:rPr>
          <w:rFonts w:hint="eastAsia" w:hAnsi="宋体" w:cs="宋体"/>
          <w:color w:val="000000"/>
          <w:sz w:val="21"/>
          <w:szCs w:val="21"/>
          <w:highlight w:val="none"/>
          <w:lang w:bidi="ar"/>
        </w:rPr>
        <w:t>3.本表所指的控股、管理关系仅限于直接控股、直接管理关系，不包括间接的控股或管理关系。公司实际控制人与公司之间的关系不属于本表所指的直接控股关系。</w:t>
      </w:r>
    </w:p>
    <w:p w14:paraId="5F70B06E">
      <w:pPr>
        <w:widowControl/>
        <w:spacing w:line="360" w:lineRule="auto"/>
        <w:ind w:firstLine="420" w:firstLineChars="200"/>
        <w:jc w:val="left"/>
        <w:rPr>
          <w:highlight w:val="none"/>
        </w:rPr>
      </w:pPr>
      <w:r>
        <w:rPr>
          <w:rFonts w:hint="eastAsia" w:hAnsi="宋体" w:cs="宋体"/>
          <w:color w:val="000000"/>
          <w:sz w:val="21"/>
          <w:szCs w:val="21"/>
          <w:highlight w:val="none"/>
          <w:lang w:bidi="ar"/>
        </w:rPr>
        <w:t>4.投标人如不存在直接控股股东的，则在“直接控股股东名称及出资比例”处填写“无”或“/”。投标人不存在直接管理关系的，则在“直接管理关系单位名称”中填“无”或“/”。</w:t>
      </w:r>
    </w:p>
    <w:p w14:paraId="012D47AD">
      <w:pPr>
        <w:rPr>
          <w:rFonts w:hAnsi="宋体" w:cs="宋体"/>
          <w:spacing w:val="4"/>
          <w:szCs w:val="30"/>
          <w:highlight w:val="none"/>
        </w:rPr>
      </w:pPr>
    </w:p>
    <w:p w14:paraId="412377E9">
      <w:pPr>
        <w:pStyle w:val="10"/>
        <w:rPr>
          <w:highlight w:val="none"/>
        </w:rPr>
      </w:pPr>
    </w:p>
    <w:p w14:paraId="4B65EC0B">
      <w:pPr>
        <w:rPr>
          <w:rFonts w:hint="eastAsia" w:hAnsi="宋体" w:cs="宋体"/>
          <w:b/>
          <w:sz w:val="28"/>
          <w:szCs w:val="28"/>
          <w:highlight w:val="none"/>
        </w:rPr>
      </w:pPr>
      <w:bookmarkStart w:id="234" w:name="_Toc29482"/>
      <w:r>
        <w:rPr>
          <w:rFonts w:hint="eastAsia" w:hAnsi="宋体" w:cs="宋体"/>
          <w:b/>
          <w:sz w:val="28"/>
          <w:szCs w:val="28"/>
          <w:highlight w:val="none"/>
        </w:rPr>
        <w:br w:type="page"/>
      </w:r>
    </w:p>
    <w:p w14:paraId="08BC0B1A">
      <w:pPr>
        <w:spacing w:before="100" w:beforeAutospacing="1" w:after="156" w:afterLines="50" w:line="360" w:lineRule="auto"/>
        <w:jc w:val="left"/>
        <w:outlineLvl w:val="2"/>
        <w:rPr>
          <w:rFonts w:hAnsi="宋体" w:cs="宋体"/>
          <w:b/>
          <w:sz w:val="28"/>
          <w:szCs w:val="28"/>
          <w:highlight w:val="none"/>
        </w:rPr>
      </w:pPr>
      <w:bookmarkStart w:id="235" w:name="_Toc14259"/>
      <w:r>
        <w:rPr>
          <w:rFonts w:hint="eastAsia" w:hAnsi="宋体" w:cs="宋体"/>
          <w:b/>
          <w:sz w:val="28"/>
          <w:szCs w:val="28"/>
          <w:highlight w:val="none"/>
        </w:rPr>
        <w:t>附件2：中小企业声明函</w:t>
      </w:r>
      <w:bookmarkEnd w:id="232"/>
      <w:bookmarkEnd w:id="233"/>
      <w:bookmarkEnd w:id="234"/>
      <w:bookmarkEnd w:id="235"/>
      <w:bookmarkStart w:id="236" w:name="_Toc13836"/>
    </w:p>
    <w:p w14:paraId="3102A123">
      <w:pPr>
        <w:spacing w:before="156" w:beforeLines="50" w:after="156" w:afterLines="50" w:line="360" w:lineRule="auto"/>
        <w:jc w:val="center"/>
        <w:rPr>
          <w:rFonts w:hAnsi="宋体" w:cs="宋体"/>
          <w:szCs w:val="24"/>
          <w:highlight w:val="none"/>
        </w:rPr>
      </w:pPr>
      <w:r>
        <w:rPr>
          <w:rFonts w:hint="eastAsia" w:hAnsi="宋体" w:cs="宋体"/>
          <w:b/>
          <w:sz w:val="28"/>
          <w:szCs w:val="28"/>
          <w:highlight w:val="none"/>
        </w:rPr>
        <w:t>中小企业声明函</w:t>
      </w:r>
    </w:p>
    <w:p w14:paraId="4CEC9A80">
      <w:pPr>
        <w:tabs>
          <w:tab w:val="left" w:pos="1620"/>
          <w:tab w:val="left" w:pos="1800"/>
        </w:tabs>
        <w:spacing w:line="500" w:lineRule="exact"/>
        <w:ind w:firstLine="480" w:firstLineChars="200"/>
        <w:rPr>
          <w:rFonts w:hAnsi="宋体" w:cs="宋体"/>
          <w:szCs w:val="24"/>
          <w:highlight w:val="none"/>
        </w:rPr>
      </w:pPr>
      <w:r>
        <w:rPr>
          <w:rFonts w:hint="eastAsia" w:hAnsi="宋体" w:cs="宋体"/>
          <w:szCs w:val="24"/>
          <w:highlight w:val="none"/>
        </w:rPr>
        <w:t>本公司郑重声明，根据《政府采购促进中小企业发展管理办法》（财库﹝2020﹞46 号）的规定，本公司参加</w:t>
      </w:r>
      <w:r>
        <w:rPr>
          <w:rFonts w:hint="eastAsia" w:hAnsi="宋体" w:cs="宋体"/>
          <w:szCs w:val="24"/>
          <w:highlight w:val="none"/>
          <w:u w:val="single"/>
        </w:rPr>
        <w:t>（单位名称）</w:t>
      </w:r>
      <w:r>
        <w:rPr>
          <w:rFonts w:hint="eastAsia" w:hAnsi="宋体" w:cs="宋体"/>
          <w:szCs w:val="24"/>
          <w:highlight w:val="none"/>
        </w:rPr>
        <w:t>的</w:t>
      </w:r>
      <w:r>
        <w:rPr>
          <w:rFonts w:hint="eastAsia" w:hAnsi="宋体" w:cs="宋体"/>
          <w:szCs w:val="24"/>
          <w:highlight w:val="none"/>
          <w:u w:val="single"/>
        </w:rPr>
        <w:t>（项目名称）</w:t>
      </w:r>
      <w:r>
        <w:rPr>
          <w:rFonts w:hint="eastAsia" w:hAnsi="宋体" w:cs="宋体"/>
          <w:szCs w:val="24"/>
          <w:highlight w:val="none"/>
        </w:rPr>
        <w:t>采购活动，工程的施工单位全部为符合政策要求的中小企业（或者：服务全部由符合政策要求的中小企业承接）。相关企业的具体情况如下：</w:t>
      </w:r>
    </w:p>
    <w:p w14:paraId="2BEFF1B9">
      <w:pPr>
        <w:tabs>
          <w:tab w:val="left" w:pos="1620"/>
          <w:tab w:val="left" w:pos="1800"/>
        </w:tabs>
        <w:spacing w:line="500" w:lineRule="exact"/>
        <w:ind w:firstLine="480" w:firstLineChars="200"/>
        <w:rPr>
          <w:rFonts w:hAnsi="宋体" w:cs="宋体"/>
          <w:szCs w:val="24"/>
          <w:highlight w:val="none"/>
        </w:rPr>
      </w:pPr>
      <w:r>
        <w:rPr>
          <w:rFonts w:hint="eastAsia" w:hAnsi="宋体" w:cs="宋体"/>
          <w:szCs w:val="24"/>
          <w:highlight w:val="none"/>
        </w:rPr>
        <w:t>1.</w:t>
      </w:r>
      <w:r>
        <w:rPr>
          <w:rFonts w:hint="eastAsia" w:hAnsi="宋体" w:cs="宋体"/>
          <w:szCs w:val="24"/>
          <w:highlight w:val="none"/>
          <w:u w:val="single"/>
        </w:rPr>
        <w:t>（标的名称）</w:t>
      </w:r>
      <w:r>
        <w:rPr>
          <w:rFonts w:hint="eastAsia" w:hAnsi="宋体" w:cs="宋体"/>
          <w:szCs w:val="24"/>
          <w:highlight w:val="none"/>
        </w:rPr>
        <w:t>，属于</w:t>
      </w:r>
      <w:r>
        <w:rPr>
          <w:rFonts w:hint="eastAsia" w:hAnsi="宋体" w:cs="宋体"/>
          <w:szCs w:val="24"/>
          <w:highlight w:val="none"/>
          <w:u w:val="single"/>
        </w:rPr>
        <w:t>（采购文件中明确的所属行业）</w:t>
      </w:r>
      <w:r>
        <w:rPr>
          <w:rFonts w:hint="eastAsia" w:hAnsi="宋体" w:cs="宋体"/>
          <w:szCs w:val="24"/>
          <w:highlight w:val="none"/>
        </w:rPr>
        <w:t>；承建（承接）企业为</w:t>
      </w:r>
      <w:r>
        <w:rPr>
          <w:rFonts w:hint="eastAsia" w:hAnsi="宋体" w:cs="宋体"/>
          <w:szCs w:val="24"/>
          <w:highlight w:val="none"/>
          <w:u w:val="single"/>
        </w:rPr>
        <w:t>（企业名称）</w:t>
      </w:r>
      <w:r>
        <w:rPr>
          <w:rFonts w:hint="eastAsia" w:hAnsi="宋体" w:cs="宋体"/>
          <w:szCs w:val="24"/>
          <w:highlight w:val="none"/>
        </w:rPr>
        <w:t>，从业人员</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人，营业收入</w:t>
      </w:r>
      <w:r>
        <w:rPr>
          <w:rFonts w:hint="eastAsia" w:hAnsi="宋体" w:cs="宋体"/>
          <w:szCs w:val="24"/>
          <w:highlight w:val="none"/>
          <w:u w:val="single"/>
        </w:rPr>
        <w:t xml:space="preserve">为 </w:t>
      </w:r>
      <w:r>
        <w:rPr>
          <w:rFonts w:hint="eastAsia" w:hAnsi="宋体" w:cs="宋体"/>
          <w:szCs w:val="24"/>
          <w:highlight w:val="none"/>
          <w:u w:val="single"/>
        </w:rPr>
        <w:tab/>
      </w:r>
      <w:r>
        <w:rPr>
          <w:rFonts w:hint="eastAsia" w:hAnsi="宋体" w:cs="宋体"/>
          <w:szCs w:val="24"/>
          <w:highlight w:val="none"/>
        </w:rPr>
        <w:t>万元，资产总额为</w:t>
      </w:r>
      <w:r>
        <w:rPr>
          <w:rFonts w:hint="eastAsia" w:hAnsi="宋体" w:cs="宋体"/>
          <w:szCs w:val="24"/>
          <w:highlight w:val="none"/>
          <w:u w:val="single"/>
        </w:rPr>
        <w:t xml:space="preserve">      </w:t>
      </w:r>
      <w:r>
        <w:rPr>
          <w:rFonts w:hint="eastAsia" w:hAnsi="宋体" w:cs="宋体"/>
          <w:szCs w:val="24"/>
          <w:highlight w:val="none"/>
        </w:rPr>
        <w:t>万元，属于</w:t>
      </w:r>
      <w:r>
        <w:rPr>
          <w:rFonts w:hint="eastAsia" w:hAnsi="宋体" w:cs="宋体"/>
          <w:szCs w:val="24"/>
          <w:highlight w:val="none"/>
          <w:u w:val="single"/>
        </w:rPr>
        <w:t>（中型企业、小型企业、微型企业）</w:t>
      </w:r>
      <w:r>
        <w:rPr>
          <w:rFonts w:hint="eastAsia" w:hAnsi="宋体" w:cs="宋体"/>
          <w:szCs w:val="24"/>
          <w:highlight w:val="none"/>
        </w:rPr>
        <w:t>；</w:t>
      </w:r>
    </w:p>
    <w:p w14:paraId="2F191C27">
      <w:pPr>
        <w:tabs>
          <w:tab w:val="left" w:pos="1620"/>
          <w:tab w:val="left" w:pos="1800"/>
        </w:tabs>
        <w:spacing w:line="500" w:lineRule="exact"/>
        <w:ind w:firstLine="480" w:firstLineChars="200"/>
        <w:rPr>
          <w:rFonts w:hAnsi="宋体" w:cs="宋体"/>
          <w:szCs w:val="24"/>
          <w:highlight w:val="none"/>
        </w:rPr>
      </w:pPr>
      <w:r>
        <w:rPr>
          <w:rFonts w:hint="eastAsia" w:hAnsi="宋体" w:cs="宋体"/>
          <w:szCs w:val="24"/>
          <w:highlight w:val="none"/>
        </w:rPr>
        <w:t>2.</w:t>
      </w:r>
      <w:r>
        <w:rPr>
          <w:rFonts w:hint="eastAsia" w:hAnsi="宋体" w:cs="宋体"/>
          <w:szCs w:val="24"/>
          <w:highlight w:val="none"/>
          <w:u w:val="single"/>
        </w:rPr>
        <w:t>（标的名称）</w:t>
      </w:r>
      <w:r>
        <w:rPr>
          <w:rFonts w:hint="eastAsia" w:hAnsi="宋体" w:cs="宋体"/>
          <w:szCs w:val="24"/>
          <w:highlight w:val="none"/>
        </w:rPr>
        <w:t>，属于</w:t>
      </w:r>
      <w:r>
        <w:rPr>
          <w:rFonts w:hint="eastAsia" w:hAnsi="宋体" w:cs="宋体"/>
          <w:szCs w:val="24"/>
          <w:highlight w:val="none"/>
          <w:u w:val="single"/>
        </w:rPr>
        <w:t>（采购文件中明确的所属行业</w:t>
      </w:r>
      <w:r>
        <w:rPr>
          <w:rFonts w:hint="eastAsia" w:hAnsi="宋体" w:cs="宋体"/>
          <w:szCs w:val="24"/>
          <w:highlight w:val="none"/>
        </w:rPr>
        <w:t>）；承建（承接）企业为</w:t>
      </w:r>
      <w:r>
        <w:rPr>
          <w:rFonts w:hint="eastAsia" w:hAnsi="宋体" w:cs="宋体"/>
          <w:szCs w:val="24"/>
          <w:highlight w:val="none"/>
          <w:u w:val="single"/>
        </w:rPr>
        <w:t>（企业名称）</w:t>
      </w:r>
      <w:r>
        <w:rPr>
          <w:rFonts w:hint="eastAsia" w:hAnsi="宋体" w:cs="宋体"/>
          <w:szCs w:val="24"/>
          <w:highlight w:val="none"/>
        </w:rPr>
        <w:t>，从业人员</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人，营业收入为</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万元，资产总额为</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u w:val="single"/>
        </w:rPr>
        <w:t xml:space="preserve">   </w:t>
      </w:r>
      <w:r>
        <w:rPr>
          <w:rFonts w:hint="eastAsia" w:hAnsi="宋体" w:cs="宋体"/>
          <w:szCs w:val="24"/>
          <w:highlight w:val="none"/>
        </w:rPr>
        <w:t>万元，属于</w:t>
      </w:r>
      <w:r>
        <w:rPr>
          <w:rFonts w:hint="eastAsia" w:hAnsi="宋体" w:cs="宋体"/>
          <w:szCs w:val="24"/>
          <w:highlight w:val="none"/>
          <w:u w:val="single"/>
        </w:rPr>
        <w:t>（中型企业、小型企业、微型企业）</w:t>
      </w:r>
      <w:r>
        <w:rPr>
          <w:rFonts w:hint="eastAsia" w:hAnsi="宋体" w:cs="宋体"/>
          <w:szCs w:val="24"/>
          <w:highlight w:val="none"/>
        </w:rPr>
        <w:t>；</w:t>
      </w:r>
    </w:p>
    <w:p w14:paraId="7159C4C1">
      <w:pPr>
        <w:tabs>
          <w:tab w:val="left" w:pos="1620"/>
          <w:tab w:val="left" w:pos="1800"/>
        </w:tabs>
        <w:spacing w:line="500" w:lineRule="exact"/>
        <w:rPr>
          <w:rFonts w:hAnsi="宋体" w:cs="宋体"/>
          <w:szCs w:val="24"/>
          <w:highlight w:val="none"/>
        </w:rPr>
      </w:pPr>
      <w:r>
        <w:rPr>
          <w:rFonts w:hint="eastAsia" w:hAnsi="宋体" w:cs="宋体"/>
          <w:szCs w:val="24"/>
          <w:highlight w:val="none"/>
        </w:rPr>
        <w:t>……</w:t>
      </w:r>
    </w:p>
    <w:p w14:paraId="1BDE0FFC">
      <w:pPr>
        <w:tabs>
          <w:tab w:val="left" w:pos="1620"/>
          <w:tab w:val="left" w:pos="1800"/>
        </w:tabs>
        <w:spacing w:line="500" w:lineRule="exact"/>
        <w:ind w:firstLine="480" w:firstLineChars="200"/>
        <w:rPr>
          <w:rFonts w:hAnsi="宋体" w:cs="宋体"/>
          <w:szCs w:val="24"/>
          <w:highlight w:val="none"/>
        </w:rPr>
      </w:pPr>
      <w:r>
        <w:rPr>
          <w:rFonts w:hint="eastAsia" w:hAnsi="宋体" w:cs="宋体"/>
          <w:szCs w:val="24"/>
          <w:highlight w:val="none"/>
        </w:rPr>
        <w:t>以上企业，不属于大企业的分支机构，不存在控股股东为大企业的情形，也不存在与大企业的负责人为同一人的情形。</w:t>
      </w:r>
    </w:p>
    <w:p w14:paraId="3117F15E">
      <w:pPr>
        <w:tabs>
          <w:tab w:val="left" w:pos="1620"/>
          <w:tab w:val="left" w:pos="1800"/>
        </w:tabs>
        <w:spacing w:line="500" w:lineRule="exact"/>
        <w:ind w:firstLine="480" w:firstLineChars="200"/>
        <w:rPr>
          <w:rFonts w:hAnsi="宋体" w:cs="宋体"/>
          <w:szCs w:val="24"/>
          <w:highlight w:val="none"/>
        </w:rPr>
      </w:pPr>
      <w:r>
        <w:rPr>
          <w:rFonts w:hint="eastAsia" w:hAnsi="宋体" w:cs="宋体"/>
          <w:szCs w:val="24"/>
          <w:highlight w:val="none"/>
        </w:rPr>
        <w:t>本企业对上述声明内容的真实性负责。如有虚假，将依法承担相应责任。</w:t>
      </w:r>
    </w:p>
    <w:p w14:paraId="7E936D2D">
      <w:pPr>
        <w:tabs>
          <w:tab w:val="left" w:pos="1620"/>
          <w:tab w:val="left" w:pos="1800"/>
        </w:tabs>
        <w:spacing w:line="500" w:lineRule="exact"/>
        <w:rPr>
          <w:rFonts w:hAnsi="宋体" w:cs="宋体"/>
          <w:szCs w:val="24"/>
          <w:highlight w:val="none"/>
        </w:rPr>
      </w:pPr>
    </w:p>
    <w:p w14:paraId="78D042DE">
      <w:pPr>
        <w:tabs>
          <w:tab w:val="left" w:pos="1620"/>
          <w:tab w:val="left" w:pos="1800"/>
        </w:tabs>
        <w:spacing w:line="500" w:lineRule="exact"/>
        <w:rPr>
          <w:rFonts w:hAnsi="宋体" w:cs="宋体"/>
          <w:szCs w:val="24"/>
          <w:highlight w:val="none"/>
        </w:rPr>
      </w:pPr>
    </w:p>
    <w:p w14:paraId="68A231A9">
      <w:pPr>
        <w:tabs>
          <w:tab w:val="left" w:pos="1620"/>
          <w:tab w:val="left" w:pos="1800"/>
        </w:tabs>
        <w:spacing w:line="500" w:lineRule="exact"/>
        <w:ind w:firstLine="4800" w:firstLineChars="2000"/>
        <w:rPr>
          <w:rFonts w:hAnsi="宋体" w:cs="宋体"/>
          <w:szCs w:val="24"/>
          <w:highlight w:val="none"/>
        </w:rPr>
      </w:pPr>
      <w:r>
        <w:rPr>
          <w:rFonts w:hint="eastAsia" w:hAnsi="宋体" w:cs="宋体"/>
          <w:szCs w:val="24"/>
          <w:highlight w:val="none"/>
        </w:rPr>
        <w:t>企业名称（盖章）：</w:t>
      </w:r>
    </w:p>
    <w:p w14:paraId="315819B4">
      <w:pPr>
        <w:tabs>
          <w:tab w:val="left" w:pos="1620"/>
          <w:tab w:val="left" w:pos="1800"/>
        </w:tabs>
        <w:spacing w:line="500" w:lineRule="exact"/>
        <w:ind w:firstLine="4800" w:firstLineChars="2000"/>
        <w:rPr>
          <w:rFonts w:hAnsi="宋体" w:cs="宋体"/>
          <w:szCs w:val="24"/>
          <w:highlight w:val="none"/>
        </w:rPr>
      </w:pPr>
      <w:r>
        <w:rPr>
          <w:rFonts w:hint="eastAsia" w:hAnsi="宋体" w:cs="宋体"/>
          <w:szCs w:val="24"/>
          <w:highlight w:val="none"/>
        </w:rPr>
        <w:t>日期：</w:t>
      </w:r>
    </w:p>
    <w:p w14:paraId="1BDEEB28">
      <w:pPr>
        <w:rPr>
          <w:rFonts w:hAnsi="宋体" w:cs="宋体"/>
          <w:b/>
          <w:sz w:val="28"/>
          <w:szCs w:val="28"/>
          <w:highlight w:val="none"/>
        </w:rPr>
      </w:pPr>
      <w:r>
        <w:rPr>
          <w:rFonts w:hint="eastAsia" w:hAnsi="宋体" w:cs="宋体"/>
          <w:b/>
          <w:sz w:val="28"/>
          <w:szCs w:val="28"/>
          <w:highlight w:val="none"/>
        </w:rPr>
        <w:br w:type="page"/>
      </w:r>
    </w:p>
    <w:bookmarkEnd w:id="236"/>
    <w:p w14:paraId="51F00C10">
      <w:pPr>
        <w:spacing w:before="100" w:beforeAutospacing="1" w:after="156" w:afterLines="50" w:line="360" w:lineRule="auto"/>
        <w:outlineLvl w:val="2"/>
        <w:rPr>
          <w:rFonts w:hAnsi="宋体" w:cs="宋体"/>
          <w:b/>
          <w:bCs/>
          <w:spacing w:val="6"/>
          <w:sz w:val="30"/>
          <w:szCs w:val="30"/>
          <w:highlight w:val="none"/>
        </w:rPr>
      </w:pPr>
      <w:bookmarkStart w:id="237" w:name="_Toc11066"/>
      <w:bookmarkStart w:id="238" w:name="_Toc22425"/>
      <w:bookmarkStart w:id="239" w:name="_Toc1329"/>
      <w:bookmarkStart w:id="240" w:name="_Toc11235"/>
      <w:r>
        <w:rPr>
          <w:rFonts w:hint="eastAsia" w:hAnsi="宋体" w:cs="宋体"/>
          <w:b/>
          <w:bCs/>
          <w:spacing w:val="6"/>
          <w:sz w:val="30"/>
          <w:szCs w:val="30"/>
          <w:highlight w:val="none"/>
        </w:rPr>
        <w:t>附件3：残疾人福利性单位声明函（如有）</w:t>
      </w:r>
      <w:bookmarkEnd w:id="237"/>
      <w:bookmarkEnd w:id="238"/>
      <w:bookmarkEnd w:id="239"/>
      <w:bookmarkEnd w:id="240"/>
    </w:p>
    <w:p w14:paraId="010B93F0">
      <w:pPr>
        <w:spacing w:line="588" w:lineRule="exact"/>
        <w:jc w:val="center"/>
        <w:rPr>
          <w:rFonts w:hAnsi="宋体" w:cs="宋体"/>
          <w:b/>
          <w:spacing w:val="6"/>
          <w:sz w:val="32"/>
          <w:szCs w:val="32"/>
          <w:highlight w:val="none"/>
        </w:rPr>
      </w:pPr>
      <w:bookmarkStart w:id="241" w:name="OLE_LINK13"/>
      <w:bookmarkStart w:id="242" w:name="OLE_LINK14"/>
      <w:r>
        <w:rPr>
          <w:rFonts w:hint="eastAsia" w:hAnsi="宋体" w:cs="宋体"/>
          <w:b/>
          <w:spacing w:val="6"/>
          <w:sz w:val="32"/>
          <w:szCs w:val="32"/>
          <w:highlight w:val="none"/>
        </w:rPr>
        <w:t>残疾人福利性单位声明函</w:t>
      </w:r>
    </w:p>
    <w:bookmarkEnd w:id="241"/>
    <w:bookmarkEnd w:id="242"/>
    <w:p w14:paraId="343714A9">
      <w:pPr>
        <w:spacing w:line="588" w:lineRule="exact"/>
        <w:rPr>
          <w:rFonts w:hAnsi="宋体" w:cs="宋体"/>
          <w:b/>
          <w:spacing w:val="6"/>
          <w:sz w:val="30"/>
          <w:szCs w:val="30"/>
          <w:highlight w:val="none"/>
        </w:rPr>
      </w:pPr>
    </w:p>
    <w:p w14:paraId="40207342">
      <w:pPr>
        <w:spacing w:line="588" w:lineRule="exact"/>
        <w:ind w:firstLine="504" w:firstLineChars="200"/>
        <w:rPr>
          <w:rFonts w:hAnsi="宋体" w:cs="宋体"/>
          <w:spacing w:val="6"/>
          <w:szCs w:val="24"/>
          <w:highlight w:val="none"/>
        </w:rPr>
      </w:pPr>
      <w:r>
        <w:rPr>
          <w:rFonts w:hint="eastAsia" w:hAnsi="宋体" w:cs="宋体"/>
          <w:spacing w:val="6"/>
          <w:szCs w:val="24"/>
          <w:highlight w:val="none"/>
        </w:rPr>
        <w:t>本单位郑重声明，根据《财政部 民政部 中国残疾人联合会关于促进残疾人就业政府采购政策的通知》（财库</w:t>
      </w:r>
      <w:r>
        <w:rPr>
          <w:rFonts w:hint="eastAsia" w:hAnsi="宋体" w:cs="宋体"/>
          <w:szCs w:val="24"/>
          <w:highlight w:val="none"/>
        </w:rPr>
        <w:t>〔2017〕 141</w:t>
      </w:r>
      <w:r>
        <w:rPr>
          <w:rFonts w:hint="eastAsia" w:hAnsi="宋体" w:cs="宋体"/>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7F2847B">
      <w:pPr>
        <w:spacing w:line="588" w:lineRule="exact"/>
        <w:ind w:firstLine="504" w:firstLineChars="200"/>
        <w:rPr>
          <w:rFonts w:hAnsi="宋体" w:cs="宋体"/>
          <w:spacing w:val="6"/>
          <w:szCs w:val="24"/>
          <w:highlight w:val="none"/>
        </w:rPr>
      </w:pPr>
      <w:r>
        <w:rPr>
          <w:rFonts w:hint="eastAsia" w:hAnsi="宋体" w:cs="宋体"/>
          <w:spacing w:val="6"/>
          <w:szCs w:val="24"/>
          <w:highlight w:val="none"/>
        </w:rPr>
        <w:t>本单位对上述声明的真实性负责。如有虚假，将依法承担相应责任。</w:t>
      </w:r>
    </w:p>
    <w:p w14:paraId="6DD12837">
      <w:pPr>
        <w:spacing w:line="588" w:lineRule="exact"/>
        <w:ind w:firstLine="504" w:firstLineChars="200"/>
        <w:rPr>
          <w:rFonts w:hAnsi="宋体" w:cs="宋体"/>
          <w:spacing w:val="6"/>
          <w:szCs w:val="24"/>
          <w:highlight w:val="none"/>
        </w:rPr>
      </w:pPr>
    </w:p>
    <w:p w14:paraId="0C00B567">
      <w:pPr>
        <w:spacing w:line="588" w:lineRule="exact"/>
        <w:ind w:firstLine="504" w:firstLineChars="200"/>
        <w:rPr>
          <w:rFonts w:hAnsi="宋体" w:cs="宋体"/>
          <w:spacing w:val="6"/>
          <w:szCs w:val="24"/>
          <w:highlight w:val="none"/>
        </w:rPr>
      </w:pPr>
    </w:p>
    <w:p w14:paraId="123BE7CB">
      <w:pPr>
        <w:spacing w:line="588" w:lineRule="exact"/>
        <w:ind w:firstLine="504" w:firstLineChars="200"/>
        <w:rPr>
          <w:rFonts w:hAnsi="宋体" w:cs="宋体"/>
          <w:spacing w:val="6"/>
          <w:szCs w:val="24"/>
          <w:highlight w:val="none"/>
        </w:rPr>
      </w:pPr>
    </w:p>
    <w:p w14:paraId="1F381324">
      <w:pPr>
        <w:spacing w:line="588" w:lineRule="exact"/>
        <w:ind w:firstLine="504" w:firstLineChars="200"/>
        <w:rPr>
          <w:rFonts w:hAnsi="宋体" w:cs="宋体"/>
          <w:spacing w:val="6"/>
          <w:szCs w:val="24"/>
          <w:highlight w:val="none"/>
        </w:rPr>
      </w:pPr>
    </w:p>
    <w:p w14:paraId="45430EFD">
      <w:pPr>
        <w:tabs>
          <w:tab w:val="left" w:pos="4860"/>
        </w:tabs>
        <w:spacing w:line="588" w:lineRule="exact"/>
        <w:ind w:right="1560" w:firstLine="504" w:firstLineChars="200"/>
        <w:jc w:val="center"/>
        <w:rPr>
          <w:rFonts w:hAnsi="宋体" w:cs="宋体"/>
          <w:spacing w:val="6"/>
          <w:szCs w:val="24"/>
          <w:highlight w:val="none"/>
        </w:rPr>
      </w:pPr>
      <w:r>
        <w:rPr>
          <w:rFonts w:hint="eastAsia" w:hAnsi="宋体" w:cs="宋体"/>
          <w:spacing w:val="6"/>
          <w:szCs w:val="24"/>
          <w:highlight w:val="none"/>
        </w:rPr>
        <w:t xml:space="preserve">               单位名称（盖章）：</w:t>
      </w:r>
    </w:p>
    <w:p w14:paraId="38A2E19E">
      <w:pPr>
        <w:tabs>
          <w:tab w:val="left" w:pos="4860"/>
        </w:tabs>
        <w:spacing w:line="588" w:lineRule="exact"/>
        <w:ind w:right="1560" w:firstLine="504" w:firstLineChars="200"/>
        <w:jc w:val="center"/>
        <w:rPr>
          <w:rFonts w:hAnsi="宋体" w:cs="宋体"/>
          <w:spacing w:val="6"/>
          <w:szCs w:val="24"/>
          <w:highlight w:val="none"/>
        </w:rPr>
      </w:pPr>
      <w:r>
        <w:rPr>
          <w:rFonts w:hint="eastAsia" w:hAnsi="宋体" w:cs="宋体"/>
          <w:spacing w:val="6"/>
          <w:szCs w:val="24"/>
          <w:highlight w:val="none"/>
        </w:rPr>
        <w:t xml:space="preserve">       日    期：</w:t>
      </w:r>
    </w:p>
    <w:p w14:paraId="5BB63ED7">
      <w:pPr>
        <w:spacing w:line="360" w:lineRule="auto"/>
        <w:ind w:right="640"/>
        <w:rPr>
          <w:rFonts w:hAnsi="宋体" w:cs="宋体"/>
          <w:szCs w:val="24"/>
          <w:highlight w:val="none"/>
        </w:rPr>
      </w:pPr>
      <w:r>
        <w:rPr>
          <w:rFonts w:hint="eastAsia" w:hAnsi="宋体" w:cs="宋体"/>
          <w:highlight w:val="none"/>
        </w:rPr>
        <w:br w:type="page"/>
      </w:r>
    </w:p>
    <w:p w14:paraId="7995B324">
      <w:pPr>
        <w:spacing w:line="360" w:lineRule="auto"/>
        <w:rPr>
          <w:rFonts w:hAnsi="宋体" w:cs="宋体"/>
          <w:szCs w:val="24"/>
          <w:highlight w:val="none"/>
        </w:rPr>
      </w:pPr>
    </w:p>
    <w:p w14:paraId="7F0661A3">
      <w:pPr>
        <w:spacing w:line="360" w:lineRule="auto"/>
        <w:outlineLvl w:val="2"/>
        <w:rPr>
          <w:rFonts w:hAnsi="宋体" w:cs="宋体"/>
          <w:b/>
          <w:sz w:val="28"/>
          <w:szCs w:val="28"/>
          <w:highlight w:val="none"/>
        </w:rPr>
      </w:pPr>
      <w:bookmarkStart w:id="243" w:name="_Toc2139"/>
      <w:bookmarkStart w:id="244" w:name="_Toc29109"/>
      <w:bookmarkStart w:id="245" w:name="_Toc2119"/>
      <w:bookmarkStart w:id="246" w:name="_Toc16184"/>
      <w:r>
        <w:rPr>
          <w:rFonts w:hint="eastAsia" w:hAnsi="宋体" w:cs="宋体"/>
          <w:b/>
          <w:sz w:val="28"/>
          <w:szCs w:val="28"/>
          <w:highlight w:val="none"/>
        </w:rPr>
        <w:t>附件4：质疑函范本</w:t>
      </w:r>
      <w:bookmarkEnd w:id="243"/>
      <w:bookmarkEnd w:id="244"/>
      <w:bookmarkEnd w:id="245"/>
      <w:bookmarkEnd w:id="246"/>
    </w:p>
    <w:p w14:paraId="32DCAA45">
      <w:pPr>
        <w:jc w:val="center"/>
        <w:rPr>
          <w:rFonts w:hAnsi="宋体" w:cs="宋体"/>
          <w:b/>
          <w:bCs/>
          <w:sz w:val="44"/>
          <w:szCs w:val="44"/>
          <w:highlight w:val="none"/>
        </w:rPr>
      </w:pPr>
      <w:r>
        <w:rPr>
          <w:rFonts w:hint="eastAsia" w:hAnsi="宋体" w:cs="宋体"/>
          <w:b/>
          <w:bCs/>
          <w:sz w:val="44"/>
          <w:szCs w:val="44"/>
          <w:highlight w:val="none"/>
        </w:rPr>
        <w:t>质疑函范本</w:t>
      </w:r>
    </w:p>
    <w:p w14:paraId="567CDCE0">
      <w:pPr>
        <w:adjustRightInd w:val="0"/>
        <w:snapToGrid w:val="0"/>
        <w:spacing w:before="312" w:beforeLines="100" w:line="360" w:lineRule="auto"/>
        <w:rPr>
          <w:rFonts w:hAnsi="宋体" w:cs="宋体"/>
          <w:bCs/>
          <w:szCs w:val="24"/>
          <w:highlight w:val="none"/>
        </w:rPr>
      </w:pPr>
      <w:r>
        <w:rPr>
          <w:rFonts w:hint="eastAsia" w:hAnsi="宋体" w:cs="宋体"/>
          <w:bCs/>
          <w:szCs w:val="24"/>
          <w:highlight w:val="none"/>
        </w:rPr>
        <w:t>一、质疑供应商基本信息</w:t>
      </w:r>
    </w:p>
    <w:p w14:paraId="0F3265FA">
      <w:pPr>
        <w:adjustRightInd w:val="0"/>
        <w:snapToGrid w:val="0"/>
        <w:spacing w:line="360" w:lineRule="auto"/>
        <w:rPr>
          <w:rFonts w:hAnsi="宋体" w:cs="宋体"/>
          <w:szCs w:val="24"/>
          <w:highlight w:val="none"/>
          <w:u w:val="dotted"/>
        </w:rPr>
      </w:pPr>
      <w:r>
        <w:rPr>
          <w:rFonts w:hint="eastAsia" w:hAnsi="宋体" w:cs="宋体"/>
          <w:szCs w:val="24"/>
          <w:highlight w:val="none"/>
        </w:rPr>
        <w:t>质疑供应商：</w:t>
      </w:r>
      <w:r>
        <w:rPr>
          <w:rFonts w:hint="eastAsia" w:hAnsi="宋体" w:cs="宋体"/>
          <w:szCs w:val="24"/>
          <w:highlight w:val="none"/>
          <w:u w:val="dotted"/>
        </w:rPr>
        <w:t xml:space="preserve">                                        </w:t>
      </w:r>
    </w:p>
    <w:p w14:paraId="1B7EF12D">
      <w:pPr>
        <w:adjustRightInd w:val="0"/>
        <w:snapToGrid w:val="0"/>
        <w:spacing w:line="360" w:lineRule="auto"/>
        <w:rPr>
          <w:rFonts w:hAnsi="宋体" w:cs="宋体"/>
          <w:szCs w:val="24"/>
          <w:highlight w:val="none"/>
        </w:rPr>
      </w:pPr>
      <w:r>
        <w:rPr>
          <w:rFonts w:hint="eastAsia" w:hAnsi="宋体" w:cs="宋体"/>
          <w:szCs w:val="24"/>
          <w:highlight w:val="none"/>
        </w:rPr>
        <w:t>地址：</w:t>
      </w:r>
      <w:r>
        <w:rPr>
          <w:rFonts w:hint="eastAsia" w:hAnsi="宋体" w:cs="宋体"/>
          <w:szCs w:val="24"/>
          <w:highlight w:val="none"/>
          <w:u w:val="dotted"/>
        </w:rPr>
        <w:t xml:space="preserve">                          </w:t>
      </w:r>
      <w:r>
        <w:rPr>
          <w:rFonts w:hint="eastAsia" w:hAnsi="宋体" w:cs="宋体"/>
          <w:szCs w:val="24"/>
          <w:highlight w:val="none"/>
        </w:rPr>
        <w:t>邮编：</w:t>
      </w:r>
      <w:r>
        <w:rPr>
          <w:rFonts w:hint="eastAsia" w:hAnsi="宋体" w:cs="宋体"/>
          <w:szCs w:val="24"/>
          <w:highlight w:val="none"/>
          <w:u w:val="dotted"/>
        </w:rPr>
        <w:t xml:space="preserve">                                                   </w:t>
      </w:r>
    </w:p>
    <w:p w14:paraId="6FF71E84">
      <w:pPr>
        <w:adjustRightInd w:val="0"/>
        <w:snapToGrid w:val="0"/>
        <w:spacing w:line="360" w:lineRule="auto"/>
        <w:rPr>
          <w:rFonts w:hAnsi="宋体" w:cs="宋体"/>
          <w:szCs w:val="24"/>
          <w:highlight w:val="none"/>
        </w:rPr>
      </w:pPr>
      <w:r>
        <w:rPr>
          <w:rFonts w:hint="eastAsia" w:hAnsi="宋体" w:cs="宋体"/>
          <w:szCs w:val="24"/>
          <w:highlight w:val="none"/>
        </w:rPr>
        <w:t>联系人：</w:t>
      </w:r>
      <w:r>
        <w:rPr>
          <w:rFonts w:hint="eastAsia" w:hAnsi="宋体" w:cs="宋体"/>
          <w:szCs w:val="24"/>
          <w:highlight w:val="none"/>
          <w:u w:val="dotted"/>
        </w:rPr>
        <w:t xml:space="preserve">                      </w:t>
      </w:r>
      <w:r>
        <w:rPr>
          <w:rFonts w:hint="eastAsia" w:hAnsi="宋体" w:cs="宋体"/>
          <w:szCs w:val="24"/>
          <w:highlight w:val="none"/>
        </w:rPr>
        <w:t>联系电话：</w:t>
      </w:r>
      <w:r>
        <w:rPr>
          <w:rFonts w:hint="eastAsia" w:hAnsi="宋体" w:cs="宋体"/>
          <w:szCs w:val="24"/>
          <w:highlight w:val="none"/>
          <w:u w:val="dotted"/>
        </w:rPr>
        <w:t xml:space="preserve">                              </w:t>
      </w:r>
    </w:p>
    <w:p w14:paraId="765A9F9E">
      <w:pPr>
        <w:adjustRightInd w:val="0"/>
        <w:snapToGrid w:val="0"/>
        <w:spacing w:line="360" w:lineRule="auto"/>
        <w:rPr>
          <w:rFonts w:hAnsi="宋体" w:cs="宋体"/>
          <w:szCs w:val="24"/>
          <w:highlight w:val="none"/>
          <w:u w:val="dotted"/>
        </w:rPr>
      </w:pPr>
      <w:r>
        <w:rPr>
          <w:rFonts w:hint="eastAsia" w:hAnsi="宋体" w:cs="宋体"/>
          <w:szCs w:val="24"/>
          <w:highlight w:val="none"/>
        </w:rPr>
        <w:t>授权代表：</w:t>
      </w:r>
      <w:r>
        <w:rPr>
          <w:rFonts w:hint="eastAsia" w:hAnsi="宋体" w:cs="宋体"/>
          <w:szCs w:val="24"/>
          <w:highlight w:val="none"/>
          <w:u w:val="dotted"/>
        </w:rPr>
        <w:t xml:space="preserve">                                          </w:t>
      </w:r>
    </w:p>
    <w:p w14:paraId="0DAA5F5F">
      <w:pPr>
        <w:adjustRightInd w:val="0"/>
        <w:snapToGrid w:val="0"/>
        <w:spacing w:line="360" w:lineRule="auto"/>
        <w:rPr>
          <w:rFonts w:hAnsi="宋体" w:cs="宋体"/>
          <w:szCs w:val="24"/>
          <w:highlight w:val="none"/>
        </w:rPr>
      </w:pPr>
      <w:r>
        <w:rPr>
          <w:rFonts w:hint="eastAsia" w:hAnsi="宋体" w:cs="宋体"/>
          <w:szCs w:val="24"/>
          <w:highlight w:val="none"/>
        </w:rPr>
        <w:t>联系电话：</w:t>
      </w:r>
      <w:r>
        <w:rPr>
          <w:rFonts w:hint="eastAsia" w:hAnsi="宋体" w:cs="宋体"/>
          <w:szCs w:val="24"/>
          <w:highlight w:val="none"/>
          <w:u w:val="dotted"/>
        </w:rPr>
        <w:t xml:space="preserve">                                           </w:t>
      </w:r>
      <w:r>
        <w:rPr>
          <w:rFonts w:hint="eastAsia" w:hAnsi="宋体" w:cs="宋体"/>
          <w:szCs w:val="24"/>
          <w:highlight w:val="none"/>
        </w:rPr>
        <w:t xml:space="preserve"> </w:t>
      </w:r>
    </w:p>
    <w:p w14:paraId="5C197370">
      <w:pPr>
        <w:adjustRightInd w:val="0"/>
        <w:snapToGrid w:val="0"/>
        <w:spacing w:line="360" w:lineRule="auto"/>
        <w:rPr>
          <w:rFonts w:hAnsi="宋体" w:cs="宋体"/>
          <w:szCs w:val="24"/>
          <w:highlight w:val="none"/>
        </w:rPr>
      </w:pPr>
      <w:r>
        <w:rPr>
          <w:rFonts w:hint="eastAsia" w:hAnsi="宋体" w:cs="宋体"/>
          <w:szCs w:val="24"/>
          <w:highlight w:val="none"/>
        </w:rPr>
        <w:t xml:space="preserve">地址： </w:t>
      </w:r>
      <w:r>
        <w:rPr>
          <w:rFonts w:hint="eastAsia" w:hAnsi="宋体" w:cs="宋体"/>
          <w:szCs w:val="24"/>
          <w:highlight w:val="none"/>
          <w:u w:val="dotted"/>
        </w:rPr>
        <w:t xml:space="preserve">                        </w:t>
      </w:r>
      <w:r>
        <w:rPr>
          <w:rFonts w:hint="eastAsia" w:hAnsi="宋体" w:cs="宋体"/>
          <w:szCs w:val="24"/>
          <w:highlight w:val="none"/>
        </w:rPr>
        <w:t>邮编：</w:t>
      </w:r>
      <w:r>
        <w:rPr>
          <w:rFonts w:hint="eastAsia" w:hAnsi="宋体" w:cs="宋体"/>
          <w:szCs w:val="24"/>
          <w:highlight w:val="none"/>
          <w:u w:val="dotted"/>
        </w:rPr>
        <w:t xml:space="preserve">                                                </w:t>
      </w:r>
    </w:p>
    <w:p w14:paraId="576E64CE">
      <w:pPr>
        <w:adjustRightInd w:val="0"/>
        <w:snapToGrid w:val="0"/>
        <w:spacing w:line="360" w:lineRule="auto"/>
        <w:rPr>
          <w:rFonts w:hAnsi="宋体" w:cs="宋体"/>
          <w:bCs/>
          <w:szCs w:val="24"/>
          <w:highlight w:val="none"/>
        </w:rPr>
      </w:pPr>
      <w:r>
        <w:rPr>
          <w:rFonts w:hint="eastAsia" w:hAnsi="宋体" w:cs="宋体"/>
          <w:bCs/>
          <w:szCs w:val="24"/>
          <w:highlight w:val="none"/>
        </w:rPr>
        <w:t>二、质疑项目基本情况</w:t>
      </w:r>
    </w:p>
    <w:p w14:paraId="411E19DD">
      <w:pPr>
        <w:adjustRightInd w:val="0"/>
        <w:snapToGrid w:val="0"/>
        <w:spacing w:line="360" w:lineRule="auto"/>
        <w:rPr>
          <w:rFonts w:hAnsi="宋体" w:cs="宋体"/>
          <w:szCs w:val="24"/>
          <w:highlight w:val="none"/>
        </w:rPr>
      </w:pPr>
      <w:r>
        <w:rPr>
          <w:rFonts w:hint="eastAsia" w:hAnsi="宋体" w:cs="宋体"/>
          <w:szCs w:val="24"/>
          <w:highlight w:val="none"/>
        </w:rPr>
        <w:t>质疑项目的名称：</w:t>
      </w:r>
      <w:r>
        <w:rPr>
          <w:rFonts w:hint="eastAsia" w:hAnsi="宋体" w:cs="宋体"/>
          <w:szCs w:val="24"/>
          <w:highlight w:val="none"/>
          <w:u w:val="dotted"/>
        </w:rPr>
        <w:t xml:space="preserve">                                      </w:t>
      </w:r>
    </w:p>
    <w:p w14:paraId="3AD303C2">
      <w:pPr>
        <w:adjustRightInd w:val="0"/>
        <w:snapToGrid w:val="0"/>
        <w:spacing w:line="360" w:lineRule="auto"/>
        <w:rPr>
          <w:rFonts w:hAnsi="宋体" w:cs="宋体"/>
          <w:szCs w:val="24"/>
          <w:highlight w:val="none"/>
        </w:rPr>
      </w:pPr>
      <w:r>
        <w:rPr>
          <w:rFonts w:hint="eastAsia" w:hAnsi="宋体" w:cs="宋体"/>
          <w:szCs w:val="24"/>
          <w:highlight w:val="none"/>
        </w:rPr>
        <w:t>质疑项目的编号：</w:t>
      </w:r>
      <w:r>
        <w:rPr>
          <w:rFonts w:hint="eastAsia" w:hAnsi="宋体" w:cs="宋体"/>
          <w:szCs w:val="24"/>
          <w:highlight w:val="none"/>
          <w:u w:val="dotted"/>
        </w:rPr>
        <w:t xml:space="preserve">               </w:t>
      </w:r>
      <w:r>
        <w:rPr>
          <w:rFonts w:hint="eastAsia" w:hAnsi="宋体" w:cs="宋体"/>
          <w:szCs w:val="24"/>
          <w:highlight w:val="none"/>
        </w:rPr>
        <w:t>包号：</w:t>
      </w:r>
      <w:r>
        <w:rPr>
          <w:rFonts w:hint="eastAsia" w:hAnsi="宋体" w:cs="宋体"/>
          <w:szCs w:val="24"/>
          <w:highlight w:val="none"/>
          <w:u w:val="dotted"/>
        </w:rPr>
        <w:t xml:space="preserve">                 </w:t>
      </w:r>
    </w:p>
    <w:p w14:paraId="4C440676">
      <w:pPr>
        <w:adjustRightInd w:val="0"/>
        <w:snapToGrid w:val="0"/>
        <w:spacing w:line="360" w:lineRule="auto"/>
        <w:rPr>
          <w:rFonts w:hAnsi="宋体" w:cs="宋体"/>
          <w:szCs w:val="24"/>
          <w:highlight w:val="none"/>
          <w:u w:val="dotted"/>
        </w:rPr>
      </w:pPr>
      <w:r>
        <w:rPr>
          <w:rFonts w:hint="eastAsia" w:hAnsi="宋体" w:cs="宋体"/>
          <w:szCs w:val="24"/>
          <w:highlight w:val="none"/>
        </w:rPr>
        <w:t>采购人名称：</w:t>
      </w:r>
      <w:r>
        <w:rPr>
          <w:rFonts w:hint="eastAsia" w:hAnsi="宋体" w:cs="宋体"/>
          <w:szCs w:val="24"/>
          <w:highlight w:val="none"/>
          <w:u w:val="dotted"/>
        </w:rPr>
        <w:t xml:space="preserve">                                         </w:t>
      </w:r>
    </w:p>
    <w:p w14:paraId="68B8C6AA">
      <w:pPr>
        <w:adjustRightInd w:val="0"/>
        <w:snapToGrid w:val="0"/>
        <w:spacing w:line="360" w:lineRule="auto"/>
        <w:rPr>
          <w:rFonts w:hAnsi="宋体" w:cs="宋体"/>
          <w:szCs w:val="24"/>
          <w:highlight w:val="none"/>
        </w:rPr>
      </w:pPr>
      <w:r>
        <w:rPr>
          <w:rFonts w:hint="eastAsia" w:hAnsi="宋体" w:cs="宋体"/>
          <w:szCs w:val="24"/>
          <w:highlight w:val="none"/>
        </w:rPr>
        <w:t>采购文件获取日期：</w:t>
      </w:r>
      <w:r>
        <w:rPr>
          <w:rFonts w:hint="eastAsia" w:hAnsi="宋体" w:cs="宋体"/>
          <w:szCs w:val="24"/>
          <w:highlight w:val="none"/>
          <w:u w:val="dotted"/>
        </w:rPr>
        <w:t xml:space="preserve">                                           </w:t>
      </w:r>
    </w:p>
    <w:p w14:paraId="13AA53E2">
      <w:pPr>
        <w:adjustRightInd w:val="0"/>
        <w:snapToGrid w:val="0"/>
        <w:spacing w:line="360" w:lineRule="auto"/>
        <w:rPr>
          <w:rFonts w:hAnsi="宋体" w:cs="宋体"/>
          <w:bCs/>
          <w:szCs w:val="24"/>
          <w:highlight w:val="none"/>
        </w:rPr>
      </w:pPr>
      <w:r>
        <w:rPr>
          <w:rFonts w:hint="eastAsia" w:hAnsi="宋体" w:cs="宋体"/>
          <w:bCs/>
          <w:szCs w:val="24"/>
          <w:highlight w:val="none"/>
        </w:rPr>
        <w:t>三、质疑事项具体内容</w:t>
      </w:r>
    </w:p>
    <w:p w14:paraId="0860BCB4">
      <w:pPr>
        <w:adjustRightInd w:val="0"/>
        <w:snapToGrid w:val="0"/>
        <w:spacing w:line="360" w:lineRule="auto"/>
        <w:rPr>
          <w:rFonts w:hAnsi="宋体" w:cs="宋体"/>
          <w:szCs w:val="24"/>
          <w:highlight w:val="none"/>
          <w:u w:val="dotted"/>
        </w:rPr>
      </w:pPr>
      <w:r>
        <w:rPr>
          <w:rFonts w:hint="eastAsia" w:hAnsi="宋体" w:cs="宋体"/>
          <w:szCs w:val="24"/>
          <w:highlight w:val="none"/>
        </w:rPr>
        <w:t>质疑事项1：</w:t>
      </w:r>
      <w:r>
        <w:rPr>
          <w:rFonts w:hint="eastAsia" w:hAnsi="宋体" w:cs="宋体"/>
          <w:szCs w:val="24"/>
          <w:highlight w:val="none"/>
          <w:u w:val="dotted"/>
        </w:rPr>
        <w:t xml:space="preserve">                                         </w:t>
      </w:r>
    </w:p>
    <w:p w14:paraId="0233F054">
      <w:pPr>
        <w:adjustRightInd w:val="0"/>
        <w:snapToGrid w:val="0"/>
        <w:spacing w:line="360" w:lineRule="auto"/>
        <w:rPr>
          <w:rFonts w:hAnsi="宋体" w:cs="宋体"/>
          <w:szCs w:val="24"/>
          <w:highlight w:val="none"/>
          <w:u w:val="dotted"/>
        </w:rPr>
      </w:pPr>
      <w:r>
        <w:rPr>
          <w:rFonts w:hint="eastAsia" w:hAnsi="宋体" w:cs="宋体"/>
          <w:szCs w:val="24"/>
          <w:highlight w:val="none"/>
        </w:rPr>
        <w:t>事实依据：</w:t>
      </w:r>
      <w:r>
        <w:rPr>
          <w:rFonts w:hint="eastAsia" w:hAnsi="宋体" w:cs="宋体"/>
          <w:szCs w:val="24"/>
          <w:highlight w:val="none"/>
          <w:u w:val="dotted"/>
        </w:rPr>
        <w:t xml:space="preserve">                                          </w:t>
      </w:r>
    </w:p>
    <w:p w14:paraId="1D977D11">
      <w:pPr>
        <w:adjustRightInd w:val="0"/>
        <w:snapToGrid w:val="0"/>
        <w:spacing w:line="360" w:lineRule="auto"/>
        <w:rPr>
          <w:rFonts w:hAnsi="宋体" w:cs="宋体"/>
          <w:szCs w:val="24"/>
          <w:highlight w:val="none"/>
        </w:rPr>
      </w:pPr>
      <w:r>
        <w:rPr>
          <w:rFonts w:hint="eastAsia" w:hAnsi="宋体" w:cs="宋体"/>
          <w:szCs w:val="24"/>
          <w:highlight w:val="none"/>
          <w:u w:val="dotted"/>
        </w:rPr>
        <w:t xml:space="preserve">                                                       </w:t>
      </w:r>
    </w:p>
    <w:p w14:paraId="57A5B1A5">
      <w:pPr>
        <w:adjustRightInd w:val="0"/>
        <w:snapToGrid w:val="0"/>
        <w:spacing w:line="360" w:lineRule="auto"/>
        <w:rPr>
          <w:rFonts w:hAnsi="宋体" w:cs="宋体"/>
          <w:szCs w:val="24"/>
          <w:highlight w:val="none"/>
          <w:u w:val="dotted"/>
        </w:rPr>
      </w:pPr>
      <w:r>
        <w:rPr>
          <w:rFonts w:hint="eastAsia" w:hAnsi="宋体" w:cs="宋体"/>
          <w:szCs w:val="24"/>
          <w:highlight w:val="none"/>
        </w:rPr>
        <w:t>法律依据：</w:t>
      </w:r>
      <w:r>
        <w:rPr>
          <w:rFonts w:hint="eastAsia" w:hAnsi="宋体" w:cs="宋体"/>
          <w:szCs w:val="24"/>
          <w:highlight w:val="none"/>
          <w:u w:val="dotted"/>
        </w:rPr>
        <w:t xml:space="preserve">                                          </w:t>
      </w:r>
    </w:p>
    <w:p w14:paraId="0A9CE7D4">
      <w:pPr>
        <w:adjustRightInd w:val="0"/>
        <w:snapToGrid w:val="0"/>
        <w:spacing w:line="360" w:lineRule="auto"/>
        <w:rPr>
          <w:rFonts w:hAnsi="宋体" w:cs="宋体"/>
          <w:szCs w:val="24"/>
          <w:highlight w:val="none"/>
          <w:u w:val="dotted"/>
        </w:rPr>
      </w:pPr>
      <w:r>
        <w:rPr>
          <w:rFonts w:hint="eastAsia" w:hAnsi="宋体" w:cs="宋体"/>
          <w:szCs w:val="24"/>
          <w:highlight w:val="none"/>
          <w:u w:val="dotted"/>
        </w:rPr>
        <w:t xml:space="preserve">                                                     </w:t>
      </w:r>
    </w:p>
    <w:p w14:paraId="40765E2C">
      <w:pPr>
        <w:adjustRightInd w:val="0"/>
        <w:snapToGrid w:val="0"/>
        <w:spacing w:line="360" w:lineRule="auto"/>
        <w:rPr>
          <w:rFonts w:hAnsi="宋体" w:cs="宋体"/>
          <w:szCs w:val="24"/>
          <w:highlight w:val="none"/>
          <w:u w:val="dotted"/>
        </w:rPr>
      </w:pPr>
      <w:r>
        <w:rPr>
          <w:rFonts w:hint="eastAsia" w:hAnsi="宋体" w:cs="宋体"/>
          <w:szCs w:val="24"/>
          <w:highlight w:val="none"/>
        </w:rPr>
        <w:t>质疑事项2</w:t>
      </w:r>
    </w:p>
    <w:p w14:paraId="180793A1">
      <w:pPr>
        <w:adjustRightInd w:val="0"/>
        <w:snapToGrid w:val="0"/>
        <w:spacing w:line="360" w:lineRule="auto"/>
        <w:rPr>
          <w:rFonts w:hAnsi="宋体" w:cs="宋体"/>
          <w:szCs w:val="24"/>
          <w:highlight w:val="none"/>
        </w:rPr>
      </w:pPr>
      <w:r>
        <w:rPr>
          <w:rFonts w:hint="eastAsia" w:hAnsi="宋体" w:cs="宋体"/>
          <w:szCs w:val="24"/>
          <w:highlight w:val="none"/>
        </w:rPr>
        <w:t>……</w:t>
      </w:r>
    </w:p>
    <w:p w14:paraId="75B75290">
      <w:pPr>
        <w:adjustRightInd w:val="0"/>
        <w:snapToGrid w:val="0"/>
        <w:spacing w:line="360" w:lineRule="auto"/>
        <w:rPr>
          <w:rFonts w:hAnsi="宋体" w:cs="宋体"/>
          <w:bCs/>
          <w:szCs w:val="24"/>
          <w:highlight w:val="none"/>
        </w:rPr>
      </w:pPr>
      <w:r>
        <w:rPr>
          <w:rFonts w:hint="eastAsia" w:hAnsi="宋体" w:cs="宋体"/>
          <w:bCs/>
          <w:szCs w:val="24"/>
          <w:highlight w:val="none"/>
        </w:rPr>
        <w:t>四、与质疑事项相关的质疑请求</w:t>
      </w:r>
    </w:p>
    <w:p w14:paraId="14E75EAB">
      <w:pPr>
        <w:adjustRightInd w:val="0"/>
        <w:snapToGrid w:val="0"/>
        <w:spacing w:line="360" w:lineRule="auto"/>
        <w:rPr>
          <w:rFonts w:hAnsi="宋体" w:cs="宋体"/>
          <w:szCs w:val="24"/>
          <w:highlight w:val="none"/>
          <w:u w:val="dotted"/>
        </w:rPr>
      </w:pPr>
      <w:r>
        <w:rPr>
          <w:rFonts w:hint="eastAsia" w:hAnsi="宋体" w:cs="宋体"/>
          <w:szCs w:val="24"/>
          <w:highlight w:val="none"/>
        </w:rPr>
        <w:t>请求：</w:t>
      </w:r>
      <w:r>
        <w:rPr>
          <w:rFonts w:hint="eastAsia" w:hAnsi="宋体" w:cs="宋体"/>
          <w:szCs w:val="24"/>
          <w:highlight w:val="none"/>
          <w:u w:val="dotted"/>
        </w:rPr>
        <w:t xml:space="preserve">                                               </w:t>
      </w:r>
    </w:p>
    <w:p w14:paraId="0B277F72">
      <w:pPr>
        <w:rPr>
          <w:rFonts w:hAnsi="宋体" w:cs="宋体"/>
          <w:szCs w:val="24"/>
          <w:highlight w:val="none"/>
        </w:rPr>
      </w:pPr>
      <w:r>
        <w:rPr>
          <w:rFonts w:hint="eastAsia" w:hAnsi="宋体" w:cs="宋体"/>
          <w:szCs w:val="24"/>
          <w:highlight w:val="none"/>
        </w:rPr>
        <w:t xml:space="preserve">签字(签章)：                   公章：                      </w:t>
      </w:r>
    </w:p>
    <w:p w14:paraId="0550EA2C">
      <w:pPr>
        <w:rPr>
          <w:rFonts w:hAnsi="宋体" w:cs="宋体"/>
          <w:szCs w:val="24"/>
          <w:highlight w:val="none"/>
        </w:rPr>
      </w:pPr>
      <w:r>
        <w:rPr>
          <w:rFonts w:hint="eastAsia" w:hAnsi="宋体" w:cs="宋体"/>
          <w:szCs w:val="24"/>
          <w:highlight w:val="none"/>
        </w:rPr>
        <w:t xml:space="preserve">日期：    </w:t>
      </w:r>
    </w:p>
    <w:p w14:paraId="0C343E7A">
      <w:pPr>
        <w:jc w:val="center"/>
        <w:rPr>
          <w:rFonts w:hAnsi="宋体" w:cs="宋体"/>
          <w:b/>
          <w:sz w:val="44"/>
          <w:szCs w:val="44"/>
          <w:highlight w:val="none"/>
        </w:rPr>
      </w:pPr>
    </w:p>
    <w:p w14:paraId="4B4D9367">
      <w:pPr>
        <w:jc w:val="center"/>
        <w:rPr>
          <w:rFonts w:hAnsi="宋体" w:cs="宋体"/>
          <w:b/>
          <w:sz w:val="44"/>
          <w:szCs w:val="44"/>
          <w:highlight w:val="none"/>
        </w:rPr>
      </w:pPr>
    </w:p>
    <w:p w14:paraId="7A1CC263">
      <w:pPr>
        <w:jc w:val="center"/>
        <w:rPr>
          <w:rFonts w:hAnsi="宋体" w:cs="宋体"/>
          <w:b/>
          <w:sz w:val="44"/>
          <w:szCs w:val="44"/>
          <w:highlight w:val="none"/>
        </w:rPr>
      </w:pPr>
      <w:r>
        <w:rPr>
          <w:rFonts w:hint="eastAsia" w:hAnsi="宋体" w:cs="宋体"/>
          <w:b/>
          <w:sz w:val="44"/>
          <w:szCs w:val="44"/>
          <w:highlight w:val="none"/>
        </w:rPr>
        <w:t>投诉书范本</w:t>
      </w:r>
    </w:p>
    <w:p w14:paraId="3C5A465A">
      <w:pPr>
        <w:rPr>
          <w:rFonts w:hAnsi="宋体" w:cs="宋体"/>
          <w:szCs w:val="24"/>
          <w:highlight w:val="none"/>
        </w:rPr>
      </w:pPr>
      <w:r>
        <w:rPr>
          <w:rFonts w:hint="eastAsia" w:hAnsi="宋体" w:cs="宋体"/>
          <w:szCs w:val="24"/>
          <w:highlight w:val="none"/>
        </w:rPr>
        <w:t>一、投诉相关主体基本情况</w:t>
      </w:r>
    </w:p>
    <w:p w14:paraId="6E49C43B">
      <w:pPr>
        <w:rPr>
          <w:rFonts w:hAnsi="宋体" w:cs="宋体"/>
          <w:szCs w:val="24"/>
          <w:highlight w:val="none"/>
          <w:u w:val="dotted"/>
        </w:rPr>
      </w:pPr>
      <w:r>
        <w:rPr>
          <w:rFonts w:hint="eastAsia" w:hAnsi="宋体" w:cs="宋体"/>
          <w:szCs w:val="24"/>
          <w:highlight w:val="none"/>
        </w:rPr>
        <w:t>投诉人：</w:t>
      </w:r>
      <w:r>
        <w:rPr>
          <w:rFonts w:hint="eastAsia" w:hAnsi="宋体" w:cs="宋体"/>
          <w:szCs w:val="24"/>
          <w:highlight w:val="none"/>
          <w:u w:val="dotted"/>
        </w:rPr>
        <w:t xml:space="preserve">                                               </w:t>
      </w:r>
    </w:p>
    <w:p w14:paraId="1EFA0DF6">
      <w:pPr>
        <w:rPr>
          <w:rFonts w:hAnsi="宋体" w:cs="宋体"/>
          <w:szCs w:val="24"/>
          <w:highlight w:val="none"/>
          <w:u w:val="single"/>
        </w:rPr>
      </w:pPr>
      <w:r>
        <w:rPr>
          <w:rFonts w:hint="eastAsia" w:hAnsi="宋体" w:cs="宋体"/>
          <w:szCs w:val="24"/>
          <w:highlight w:val="none"/>
        </w:rPr>
        <w:t>地     址：</w:t>
      </w:r>
      <w:r>
        <w:rPr>
          <w:rFonts w:hint="eastAsia" w:hAnsi="宋体" w:cs="宋体"/>
          <w:szCs w:val="24"/>
          <w:highlight w:val="none"/>
          <w:u w:val="dotted"/>
        </w:rPr>
        <w:t xml:space="preserve">                             </w:t>
      </w:r>
      <w:r>
        <w:rPr>
          <w:rFonts w:hint="eastAsia" w:hAnsi="宋体" w:cs="宋体"/>
          <w:szCs w:val="24"/>
          <w:highlight w:val="none"/>
        </w:rPr>
        <w:t>邮编：</w:t>
      </w:r>
      <w:r>
        <w:rPr>
          <w:rFonts w:hint="eastAsia" w:hAnsi="宋体" w:cs="宋体"/>
          <w:szCs w:val="24"/>
          <w:highlight w:val="none"/>
          <w:u w:val="dotted"/>
        </w:rPr>
        <w:t xml:space="preserve">         </w:t>
      </w:r>
      <w:r>
        <w:rPr>
          <w:rFonts w:hint="eastAsia" w:hAnsi="宋体" w:cs="宋体"/>
          <w:szCs w:val="24"/>
          <w:highlight w:val="none"/>
          <w:u w:val="single"/>
        </w:rPr>
        <w:t xml:space="preserve">   </w:t>
      </w:r>
    </w:p>
    <w:p w14:paraId="79F65A06">
      <w:pPr>
        <w:tabs>
          <w:tab w:val="left" w:pos="6510"/>
        </w:tabs>
        <w:jc w:val="left"/>
        <w:rPr>
          <w:rFonts w:hAnsi="宋体" w:cs="宋体"/>
          <w:szCs w:val="24"/>
          <w:highlight w:val="none"/>
        </w:rPr>
      </w:pPr>
      <w:r>
        <w:rPr>
          <w:rFonts w:hint="eastAsia" w:hAnsi="宋体" w:cs="宋体"/>
          <w:szCs w:val="24"/>
          <w:highlight w:val="none"/>
        </w:rPr>
        <w:t>法定代表人/主要负责人：</w:t>
      </w:r>
      <w:r>
        <w:rPr>
          <w:rFonts w:hint="eastAsia" w:hAnsi="宋体" w:cs="宋体"/>
          <w:szCs w:val="24"/>
          <w:highlight w:val="none"/>
          <w:u w:val="dotted"/>
        </w:rPr>
        <w:t xml:space="preserve">                                   </w:t>
      </w:r>
      <w:r>
        <w:rPr>
          <w:rFonts w:hint="eastAsia" w:hAnsi="宋体" w:cs="宋体"/>
          <w:szCs w:val="24"/>
          <w:highlight w:val="none"/>
        </w:rPr>
        <w:t xml:space="preserve">  </w:t>
      </w:r>
    </w:p>
    <w:p w14:paraId="7AE89934">
      <w:pPr>
        <w:tabs>
          <w:tab w:val="left" w:pos="6510"/>
        </w:tabs>
        <w:rPr>
          <w:rFonts w:hAnsi="宋体" w:cs="宋体"/>
          <w:szCs w:val="24"/>
          <w:highlight w:val="none"/>
          <w:u w:val="dotted"/>
        </w:rPr>
      </w:pPr>
      <w:r>
        <w:rPr>
          <w:rFonts w:hint="eastAsia" w:hAnsi="宋体" w:cs="宋体"/>
          <w:szCs w:val="24"/>
          <w:highlight w:val="none"/>
        </w:rPr>
        <w:t>联系电话：</w:t>
      </w:r>
      <w:r>
        <w:rPr>
          <w:rFonts w:hint="eastAsia" w:hAnsi="宋体" w:cs="宋体"/>
          <w:szCs w:val="24"/>
          <w:highlight w:val="none"/>
          <w:u w:val="dotted"/>
        </w:rPr>
        <w:t xml:space="preserve">                                             </w:t>
      </w:r>
    </w:p>
    <w:p w14:paraId="484A5800">
      <w:pPr>
        <w:rPr>
          <w:rFonts w:hAnsi="宋体" w:cs="宋体"/>
          <w:szCs w:val="24"/>
          <w:highlight w:val="none"/>
          <w:u w:val="dotted"/>
        </w:rPr>
      </w:pPr>
      <w:r>
        <w:rPr>
          <w:rFonts w:hint="eastAsia" w:hAnsi="宋体" w:cs="宋体"/>
          <w:szCs w:val="24"/>
          <w:highlight w:val="none"/>
        </w:rPr>
        <w:t>授权代表：</w:t>
      </w:r>
      <w:r>
        <w:rPr>
          <w:rFonts w:hint="eastAsia" w:hAnsi="宋体" w:cs="宋体"/>
          <w:szCs w:val="24"/>
          <w:highlight w:val="none"/>
          <w:u w:val="dotted"/>
        </w:rPr>
        <w:t xml:space="preserve">             </w:t>
      </w:r>
      <w:r>
        <w:rPr>
          <w:rFonts w:hint="eastAsia" w:hAnsi="宋体" w:cs="宋体"/>
          <w:szCs w:val="24"/>
          <w:highlight w:val="none"/>
        </w:rPr>
        <w:t>联系电话</w:t>
      </w:r>
      <w:r>
        <w:rPr>
          <w:rFonts w:hint="eastAsia" w:hAnsi="宋体" w:cs="宋体"/>
          <w:szCs w:val="24"/>
          <w:highlight w:val="none"/>
          <w:u w:val="dotted"/>
        </w:rPr>
        <w:t xml:space="preserve">：                  </w:t>
      </w:r>
    </w:p>
    <w:p w14:paraId="671ED86E">
      <w:pPr>
        <w:rPr>
          <w:rFonts w:hAnsi="宋体" w:cs="宋体"/>
          <w:szCs w:val="24"/>
          <w:highlight w:val="none"/>
          <w:u w:val="dotted"/>
        </w:rPr>
      </w:pPr>
      <w:r>
        <w:rPr>
          <w:rFonts w:hint="eastAsia" w:hAnsi="宋体" w:cs="宋体"/>
          <w:szCs w:val="24"/>
          <w:highlight w:val="none"/>
        </w:rPr>
        <w:t>地     址：</w:t>
      </w:r>
      <w:r>
        <w:rPr>
          <w:rFonts w:hint="eastAsia" w:hAnsi="宋体" w:cs="宋体"/>
          <w:szCs w:val="24"/>
          <w:highlight w:val="none"/>
          <w:u w:val="dotted"/>
        </w:rPr>
        <w:t xml:space="preserve">                             </w:t>
      </w:r>
      <w:r>
        <w:rPr>
          <w:rFonts w:hint="eastAsia" w:hAnsi="宋体" w:cs="宋体"/>
          <w:szCs w:val="24"/>
          <w:highlight w:val="none"/>
        </w:rPr>
        <w:t>邮编：</w:t>
      </w:r>
      <w:r>
        <w:rPr>
          <w:rFonts w:hint="eastAsia" w:hAnsi="宋体" w:cs="宋体"/>
          <w:szCs w:val="24"/>
          <w:highlight w:val="none"/>
          <w:u w:val="dotted"/>
        </w:rPr>
        <w:t xml:space="preserve">         </w:t>
      </w:r>
      <w:r>
        <w:rPr>
          <w:rFonts w:hint="eastAsia" w:hAnsi="宋体" w:cs="宋体"/>
          <w:szCs w:val="24"/>
          <w:highlight w:val="none"/>
          <w:u w:val="single"/>
        </w:rPr>
        <w:t xml:space="preserve"> </w:t>
      </w:r>
      <w:r>
        <w:rPr>
          <w:rFonts w:hint="eastAsia" w:hAnsi="宋体" w:cs="宋体"/>
          <w:szCs w:val="24"/>
          <w:highlight w:val="none"/>
          <w:u w:val="dotted"/>
        </w:rPr>
        <w:t xml:space="preserve">                   </w:t>
      </w:r>
    </w:p>
    <w:p w14:paraId="2561EB66">
      <w:pPr>
        <w:rPr>
          <w:rFonts w:hAnsi="宋体" w:cs="宋体"/>
          <w:szCs w:val="24"/>
          <w:highlight w:val="none"/>
          <w:u w:val="single"/>
        </w:rPr>
      </w:pPr>
      <w:r>
        <w:rPr>
          <w:rFonts w:hint="eastAsia" w:hAnsi="宋体" w:cs="宋体"/>
          <w:szCs w:val="24"/>
          <w:highlight w:val="none"/>
        </w:rPr>
        <w:t>被投诉人1：</w:t>
      </w:r>
      <w:r>
        <w:rPr>
          <w:rFonts w:hint="eastAsia" w:hAnsi="宋体" w:cs="宋体"/>
          <w:szCs w:val="24"/>
          <w:highlight w:val="none"/>
          <w:u w:val="dotted"/>
        </w:rPr>
        <w:t xml:space="preserve">                                           </w:t>
      </w:r>
      <w:r>
        <w:rPr>
          <w:rFonts w:hint="eastAsia" w:hAnsi="宋体" w:cs="宋体"/>
          <w:szCs w:val="24"/>
          <w:highlight w:val="none"/>
          <w:u w:val="single"/>
        </w:rPr>
        <w:t xml:space="preserve">  </w:t>
      </w:r>
    </w:p>
    <w:p w14:paraId="38907010">
      <w:pPr>
        <w:rPr>
          <w:rFonts w:hAnsi="宋体" w:cs="宋体"/>
          <w:szCs w:val="24"/>
          <w:highlight w:val="none"/>
          <w:u w:val="single"/>
        </w:rPr>
      </w:pPr>
      <w:r>
        <w:rPr>
          <w:rFonts w:hint="eastAsia" w:hAnsi="宋体" w:cs="宋体"/>
          <w:szCs w:val="24"/>
          <w:highlight w:val="none"/>
        </w:rPr>
        <w:t>地     址：</w:t>
      </w:r>
      <w:r>
        <w:rPr>
          <w:rFonts w:hint="eastAsia" w:hAnsi="宋体" w:cs="宋体"/>
          <w:szCs w:val="24"/>
          <w:highlight w:val="none"/>
          <w:u w:val="dotted"/>
        </w:rPr>
        <w:t xml:space="preserve">                             </w:t>
      </w:r>
      <w:r>
        <w:rPr>
          <w:rFonts w:hint="eastAsia" w:hAnsi="宋体" w:cs="宋体"/>
          <w:szCs w:val="24"/>
          <w:highlight w:val="none"/>
        </w:rPr>
        <w:t>邮编：</w:t>
      </w:r>
      <w:r>
        <w:rPr>
          <w:rFonts w:hint="eastAsia" w:hAnsi="宋体" w:cs="宋体"/>
          <w:szCs w:val="24"/>
          <w:highlight w:val="none"/>
          <w:u w:val="dotted"/>
        </w:rPr>
        <w:t xml:space="preserve">          </w:t>
      </w:r>
      <w:r>
        <w:rPr>
          <w:rFonts w:hint="eastAsia" w:hAnsi="宋体" w:cs="宋体"/>
          <w:szCs w:val="24"/>
          <w:highlight w:val="none"/>
          <w:u w:val="single"/>
        </w:rPr>
        <w:t xml:space="preserve"> </w:t>
      </w:r>
    </w:p>
    <w:p w14:paraId="1827DEA5">
      <w:pPr>
        <w:rPr>
          <w:rFonts w:hAnsi="宋体" w:cs="宋体"/>
          <w:szCs w:val="24"/>
          <w:highlight w:val="none"/>
          <w:u w:val="single"/>
        </w:rPr>
      </w:pPr>
      <w:r>
        <w:rPr>
          <w:rFonts w:hint="eastAsia" w:hAnsi="宋体" w:cs="宋体"/>
          <w:szCs w:val="24"/>
          <w:highlight w:val="none"/>
        </w:rPr>
        <w:t>联系人：</w:t>
      </w:r>
      <w:r>
        <w:rPr>
          <w:rFonts w:hint="eastAsia" w:hAnsi="宋体" w:cs="宋体"/>
          <w:szCs w:val="24"/>
          <w:highlight w:val="none"/>
          <w:u w:val="dotted"/>
        </w:rPr>
        <w:t xml:space="preserve">               </w:t>
      </w:r>
      <w:r>
        <w:rPr>
          <w:rFonts w:hint="eastAsia" w:hAnsi="宋体" w:cs="宋体"/>
          <w:szCs w:val="24"/>
          <w:highlight w:val="none"/>
        </w:rPr>
        <w:t>联系电话：</w:t>
      </w:r>
      <w:r>
        <w:rPr>
          <w:rFonts w:hint="eastAsia" w:hAnsi="宋体" w:cs="宋体"/>
          <w:szCs w:val="24"/>
          <w:highlight w:val="none"/>
          <w:u w:val="dotted"/>
        </w:rPr>
        <w:t xml:space="preserve">                      </w:t>
      </w:r>
      <w:r>
        <w:rPr>
          <w:rFonts w:hint="eastAsia" w:hAnsi="宋体" w:cs="宋体"/>
          <w:szCs w:val="24"/>
          <w:highlight w:val="none"/>
          <w:u w:val="single"/>
        </w:rPr>
        <w:t xml:space="preserve"> </w:t>
      </w:r>
    </w:p>
    <w:p w14:paraId="4C9528B2">
      <w:pPr>
        <w:rPr>
          <w:rFonts w:hAnsi="宋体" w:cs="宋体"/>
          <w:szCs w:val="24"/>
          <w:highlight w:val="none"/>
        </w:rPr>
      </w:pPr>
      <w:r>
        <w:rPr>
          <w:rFonts w:hint="eastAsia" w:hAnsi="宋体" w:cs="宋体"/>
          <w:szCs w:val="24"/>
          <w:highlight w:val="none"/>
        </w:rPr>
        <w:t>被投诉人2</w:t>
      </w:r>
    </w:p>
    <w:p w14:paraId="11471CD1">
      <w:pPr>
        <w:rPr>
          <w:rFonts w:hAnsi="宋体" w:cs="宋体"/>
          <w:szCs w:val="24"/>
          <w:highlight w:val="none"/>
          <w:u w:val="dotted"/>
        </w:rPr>
      </w:pPr>
      <w:r>
        <w:rPr>
          <w:rFonts w:hint="eastAsia" w:hAnsi="宋体" w:cs="宋体"/>
          <w:szCs w:val="24"/>
          <w:highlight w:val="none"/>
        </w:rPr>
        <w:t>……</w:t>
      </w:r>
    </w:p>
    <w:p w14:paraId="702943D5">
      <w:pPr>
        <w:rPr>
          <w:rFonts w:hAnsi="宋体" w:cs="宋体"/>
          <w:szCs w:val="24"/>
          <w:highlight w:val="none"/>
          <w:u w:val="single"/>
        </w:rPr>
      </w:pPr>
      <w:r>
        <w:rPr>
          <w:rFonts w:hint="eastAsia" w:hAnsi="宋体" w:cs="宋体"/>
          <w:szCs w:val="24"/>
          <w:highlight w:val="none"/>
        </w:rPr>
        <w:t>相关供应商：</w:t>
      </w:r>
      <w:r>
        <w:rPr>
          <w:rFonts w:hint="eastAsia" w:hAnsi="宋体" w:cs="宋体"/>
          <w:szCs w:val="24"/>
          <w:highlight w:val="none"/>
          <w:u w:val="dotted"/>
        </w:rPr>
        <w:t xml:space="preserve">                                           </w:t>
      </w:r>
      <w:r>
        <w:rPr>
          <w:rFonts w:hint="eastAsia" w:hAnsi="宋体" w:cs="宋体"/>
          <w:szCs w:val="24"/>
          <w:highlight w:val="none"/>
          <w:u w:val="single"/>
        </w:rPr>
        <w:t xml:space="preserve">    </w:t>
      </w:r>
    </w:p>
    <w:p w14:paraId="7A1C2E46">
      <w:pPr>
        <w:rPr>
          <w:rFonts w:hAnsi="宋体" w:cs="宋体"/>
          <w:szCs w:val="24"/>
          <w:highlight w:val="none"/>
          <w:u w:val="single"/>
        </w:rPr>
      </w:pPr>
      <w:r>
        <w:rPr>
          <w:rFonts w:hint="eastAsia" w:hAnsi="宋体" w:cs="宋体"/>
          <w:szCs w:val="24"/>
          <w:highlight w:val="none"/>
        </w:rPr>
        <w:t>地     址：</w:t>
      </w:r>
      <w:r>
        <w:rPr>
          <w:rFonts w:hint="eastAsia" w:hAnsi="宋体" w:cs="宋体"/>
          <w:szCs w:val="24"/>
          <w:highlight w:val="none"/>
          <w:u w:val="dotted"/>
        </w:rPr>
        <w:t xml:space="preserve">                             </w:t>
      </w:r>
      <w:r>
        <w:rPr>
          <w:rFonts w:hint="eastAsia" w:hAnsi="宋体" w:cs="宋体"/>
          <w:szCs w:val="24"/>
          <w:highlight w:val="none"/>
        </w:rPr>
        <w:t>邮编：</w:t>
      </w:r>
      <w:r>
        <w:rPr>
          <w:rFonts w:hint="eastAsia" w:hAnsi="宋体" w:cs="宋体"/>
          <w:szCs w:val="24"/>
          <w:highlight w:val="none"/>
          <w:u w:val="dotted"/>
        </w:rPr>
        <w:t xml:space="preserve">          </w:t>
      </w:r>
      <w:r>
        <w:rPr>
          <w:rFonts w:hint="eastAsia" w:hAnsi="宋体" w:cs="宋体"/>
          <w:szCs w:val="24"/>
          <w:highlight w:val="none"/>
          <w:u w:val="single"/>
        </w:rPr>
        <w:t xml:space="preserve"> </w:t>
      </w:r>
    </w:p>
    <w:p w14:paraId="262822DA">
      <w:pPr>
        <w:rPr>
          <w:rFonts w:hAnsi="宋体" w:cs="宋体"/>
          <w:szCs w:val="24"/>
          <w:highlight w:val="none"/>
          <w:u w:val="single"/>
        </w:rPr>
      </w:pPr>
      <w:r>
        <w:rPr>
          <w:rFonts w:hint="eastAsia" w:hAnsi="宋体" w:cs="宋体"/>
          <w:szCs w:val="24"/>
          <w:highlight w:val="none"/>
        </w:rPr>
        <w:t>联系人：</w:t>
      </w:r>
      <w:r>
        <w:rPr>
          <w:rFonts w:hint="eastAsia" w:hAnsi="宋体" w:cs="宋体"/>
          <w:szCs w:val="24"/>
          <w:highlight w:val="none"/>
          <w:u w:val="dotted"/>
        </w:rPr>
        <w:t xml:space="preserve">               </w:t>
      </w:r>
      <w:r>
        <w:rPr>
          <w:rFonts w:hint="eastAsia" w:hAnsi="宋体" w:cs="宋体"/>
          <w:szCs w:val="24"/>
          <w:highlight w:val="none"/>
        </w:rPr>
        <w:t>联系电话：</w:t>
      </w:r>
      <w:r>
        <w:rPr>
          <w:rFonts w:hint="eastAsia" w:hAnsi="宋体" w:cs="宋体"/>
          <w:szCs w:val="24"/>
          <w:highlight w:val="none"/>
          <w:u w:val="dotted"/>
        </w:rPr>
        <w:t xml:space="preserve">                      </w:t>
      </w:r>
      <w:r>
        <w:rPr>
          <w:rFonts w:hint="eastAsia" w:hAnsi="宋体" w:cs="宋体"/>
          <w:szCs w:val="24"/>
          <w:highlight w:val="none"/>
          <w:u w:val="single"/>
        </w:rPr>
        <w:t xml:space="preserve">      </w:t>
      </w:r>
    </w:p>
    <w:p w14:paraId="6CCDBC91">
      <w:pPr>
        <w:rPr>
          <w:rFonts w:hAnsi="宋体" w:cs="宋体"/>
          <w:szCs w:val="24"/>
          <w:highlight w:val="none"/>
        </w:rPr>
      </w:pPr>
      <w:r>
        <w:rPr>
          <w:rFonts w:hint="eastAsia" w:hAnsi="宋体" w:cs="宋体"/>
          <w:szCs w:val="24"/>
          <w:highlight w:val="none"/>
        </w:rPr>
        <w:t>二、投诉项目基本情况</w:t>
      </w:r>
    </w:p>
    <w:p w14:paraId="2BC7E96F">
      <w:pPr>
        <w:rPr>
          <w:rFonts w:hAnsi="宋体" w:cs="宋体"/>
          <w:szCs w:val="24"/>
          <w:highlight w:val="none"/>
          <w:u w:val="dotted"/>
        </w:rPr>
      </w:pPr>
      <w:r>
        <w:rPr>
          <w:rFonts w:hint="eastAsia" w:hAnsi="宋体" w:cs="宋体"/>
          <w:szCs w:val="24"/>
          <w:highlight w:val="none"/>
        </w:rPr>
        <w:t>采购项目名称：</w:t>
      </w:r>
      <w:r>
        <w:rPr>
          <w:rFonts w:hint="eastAsia" w:hAnsi="宋体" w:cs="宋体"/>
          <w:szCs w:val="24"/>
          <w:highlight w:val="none"/>
          <w:u w:val="dotted"/>
        </w:rPr>
        <w:t xml:space="preserve">                                        </w:t>
      </w:r>
    </w:p>
    <w:p w14:paraId="2F530A63">
      <w:pPr>
        <w:rPr>
          <w:rFonts w:hAnsi="宋体" w:cs="宋体"/>
          <w:szCs w:val="24"/>
          <w:highlight w:val="none"/>
          <w:u w:val="single"/>
        </w:rPr>
      </w:pPr>
      <w:r>
        <w:rPr>
          <w:rFonts w:hint="eastAsia" w:hAnsi="宋体" w:cs="宋体"/>
          <w:szCs w:val="24"/>
          <w:highlight w:val="none"/>
        </w:rPr>
        <w:t>采购项目编号：</w:t>
      </w:r>
      <w:r>
        <w:rPr>
          <w:rFonts w:hint="eastAsia" w:hAnsi="宋体" w:cs="宋体"/>
          <w:szCs w:val="24"/>
          <w:highlight w:val="none"/>
          <w:u w:val="dotted"/>
        </w:rPr>
        <w:t xml:space="preserve">                 </w:t>
      </w:r>
      <w:r>
        <w:rPr>
          <w:rFonts w:hint="eastAsia" w:hAnsi="宋体" w:cs="宋体"/>
          <w:szCs w:val="24"/>
          <w:highlight w:val="none"/>
        </w:rPr>
        <w:t>包号：</w:t>
      </w:r>
      <w:r>
        <w:rPr>
          <w:rFonts w:hint="eastAsia" w:hAnsi="宋体" w:cs="宋体"/>
          <w:szCs w:val="24"/>
          <w:highlight w:val="none"/>
          <w:u w:val="dotted"/>
        </w:rPr>
        <w:t xml:space="preserve">              </w:t>
      </w:r>
    </w:p>
    <w:p w14:paraId="1FC2413F">
      <w:pPr>
        <w:rPr>
          <w:rFonts w:hAnsi="宋体" w:cs="宋体"/>
          <w:szCs w:val="24"/>
          <w:highlight w:val="none"/>
        </w:rPr>
      </w:pPr>
      <w:r>
        <w:rPr>
          <w:rFonts w:hint="eastAsia" w:hAnsi="宋体" w:cs="宋体"/>
          <w:szCs w:val="24"/>
          <w:highlight w:val="none"/>
        </w:rPr>
        <w:t>采购人名称：</w:t>
      </w:r>
      <w:r>
        <w:rPr>
          <w:rFonts w:hint="eastAsia" w:hAnsi="宋体" w:cs="宋体"/>
          <w:szCs w:val="24"/>
          <w:highlight w:val="none"/>
          <w:u w:val="dotted"/>
        </w:rPr>
        <w:t xml:space="preserve">                                           </w:t>
      </w:r>
      <w:r>
        <w:rPr>
          <w:rFonts w:hint="eastAsia" w:hAnsi="宋体" w:cs="宋体"/>
          <w:szCs w:val="24"/>
          <w:highlight w:val="none"/>
          <w:u w:val="single"/>
        </w:rPr>
        <w:t xml:space="preserve">  </w:t>
      </w:r>
    </w:p>
    <w:p w14:paraId="7A4DDA16">
      <w:pPr>
        <w:rPr>
          <w:rFonts w:hAnsi="宋体" w:cs="宋体"/>
          <w:szCs w:val="24"/>
          <w:highlight w:val="none"/>
          <w:u w:val="single"/>
        </w:rPr>
      </w:pPr>
      <w:r>
        <w:rPr>
          <w:rFonts w:hint="eastAsia" w:hAnsi="宋体" w:cs="宋体"/>
          <w:szCs w:val="24"/>
          <w:highlight w:val="none"/>
        </w:rPr>
        <w:t>代理机构名称：</w:t>
      </w:r>
      <w:r>
        <w:rPr>
          <w:rFonts w:hint="eastAsia" w:hAnsi="宋体" w:cs="宋体"/>
          <w:szCs w:val="24"/>
          <w:highlight w:val="none"/>
          <w:u w:val="dotted"/>
        </w:rPr>
        <w:t xml:space="preserve">                                         </w:t>
      </w:r>
    </w:p>
    <w:p w14:paraId="17B473C8">
      <w:pPr>
        <w:rPr>
          <w:rFonts w:hAnsi="宋体" w:cs="宋体"/>
          <w:szCs w:val="24"/>
          <w:highlight w:val="none"/>
          <w:u w:val="dotted"/>
        </w:rPr>
      </w:pPr>
      <w:r>
        <w:rPr>
          <w:rFonts w:hint="eastAsia" w:hAnsi="宋体" w:cs="宋体"/>
          <w:szCs w:val="24"/>
          <w:highlight w:val="none"/>
        </w:rPr>
        <w:t>采购文件公告:</w:t>
      </w:r>
      <w:r>
        <w:rPr>
          <w:rFonts w:hint="eastAsia" w:hAnsi="宋体" w:cs="宋体"/>
          <w:szCs w:val="24"/>
          <w:highlight w:val="none"/>
          <w:u w:val="dotted"/>
        </w:rPr>
        <w:t xml:space="preserve">是/否 </w:t>
      </w:r>
      <w:r>
        <w:rPr>
          <w:rFonts w:hint="eastAsia" w:hAnsi="宋体" w:cs="宋体"/>
          <w:szCs w:val="24"/>
          <w:highlight w:val="none"/>
        </w:rPr>
        <w:t>公告期限：</w:t>
      </w:r>
      <w:r>
        <w:rPr>
          <w:rFonts w:hint="eastAsia" w:hAnsi="宋体" w:cs="宋体"/>
          <w:szCs w:val="24"/>
          <w:highlight w:val="none"/>
          <w:u w:val="dotted"/>
        </w:rPr>
        <w:t xml:space="preserve">                                 </w:t>
      </w:r>
    </w:p>
    <w:p w14:paraId="00CA87D1">
      <w:pPr>
        <w:rPr>
          <w:rFonts w:hAnsi="宋体" w:cs="宋体"/>
          <w:szCs w:val="24"/>
          <w:highlight w:val="none"/>
          <w:u w:val="single"/>
        </w:rPr>
      </w:pPr>
      <w:r>
        <w:rPr>
          <w:rFonts w:hint="eastAsia" w:hAnsi="宋体" w:cs="宋体"/>
          <w:szCs w:val="24"/>
          <w:highlight w:val="none"/>
        </w:rPr>
        <w:t>采购结果公告:</w:t>
      </w:r>
      <w:r>
        <w:rPr>
          <w:rFonts w:hint="eastAsia" w:hAnsi="宋体" w:cs="宋体"/>
          <w:szCs w:val="24"/>
          <w:highlight w:val="none"/>
          <w:u w:val="dotted"/>
        </w:rPr>
        <w:t xml:space="preserve">是/否 </w:t>
      </w:r>
      <w:r>
        <w:rPr>
          <w:rFonts w:hint="eastAsia" w:hAnsi="宋体" w:cs="宋体"/>
          <w:szCs w:val="24"/>
          <w:highlight w:val="none"/>
        </w:rPr>
        <w:t>公告期限：</w:t>
      </w:r>
      <w:r>
        <w:rPr>
          <w:rFonts w:hint="eastAsia" w:hAnsi="宋体" w:cs="宋体"/>
          <w:szCs w:val="24"/>
          <w:highlight w:val="none"/>
          <w:u w:val="dotted"/>
        </w:rPr>
        <w:t xml:space="preserve">                        </w:t>
      </w:r>
    </w:p>
    <w:p w14:paraId="74C90D54">
      <w:pPr>
        <w:rPr>
          <w:rFonts w:hAnsi="宋体" w:cs="宋体"/>
          <w:szCs w:val="24"/>
          <w:highlight w:val="none"/>
        </w:rPr>
      </w:pPr>
      <w:r>
        <w:rPr>
          <w:rFonts w:hint="eastAsia" w:hAnsi="宋体" w:cs="宋体"/>
          <w:szCs w:val="24"/>
          <w:highlight w:val="none"/>
        </w:rPr>
        <w:t>三、质疑基本情况</w:t>
      </w:r>
    </w:p>
    <w:p w14:paraId="60113664">
      <w:pPr>
        <w:ind w:firstLine="480" w:firstLineChars="200"/>
        <w:rPr>
          <w:rFonts w:hAnsi="宋体" w:cs="宋体"/>
          <w:szCs w:val="24"/>
          <w:highlight w:val="none"/>
          <w:u w:val="dotted"/>
        </w:rPr>
      </w:pPr>
      <w:r>
        <w:rPr>
          <w:rFonts w:hint="eastAsia" w:hAnsi="宋体" w:cs="宋体"/>
          <w:szCs w:val="24"/>
          <w:highlight w:val="none"/>
        </w:rPr>
        <w:t>投诉人于</w:t>
      </w:r>
      <w:r>
        <w:rPr>
          <w:rFonts w:hint="eastAsia" w:hAnsi="宋体" w:cs="宋体"/>
          <w:szCs w:val="24"/>
          <w:highlight w:val="none"/>
          <w:u w:val="dotted"/>
        </w:rPr>
        <w:t xml:space="preserve">   </w:t>
      </w:r>
      <w:r>
        <w:rPr>
          <w:rFonts w:hint="eastAsia" w:hAnsi="宋体" w:cs="宋体"/>
          <w:szCs w:val="24"/>
          <w:highlight w:val="none"/>
        </w:rPr>
        <w:t>年</w:t>
      </w:r>
      <w:r>
        <w:rPr>
          <w:rFonts w:hint="eastAsia" w:hAnsi="宋体" w:cs="宋体"/>
          <w:szCs w:val="24"/>
          <w:highlight w:val="none"/>
          <w:u w:val="dotted"/>
        </w:rPr>
        <w:t xml:space="preserve">   </w:t>
      </w:r>
      <w:r>
        <w:rPr>
          <w:rFonts w:hint="eastAsia" w:hAnsi="宋体" w:cs="宋体"/>
          <w:szCs w:val="24"/>
          <w:highlight w:val="none"/>
        </w:rPr>
        <w:t>月</w:t>
      </w:r>
      <w:r>
        <w:rPr>
          <w:rFonts w:hint="eastAsia" w:hAnsi="宋体" w:cs="宋体"/>
          <w:szCs w:val="24"/>
          <w:highlight w:val="none"/>
          <w:u w:val="dotted"/>
        </w:rPr>
        <w:t xml:space="preserve">  </w:t>
      </w:r>
      <w:r>
        <w:rPr>
          <w:rFonts w:hint="eastAsia" w:hAnsi="宋体" w:cs="宋体"/>
          <w:szCs w:val="24"/>
          <w:highlight w:val="none"/>
        </w:rPr>
        <w:t>日,向</w:t>
      </w:r>
      <w:r>
        <w:rPr>
          <w:rFonts w:hint="eastAsia" w:hAnsi="宋体" w:cs="宋体"/>
          <w:szCs w:val="24"/>
          <w:highlight w:val="none"/>
          <w:u w:val="dotted"/>
        </w:rPr>
        <w:t xml:space="preserve">                   </w:t>
      </w:r>
      <w:r>
        <w:rPr>
          <w:rFonts w:hint="eastAsia" w:hAnsi="宋体" w:cs="宋体"/>
          <w:szCs w:val="24"/>
          <w:highlight w:val="none"/>
        </w:rPr>
        <w:t>提出质疑，质疑事项为：</w:t>
      </w:r>
      <w:r>
        <w:rPr>
          <w:rFonts w:hint="eastAsia" w:hAnsi="宋体" w:cs="宋体"/>
          <w:szCs w:val="24"/>
          <w:highlight w:val="none"/>
          <w:u w:val="dotted"/>
        </w:rPr>
        <w:t xml:space="preserve">                                </w:t>
      </w:r>
    </w:p>
    <w:p w14:paraId="0F608ED8">
      <w:pPr>
        <w:rPr>
          <w:rFonts w:hAnsi="宋体" w:cs="宋体"/>
          <w:szCs w:val="24"/>
          <w:highlight w:val="none"/>
          <w:u w:val="dotted"/>
        </w:rPr>
      </w:pPr>
      <w:r>
        <w:rPr>
          <w:rFonts w:hint="eastAsia" w:hAnsi="宋体" w:cs="宋体"/>
          <w:szCs w:val="24"/>
          <w:highlight w:val="none"/>
          <w:u w:val="dotted"/>
        </w:rPr>
        <w:t xml:space="preserve">                                                     </w:t>
      </w:r>
      <w:r>
        <w:rPr>
          <w:rFonts w:hint="eastAsia" w:hAnsi="宋体" w:cs="宋体"/>
          <w:szCs w:val="24"/>
          <w:highlight w:val="none"/>
        </w:rPr>
        <w:t xml:space="preserve">  </w:t>
      </w:r>
    </w:p>
    <w:p w14:paraId="0654B942">
      <w:pPr>
        <w:ind w:firstLine="360" w:firstLineChars="150"/>
        <w:rPr>
          <w:rFonts w:hAnsi="宋体" w:cs="宋体"/>
          <w:szCs w:val="24"/>
          <w:highlight w:val="none"/>
        </w:rPr>
      </w:pPr>
      <w:r>
        <w:rPr>
          <w:rFonts w:hint="eastAsia" w:hAnsi="宋体" w:cs="宋体"/>
          <w:szCs w:val="24"/>
          <w:highlight w:val="none"/>
          <w:u w:val="dotted"/>
        </w:rPr>
        <w:t>采购人/代理机构</w:t>
      </w:r>
      <w:r>
        <w:rPr>
          <w:rFonts w:hint="eastAsia" w:hAnsi="宋体" w:cs="宋体"/>
          <w:szCs w:val="24"/>
          <w:highlight w:val="none"/>
        </w:rPr>
        <w:t>于</w:t>
      </w:r>
      <w:r>
        <w:rPr>
          <w:rFonts w:hint="eastAsia" w:hAnsi="宋体" w:cs="宋体"/>
          <w:szCs w:val="24"/>
          <w:highlight w:val="none"/>
          <w:u w:val="dotted"/>
        </w:rPr>
        <w:t xml:space="preserve">   </w:t>
      </w:r>
      <w:r>
        <w:rPr>
          <w:rFonts w:hint="eastAsia" w:hAnsi="宋体" w:cs="宋体"/>
          <w:szCs w:val="24"/>
          <w:highlight w:val="none"/>
        </w:rPr>
        <w:t>年</w:t>
      </w:r>
      <w:r>
        <w:rPr>
          <w:rFonts w:hint="eastAsia" w:hAnsi="宋体" w:cs="宋体"/>
          <w:szCs w:val="24"/>
          <w:highlight w:val="none"/>
          <w:u w:val="dotted"/>
        </w:rPr>
        <w:t xml:space="preserve">   </w:t>
      </w:r>
      <w:r>
        <w:rPr>
          <w:rFonts w:hint="eastAsia" w:hAnsi="宋体" w:cs="宋体"/>
          <w:szCs w:val="24"/>
          <w:highlight w:val="none"/>
        </w:rPr>
        <w:t>月</w:t>
      </w:r>
      <w:r>
        <w:rPr>
          <w:rFonts w:hint="eastAsia" w:hAnsi="宋体" w:cs="宋体"/>
          <w:szCs w:val="24"/>
          <w:highlight w:val="none"/>
          <w:u w:val="dotted"/>
        </w:rPr>
        <w:t xml:space="preserve">   </w:t>
      </w:r>
      <w:r>
        <w:rPr>
          <w:rFonts w:hint="eastAsia" w:hAnsi="宋体" w:cs="宋体"/>
          <w:szCs w:val="24"/>
          <w:highlight w:val="none"/>
        </w:rPr>
        <w:t>日,就质疑事项作出了答复/没有在法定期限内作出答复。</w:t>
      </w:r>
    </w:p>
    <w:p w14:paraId="7B53C2B5">
      <w:pPr>
        <w:rPr>
          <w:rFonts w:hAnsi="宋体" w:cs="宋体"/>
          <w:szCs w:val="24"/>
          <w:highlight w:val="none"/>
        </w:rPr>
      </w:pPr>
      <w:r>
        <w:rPr>
          <w:rFonts w:hint="eastAsia" w:hAnsi="宋体" w:cs="宋体"/>
          <w:szCs w:val="24"/>
          <w:highlight w:val="none"/>
        </w:rPr>
        <w:t>四、投诉事项具体内容</w:t>
      </w:r>
    </w:p>
    <w:p w14:paraId="5761A0A0">
      <w:pPr>
        <w:rPr>
          <w:rFonts w:hAnsi="宋体" w:cs="宋体"/>
          <w:szCs w:val="24"/>
          <w:highlight w:val="none"/>
          <w:u w:val="single"/>
        </w:rPr>
      </w:pPr>
      <w:r>
        <w:rPr>
          <w:rFonts w:hint="eastAsia" w:hAnsi="宋体" w:cs="宋体"/>
          <w:szCs w:val="24"/>
          <w:highlight w:val="none"/>
        </w:rPr>
        <w:t>投诉事项 1：</w:t>
      </w:r>
      <w:r>
        <w:rPr>
          <w:rFonts w:hint="eastAsia" w:hAnsi="宋体" w:cs="宋体"/>
          <w:szCs w:val="24"/>
          <w:highlight w:val="none"/>
          <w:u w:val="dotted"/>
        </w:rPr>
        <w:t xml:space="preserve">                                       </w:t>
      </w:r>
    </w:p>
    <w:p w14:paraId="575BF22A">
      <w:pPr>
        <w:rPr>
          <w:rFonts w:hAnsi="宋体" w:cs="宋体"/>
          <w:szCs w:val="24"/>
          <w:highlight w:val="none"/>
        </w:rPr>
      </w:pPr>
      <w:r>
        <w:rPr>
          <w:rFonts w:hint="eastAsia" w:hAnsi="宋体" w:cs="宋体"/>
          <w:szCs w:val="24"/>
          <w:highlight w:val="none"/>
        </w:rPr>
        <w:t>事实依据：</w:t>
      </w:r>
      <w:r>
        <w:rPr>
          <w:rFonts w:hint="eastAsia" w:hAnsi="宋体" w:cs="宋体"/>
          <w:szCs w:val="24"/>
          <w:highlight w:val="none"/>
          <w:u w:val="dotted"/>
        </w:rPr>
        <w:t xml:space="preserve">                                         </w:t>
      </w:r>
    </w:p>
    <w:p w14:paraId="7D661F81">
      <w:pPr>
        <w:rPr>
          <w:rFonts w:hAnsi="宋体" w:cs="宋体"/>
          <w:szCs w:val="24"/>
          <w:highlight w:val="none"/>
          <w:u w:val="dotted"/>
        </w:rPr>
      </w:pPr>
      <w:r>
        <w:rPr>
          <w:rFonts w:hint="eastAsia" w:hAnsi="宋体" w:cs="宋体"/>
          <w:szCs w:val="24"/>
          <w:highlight w:val="none"/>
          <w:u w:val="dotted"/>
        </w:rPr>
        <w:t xml:space="preserve">                                                      </w:t>
      </w:r>
    </w:p>
    <w:p w14:paraId="51D3876E">
      <w:pPr>
        <w:rPr>
          <w:rFonts w:hAnsi="宋体" w:cs="宋体"/>
          <w:szCs w:val="24"/>
          <w:highlight w:val="none"/>
          <w:u w:val="single"/>
        </w:rPr>
      </w:pPr>
      <w:r>
        <w:rPr>
          <w:rFonts w:hint="eastAsia" w:hAnsi="宋体" w:cs="宋体"/>
          <w:szCs w:val="24"/>
          <w:highlight w:val="none"/>
        </w:rPr>
        <w:t>法律依据：</w:t>
      </w:r>
      <w:r>
        <w:rPr>
          <w:rFonts w:hint="eastAsia" w:hAnsi="宋体" w:cs="宋体"/>
          <w:szCs w:val="24"/>
          <w:highlight w:val="none"/>
          <w:u w:val="dotted"/>
        </w:rPr>
        <w:t xml:space="preserve">                                          </w:t>
      </w:r>
    </w:p>
    <w:p w14:paraId="3AFF72A2">
      <w:pPr>
        <w:rPr>
          <w:rFonts w:hAnsi="宋体" w:cs="宋体"/>
          <w:szCs w:val="24"/>
          <w:highlight w:val="none"/>
          <w:u w:val="dotted"/>
        </w:rPr>
      </w:pPr>
      <w:r>
        <w:rPr>
          <w:rFonts w:hint="eastAsia" w:hAnsi="宋体" w:cs="宋体"/>
          <w:szCs w:val="24"/>
          <w:highlight w:val="none"/>
          <w:u w:val="dotted"/>
        </w:rPr>
        <w:t xml:space="preserve">                                                      </w:t>
      </w:r>
    </w:p>
    <w:p w14:paraId="74DD8B5D">
      <w:pPr>
        <w:rPr>
          <w:rFonts w:hAnsi="宋体" w:cs="宋体"/>
          <w:szCs w:val="24"/>
          <w:highlight w:val="none"/>
        </w:rPr>
      </w:pPr>
      <w:r>
        <w:rPr>
          <w:rFonts w:hint="eastAsia" w:hAnsi="宋体" w:cs="宋体"/>
          <w:szCs w:val="24"/>
          <w:highlight w:val="none"/>
        </w:rPr>
        <w:t>投诉事项2</w:t>
      </w:r>
    </w:p>
    <w:p w14:paraId="723858CE">
      <w:pPr>
        <w:rPr>
          <w:rFonts w:hAnsi="宋体" w:cs="宋体"/>
          <w:szCs w:val="24"/>
          <w:highlight w:val="none"/>
          <w:u w:val="dotted"/>
        </w:rPr>
      </w:pPr>
      <w:r>
        <w:rPr>
          <w:rFonts w:hint="eastAsia" w:hAnsi="宋体" w:cs="宋体"/>
          <w:szCs w:val="24"/>
          <w:highlight w:val="none"/>
        </w:rPr>
        <w:t>……</w:t>
      </w:r>
    </w:p>
    <w:p w14:paraId="76B3D7EF">
      <w:pPr>
        <w:rPr>
          <w:rFonts w:hAnsi="宋体" w:cs="宋体"/>
          <w:szCs w:val="24"/>
          <w:highlight w:val="none"/>
        </w:rPr>
      </w:pPr>
      <w:r>
        <w:rPr>
          <w:rFonts w:hint="eastAsia" w:hAnsi="宋体" w:cs="宋体"/>
          <w:szCs w:val="24"/>
          <w:highlight w:val="none"/>
        </w:rPr>
        <w:t>五、与投诉事项相关的投诉请求</w:t>
      </w:r>
    </w:p>
    <w:p w14:paraId="6C6FEAD3">
      <w:pPr>
        <w:rPr>
          <w:rFonts w:hAnsi="宋体" w:cs="宋体"/>
          <w:szCs w:val="24"/>
          <w:highlight w:val="none"/>
        </w:rPr>
      </w:pPr>
      <w:r>
        <w:rPr>
          <w:rFonts w:hint="eastAsia" w:hAnsi="宋体" w:cs="宋体"/>
          <w:szCs w:val="24"/>
          <w:highlight w:val="none"/>
        </w:rPr>
        <w:t>请求：</w:t>
      </w:r>
      <w:r>
        <w:rPr>
          <w:rFonts w:hint="eastAsia" w:hAnsi="宋体" w:cs="宋体"/>
          <w:szCs w:val="24"/>
          <w:highlight w:val="none"/>
          <w:u w:val="dotted"/>
        </w:rPr>
        <w:t xml:space="preserve">                                              </w:t>
      </w:r>
      <w:r>
        <w:rPr>
          <w:rFonts w:hint="eastAsia" w:hAnsi="宋体" w:cs="宋体"/>
          <w:szCs w:val="24"/>
          <w:highlight w:val="none"/>
        </w:rPr>
        <w:t xml:space="preserve"> </w:t>
      </w:r>
    </w:p>
    <w:p w14:paraId="1C909C5D">
      <w:pPr>
        <w:rPr>
          <w:rFonts w:hAnsi="宋体" w:cs="宋体"/>
          <w:szCs w:val="24"/>
          <w:highlight w:val="none"/>
          <w:u w:val="single"/>
        </w:rPr>
      </w:pPr>
      <w:r>
        <w:rPr>
          <w:rFonts w:hint="eastAsia" w:hAnsi="宋体" w:cs="宋体"/>
          <w:szCs w:val="24"/>
          <w:highlight w:val="none"/>
        </w:rPr>
        <w:t xml:space="preserve">                                                                                                    </w:t>
      </w:r>
    </w:p>
    <w:p w14:paraId="72CB4B10">
      <w:pPr>
        <w:rPr>
          <w:rFonts w:hAnsi="宋体" w:cs="宋体"/>
          <w:szCs w:val="24"/>
          <w:highlight w:val="none"/>
        </w:rPr>
      </w:pPr>
      <w:r>
        <w:rPr>
          <w:rFonts w:hint="eastAsia" w:hAnsi="宋体" w:cs="宋体"/>
          <w:szCs w:val="24"/>
          <w:highlight w:val="none"/>
        </w:rPr>
        <w:t xml:space="preserve">签字(签章)：                   公章：                      </w:t>
      </w:r>
    </w:p>
    <w:p w14:paraId="7C0B9640">
      <w:pPr>
        <w:spacing w:line="360" w:lineRule="auto"/>
        <w:rPr>
          <w:highlight w:val="none"/>
        </w:rPr>
      </w:pPr>
      <w:r>
        <w:rPr>
          <w:rFonts w:hint="eastAsia" w:hAnsi="宋体" w:cs="宋体"/>
          <w:szCs w:val="24"/>
          <w:highlight w:val="none"/>
        </w:rPr>
        <w:t xml:space="preserve">日期：   </w:t>
      </w:r>
      <w:r>
        <w:rPr>
          <w:rFonts w:hint="eastAsia" w:hAnsi="宋体" w:cs="宋体"/>
          <w:szCs w:val="24"/>
          <w:highlight w:val="none"/>
        </w:rPr>
        <w:tab/>
      </w:r>
    </w:p>
    <w:sectPr>
      <w:footerReference r:id="rId11" w:type="first"/>
      <w:footerReference r:id="rId10" w:type="default"/>
      <w:pgSz w:w="11906" w:h="16838"/>
      <w:pgMar w:top="1361" w:right="1304" w:bottom="1361" w:left="130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 w:name="AGYXIQ + Frutiger-C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85BD9">
    <w:pPr>
      <w:pStyle w:val="15"/>
      <w:rPr>
        <w:rFonts w:hint="eastAsia" w:eastAsia="宋体"/>
        <w:lang w:eastAsia="zh-CN"/>
      </w:rPr>
    </w:pPr>
    <w:r>
      <w:rPr>
        <w:rFonts w:hint="eastAsia"/>
      </w:rPr>
      <w:t xml:space="preserve">陕西至诚项目管理集团有限公司                         </w:t>
    </w:r>
    <w:r>
      <w:rPr>
        <w:rFonts w:hint="eastAsia"/>
      </w:rPr>
      <w:tab/>
    </w:r>
    <w:r>
      <w:rPr>
        <w:rFonts w:hint="eastAsia"/>
      </w:rPr>
      <w:t>地址：西安市陕西省西安市未央区未央路171-1 银池广场道拉斯财富中心21楼</w:t>
    </w:r>
    <w:r>
      <w:rPr>
        <w:rFonts w:hint="eastAsia"/>
        <w:lang w:eastAsia="zh-CN"/>
      </w:rPr>
      <w:t>03号</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CC9EF">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7A783">
    <w:pPr>
      <w:pStyle w:val="15"/>
      <w:rPr>
        <w:rFonts w:hint="eastAsia" w:eastAsia="宋体"/>
        <w:lang w:eastAsia="zh-C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33688C87">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C2GSjK1wEAALEDAAAOAAAAAAAAAAEA&#10;IAAAACIBAABkcnMvZTJvRG9jLnhtbFBLBQYAAAAABgAGAFkBAABrBQAAAAA=&#10;">
              <v:fill on="f" focussize="0,0"/>
              <v:stroke on="f" weight="1.25pt"/>
              <v:imagedata o:title=""/>
              <o:lock v:ext="edit" aspectratio="f"/>
              <v:textbox inset="0mm,0mm,0mm,0mm" style="mso-fit-shape-to-text:t;">
                <w:txbxContent>
                  <w:p w14:paraId="33688C87">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v:textbox>
            </v:shape>
          </w:pict>
        </mc:Fallback>
      </mc:AlternateContent>
    </w:r>
    <w:r>
      <w:rPr>
        <w:rFonts w:hint="eastAsia"/>
      </w:rPr>
      <w:t xml:space="preserve">陕西至诚项目管理集团有限公司                         </w:t>
    </w:r>
    <w:r>
      <w:rPr>
        <w:rFonts w:hint="eastAsia"/>
      </w:rPr>
      <w:tab/>
    </w:r>
    <w:r>
      <w:rPr>
        <w:rFonts w:hint="eastAsia"/>
      </w:rPr>
      <w:t>地址：西安市陕西省西安市未央区未央路171-1 银池广场道拉斯财富中心21楼</w:t>
    </w:r>
    <w:r>
      <w:rPr>
        <w:rFonts w:hint="eastAsia"/>
        <w:lang w:eastAsia="zh-CN"/>
      </w:rPr>
      <w:t>03号</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48EE3">
    <w:pPr>
      <w:pStyle w:val="15"/>
      <w:jc w:val="both"/>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4E6CF87D">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oeptLXAQAAsQ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qlC5GWYcBKncfZkxWE3TIR2&#10;rj0hzx4XoqEW958S/cmi3ml3ZiPMxm42Dj6ofYcjL3N38B8OEYfLM6cOIyxyTQ6+ZGY9bV1alad+&#10;rnr80zb/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CKHqbS1wEAALEDAAAOAAAAAAAAAAEA&#10;IAAAACIBAABkcnMvZTJvRG9jLnhtbFBLBQYAAAAABgAGAFkBAABrBQAAAAA=&#10;">
              <v:fill on="f" focussize="0,0"/>
              <v:stroke on="f" weight="1.25pt"/>
              <v:imagedata o:title=""/>
              <o:lock v:ext="edit" aspectratio="f"/>
              <v:textbox inset="0mm,0mm,0mm,0mm" style="mso-fit-shape-to-text:t;">
                <w:txbxContent>
                  <w:p w14:paraId="4E6CF87D">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06E16">
    <w:pPr>
      <w:tabs>
        <w:tab w:val="left" w:pos="5646"/>
      </w:tabs>
      <w:rPr>
        <w:sz w:val="18"/>
        <w:szCs w:val="18"/>
      </w:rPr>
    </w:pPr>
  </w:p>
  <w:p w14:paraId="4F7BF9E3">
    <w:pPr>
      <w:pStyle w:val="15"/>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4445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3616EAED">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35pt;height:144pt;width:144pt;mso-position-horizontal:center;mso-position-horizontal-relative:margin;mso-wrap-style:none;z-index:251660288;mso-width-relative:page;mso-height-relative:page;" filled="f" stroked="f" coordsize="21600,21600" o:gfxdata="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yLjjXVAAAABQEAAA8AAAAAAAAAAQAg&#10;AAAAIgAAAGRycy9kb3ducmV2LnhtbFBLAQIUABQAAAAIAIdO4kDOFzT72AEAALEDAAAOAAAAAAAA&#10;AAEAIAAAACQBAABkcnMvZTJvRG9jLnhtbFBLBQYAAAAABgAGAFkBAABuBQAAAAA=&#10;">
              <v:fill on="f" focussize="0,0"/>
              <v:stroke on="f" weight="1.25pt"/>
              <v:imagedata o:title=""/>
              <o:lock v:ext="edit" aspectratio="f"/>
              <v:textbox inset="0mm,0mm,0mm,0mm" style="mso-fit-shape-to-text:t;">
                <w:txbxContent>
                  <w:p w14:paraId="3616EAED">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r>
                      <w:rPr>
                        <w:rFonts w:hint="eastAsi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447A5">
    <w:pPr>
      <w:pStyle w:val="15"/>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E71ED39">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5E71ED39">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263EA">
    <w:pPr>
      <w:spacing w:line="500" w:lineRule="exact"/>
      <w:ind w:left="1870" w:hanging="1870" w:hangingChars="850"/>
      <w:jc w:val="left"/>
      <w:rPr>
        <w:rFonts w:hAnsi="宋体" w:cs="宋体"/>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9667E">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8BDFA">
    <w:pPr>
      <w:pStyle w:val="16"/>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2B9EF6"/>
    <w:multiLevelType w:val="singleLevel"/>
    <w:tmpl w:val="882B9EF6"/>
    <w:lvl w:ilvl="0" w:tentative="0">
      <w:start w:val="1"/>
      <w:numFmt w:val="chineseCounting"/>
      <w:suff w:val="nothing"/>
      <w:lvlText w:val="%1、"/>
      <w:lvlJc w:val="left"/>
      <w:rPr>
        <w:rFonts w:hint="eastAsia"/>
      </w:rPr>
    </w:lvl>
  </w:abstractNum>
  <w:abstractNum w:abstractNumId="1">
    <w:nsid w:val="8EDCD9CD"/>
    <w:multiLevelType w:val="singleLevel"/>
    <w:tmpl w:val="8EDCD9CD"/>
    <w:lvl w:ilvl="0" w:tentative="0">
      <w:start w:val="1"/>
      <w:numFmt w:val="chineseCounting"/>
      <w:suff w:val="nothing"/>
      <w:lvlText w:val="%1、"/>
      <w:lvlJc w:val="left"/>
      <w:rPr>
        <w:rFonts w:hint="eastAsia"/>
      </w:rPr>
    </w:lvl>
  </w:abstractNum>
  <w:abstractNum w:abstractNumId="2">
    <w:nsid w:val="E1C6327C"/>
    <w:multiLevelType w:val="multilevel"/>
    <w:tmpl w:val="E1C6327C"/>
    <w:lvl w:ilvl="0" w:tentative="0">
      <w:start w:val="1"/>
      <w:numFmt w:val="chineseCounting"/>
      <w:suff w:val="nothing"/>
      <w:lvlText w:val="%1、"/>
      <w:lvlJc w:val="left"/>
      <w:pPr>
        <w:tabs>
          <w:tab w:val="left" w:pos="0"/>
        </w:tabs>
      </w:pPr>
      <w:rPr>
        <w:rFonts w:hint="eastAsia" w:ascii="宋体" w:hAnsi="宋体" w:eastAsia="宋体"/>
      </w:rPr>
    </w:lvl>
    <w:lvl w:ilvl="1" w:tentative="0">
      <w:start w:val="1"/>
      <w:numFmt w:val="chineseCounting"/>
      <w:pStyle w:val="49"/>
      <w:suff w:val="nothing"/>
      <w:lvlText w:val="(%2)"/>
      <w:lvlJc w:val="left"/>
      <w:rPr>
        <w:rFonts w:hint="eastAsia" w:ascii="宋体" w:hAnsi="宋体" w:eastAsia="宋体"/>
      </w:rPr>
    </w:lvl>
    <w:lvl w:ilvl="2" w:tentative="0">
      <w:start w:val="1"/>
      <w:numFmt w:val="decimal"/>
      <w:suff w:val="nothing"/>
      <w:lvlText w:val="%3."/>
      <w:lvlJc w:val="left"/>
      <w:rPr>
        <w:rFonts w:hint="eastAsia" w:ascii="宋体" w:hAnsi="宋体" w:eastAsia="宋体"/>
      </w:rPr>
    </w:lvl>
    <w:lvl w:ilvl="3" w:tentative="0">
      <w:start w:val="1"/>
      <w:numFmt w:val="decimal"/>
      <w:suff w:val="nothing"/>
      <w:lvlText w:val="%3.%4"/>
      <w:lvlJc w:val="left"/>
      <w:rPr>
        <w:rFonts w:hint="eastAsia" w:ascii="宋体" w:hAnsi="宋体" w:eastAsia="宋体"/>
      </w:rPr>
    </w:lvl>
    <w:lvl w:ilvl="4" w:tentative="0">
      <w:start w:val="1"/>
      <w:numFmt w:val="decimal"/>
      <w:suff w:val="nothing"/>
      <w:lvlText w:val="(%5)"/>
      <w:lvlJc w:val="left"/>
      <w:rPr>
        <w:rFonts w:hint="eastAsia" w:ascii="宋体" w:hAnsi="宋体" w:eastAsia="宋体"/>
      </w:rPr>
    </w:lvl>
    <w:lvl w:ilvl="5" w:tentative="0">
      <w:start w:val="1"/>
      <w:numFmt w:val="decimal"/>
      <w:suff w:val="nothing"/>
      <w:lvlText w:val="%6）"/>
      <w:lvlJc w:val="left"/>
      <w:pPr>
        <w:ind w:firstLine="402"/>
      </w:pPr>
      <w:rPr>
        <w:rFonts w:hint="eastAsia"/>
      </w:rPr>
    </w:lvl>
    <w:lvl w:ilvl="6" w:tentative="0">
      <w:start w:val="1"/>
      <w:numFmt w:val="lowerLetter"/>
      <w:suff w:val="nothing"/>
      <w:lvlText w:val="%7．"/>
      <w:lvlJc w:val="left"/>
      <w:pPr>
        <w:ind w:firstLine="402"/>
      </w:pPr>
      <w:rPr>
        <w:rFonts w:hint="eastAsia"/>
      </w:rPr>
    </w:lvl>
    <w:lvl w:ilvl="7" w:tentative="0">
      <w:start w:val="1"/>
      <w:numFmt w:val="lowerLetter"/>
      <w:suff w:val="nothing"/>
      <w:lvlText w:val="%8）"/>
      <w:lvlJc w:val="left"/>
      <w:pPr>
        <w:ind w:firstLine="402"/>
      </w:pPr>
      <w:rPr>
        <w:rFonts w:hint="eastAsia"/>
      </w:rPr>
    </w:lvl>
    <w:lvl w:ilvl="8" w:tentative="0">
      <w:start w:val="1"/>
      <w:numFmt w:val="lowerRoman"/>
      <w:suff w:val="nothing"/>
      <w:lvlText w:val="%9 "/>
      <w:lvlJc w:val="left"/>
      <w:pPr>
        <w:ind w:firstLine="402"/>
      </w:pPr>
      <w:rPr>
        <w:rFonts w:hint="eastAsia"/>
      </w:rPr>
    </w:lvl>
  </w:abstractNum>
  <w:abstractNum w:abstractNumId="3">
    <w:nsid w:val="E6B5DCD2"/>
    <w:multiLevelType w:val="singleLevel"/>
    <w:tmpl w:val="E6B5DCD2"/>
    <w:lvl w:ilvl="0" w:tentative="0">
      <w:start w:val="1"/>
      <w:numFmt w:val="decimal"/>
      <w:suff w:val="nothing"/>
      <w:lvlText w:val="%1、"/>
      <w:lvlJc w:val="left"/>
    </w:lvl>
  </w:abstractNum>
  <w:abstractNum w:abstractNumId="4">
    <w:nsid w:val="08757AF1"/>
    <w:multiLevelType w:val="singleLevel"/>
    <w:tmpl w:val="08757AF1"/>
    <w:lvl w:ilvl="0" w:tentative="0">
      <w:start w:val="1"/>
      <w:numFmt w:val="decimal"/>
      <w:suff w:val="nothing"/>
      <w:lvlText w:val="%1、"/>
      <w:lvlJc w:val="left"/>
    </w:lvl>
  </w:abstractNum>
  <w:abstractNum w:abstractNumId="5">
    <w:nsid w:val="0F56028B"/>
    <w:multiLevelType w:val="singleLevel"/>
    <w:tmpl w:val="0F56028B"/>
    <w:lvl w:ilvl="0" w:tentative="0">
      <w:start w:val="1"/>
      <w:numFmt w:val="decimal"/>
      <w:suff w:val="nothing"/>
      <w:lvlText w:val="%1、"/>
      <w:lvlJc w:val="left"/>
    </w:lvl>
  </w:abstractNum>
  <w:abstractNum w:abstractNumId="6">
    <w:nsid w:val="3269E7BF"/>
    <w:multiLevelType w:val="singleLevel"/>
    <w:tmpl w:val="3269E7BF"/>
    <w:lvl w:ilvl="0" w:tentative="0">
      <w:start w:val="4"/>
      <w:numFmt w:val="chineseCounting"/>
      <w:suff w:val="nothing"/>
      <w:lvlText w:val="%1、"/>
      <w:lvlJc w:val="left"/>
      <w:rPr>
        <w:rFonts w:hint="eastAsia"/>
      </w:rPr>
    </w:lvl>
  </w:abstractNum>
  <w:abstractNum w:abstractNumId="7">
    <w:nsid w:val="3345DCC0"/>
    <w:multiLevelType w:val="singleLevel"/>
    <w:tmpl w:val="3345DCC0"/>
    <w:lvl w:ilvl="0" w:tentative="0">
      <w:start w:val="1"/>
      <w:numFmt w:val="decimal"/>
      <w:suff w:val="nothing"/>
      <w:lvlText w:val="%1）"/>
      <w:lvlJc w:val="left"/>
    </w:lvl>
  </w:abstractNum>
  <w:abstractNum w:abstractNumId="8">
    <w:nsid w:val="33CEC18F"/>
    <w:multiLevelType w:val="singleLevel"/>
    <w:tmpl w:val="33CEC18F"/>
    <w:lvl w:ilvl="0" w:tentative="0">
      <w:start w:val="3"/>
      <w:numFmt w:val="chineseCounting"/>
      <w:suff w:val="space"/>
      <w:lvlText w:val="第%1章"/>
      <w:lvlJc w:val="left"/>
      <w:rPr>
        <w:rFonts w:hint="eastAsia"/>
      </w:rPr>
    </w:lvl>
  </w:abstractNum>
  <w:abstractNum w:abstractNumId="9">
    <w:nsid w:val="34E1EF88"/>
    <w:multiLevelType w:val="singleLevel"/>
    <w:tmpl w:val="34E1EF88"/>
    <w:lvl w:ilvl="0" w:tentative="0">
      <w:start w:val="1"/>
      <w:numFmt w:val="chineseCounting"/>
      <w:suff w:val="nothing"/>
      <w:lvlText w:val="%1、"/>
      <w:lvlJc w:val="left"/>
      <w:rPr>
        <w:rFonts w:hint="eastAsia"/>
      </w:rPr>
    </w:lvl>
  </w:abstractNum>
  <w:abstractNum w:abstractNumId="10">
    <w:nsid w:val="50651039"/>
    <w:multiLevelType w:val="singleLevel"/>
    <w:tmpl w:val="50651039"/>
    <w:lvl w:ilvl="0" w:tentative="0">
      <w:start w:val="1"/>
      <w:numFmt w:val="decimal"/>
      <w:lvlText w:val="%1."/>
      <w:lvlJc w:val="left"/>
      <w:pPr>
        <w:tabs>
          <w:tab w:val="left" w:pos="312"/>
        </w:tabs>
      </w:pPr>
    </w:lvl>
  </w:abstractNum>
  <w:abstractNum w:abstractNumId="11">
    <w:nsid w:val="590049E8"/>
    <w:multiLevelType w:val="singleLevel"/>
    <w:tmpl w:val="590049E8"/>
    <w:lvl w:ilvl="0" w:tentative="0">
      <w:start w:val="30"/>
      <w:numFmt w:val="decimal"/>
      <w:suff w:val="nothing"/>
      <w:lvlText w:val="%1."/>
      <w:lvlJc w:val="left"/>
    </w:lvl>
  </w:abstractNum>
  <w:abstractNum w:abstractNumId="12">
    <w:nsid w:val="59B2460E"/>
    <w:multiLevelType w:val="singleLevel"/>
    <w:tmpl w:val="59B2460E"/>
    <w:lvl w:ilvl="0" w:tentative="0">
      <w:start w:val="2"/>
      <w:numFmt w:val="decimal"/>
      <w:suff w:val="nothing"/>
      <w:lvlText w:val="%1."/>
      <w:lvlJc w:val="left"/>
    </w:lvl>
  </w:abstractNum>
  <w:abstractNum w:abstractNumId="13">
    <w:nsid w:val="59CF0981"/>
    <w:multiLevelType w:val="singleLevel"/>
    <w:tmpl w:val="59CF0981"/>
    <w:lvl w:ilvl="0" w:tentative="0">
      <w:start w:val="1"/>
      <w:numFmt w:val="decimal"/>
      <w:suff w:val="nothing"/>
      <w:lvlText w:val="%1、"/>
      <w:lvlJc w:val="left"/>
    </w:lvl>
  </w:abstractNum>
  <w:abstractNum w:abstractNumId="14">
    <w:nsid w:val="5B4B2C1B"/>
    <w:multiLevelType w:val="singleLevel"/>
    <w:tmpl w:val="5B4B2C1B"/>
    <w:lvl w:ilvl="0" w:tentative="0">
      <w:start w:val="1"/>
      <w:numFmt w:val="chineseCounting"/>
      <w:suff w:val="nothing"/>
      <w:lvlText w:val="%1、"/>
      <w:lvlJc w:val="left"/>
      <w:rPr>
        <w:rFonts w:hint="eastAsia"/>
      </w:rPr>
    </w:lvl>
  </w:abstractNum>
  <w:num w:numId="1">
    <w:abstractNumId w:val="2"/>
  </w:num>
  <w:num w:numId="2">
    <w:abstractNumId w:val="12"/>
  </w:num>
  <w:num w:numId="3">
    <w:abstractNumId w:val="11"/>
  </w:num>
  <w:num w:numId="4">
    <w:abstractNumId w:val="8"/>
  </w:num>
  <w:num w:numId="5">
    <w:abstractNumId w:val="13"/>
  </w:num>
  <w:num w:numId="6">
    <w:abstractNumId w:val="6"/>
  </w:num>
  <w:num w:numId="7">
    <w:abstractNumId w:val="9"/>
  </w:num>
  <w:num w:numId="8">
    <w:abstractNumId w:val="4"/>
  </w:num>
  <w:num w:numId="9">
    <w:abstractNumId w:val="0"/>
  </w:num>
  <w:num w:numId="10">
    <w:abstractNumId w:val="1"/>
  </w:num>
  <w:num w:numId="11">
    <w:abstractNumId w:val="3"/>
  </w:num>
  <w:num w:numId="12">
    <w:abstractNumId w:val="14"/>
  </w:num>
  <w:num w:numId="13">
    <w:abstractNumId w:val="5"/>
  </w:num>
  <w:num w:numId="14">
    <w:abstractNumId w:val="1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k2MTljMjQ2ZmM1YTViMzFmYmJjNDI2MjcxMWZiNWYifQ=="/>
  </w:docVars>
  <w:rsids>
    <w:rsidRoot w:val="000007BF"/>
    <w:rsid w:val="000007BF"/>
    <w:rsid w:val="00095601"/>
    <w:rsid w:val="000B4EEA"/>
    <w:rsid w:val="000B6281"/>
    <w:rsid w:val="000C5DC1"/>
    <w:rsid w:val="00187FDF"/>
    <w:rsid w:val="001A3005"/>
    <w:rsid w:val="001F209C"/>
    <w:rsid w:val="00210AF4"/>
    <w:rsid w:val="0025686E"/>
    <w:rsid w:val="003F27D8"/>
    <w:rsid w:val="0051172C"/>
    <w:rsid w:val="006474D9"/>
    <w:rsid w:val="00674F9E"/>
    <w:rsid w:val="007E3EC7"/>
    <w:rsid w:val="00812501"/>
    <w:rsid w:val="00927A38"/>
    <w:rsid w:val="00957719"/>
    <w:rsid w:val="009D35EB"/>
    <w:rsid w:val="00A96660"/>
    <w:rsid w:val="00AC22DF"/>
    <w:rsid w:val="00AF037B"/>
    <w:rsid w:val="00B850B3"/>
    <w:rsid w:val="00B852A7"/>
    <w:rsid w:val="00CD0306"/>
    <w:rsid w:val="00E1765B"/>
    <w:rsid w:val="00E91DDA"/>
    <w:rsid w:val="00EC1E68"/>
    <w:rsid w:val="00FE29D6"/>
    <w:rsid w:val="011E2CF5"/>
    <w:rsid w:val="01491172"/>
    <w:rsid w:val="01544978"/>
    <w:rsid w:val="01600EAF"/>
    <w:rsid w:val="01894FE5"/>
    <w:rsid w:val="02224F6F"/>
    <w:rsid w:val="02493B6C"/>
    <w:rsid w:val="02EA0A37"/>
    <w:rsid w:val="045E2D89"/>
    <w:rsid w:val="04F3344E"/>
    <w:rsid w:val="04FC5FE8"/>
    <w:rsid w:val="054F4610"/>
    <w:rsid w:val="06453564"/>
    <w:rsid w:val="06E7111E"/>
    <w:rsid w:val="072636A7"/>
    <w:rsid w:val="07534DB1"/>
    <w:rsid w:val="075753AA"/>
    <w:rsid w:val="07CE3B8A"/>
    <w:rsid w:val="07EC2E3C"/>
    <w:rsid w:val="09035A80"/>
    <w:rsid w:val="0A3A7ED6"/>
    <w:rsid w:val="0A7B73F3"/>
    <w:rsid w:val="0A9B03C3"/>
    <w:rsid w:val="0AC01C08"/>
    <w:rsid w:val="0B2608DC"/>
    <w:rsid w:val="0B41178A"/>
    <w:rsid w:val="0B7374F2"/>
    <w:rsid w:val="0C0C3791"/>
    <w:rsid w:val="0CB75121"/>
    <w:rsid w:val="0D9F1FC7"/>
    <w:rsid w:val="0EB329D4"/>
    <w:rsid w:val="0EC42C1D"/>
    <w:rsid w:val="0FCB77DB"/>
    <w:rsid w:val="106320AA"/>
    <w:rsid w:val="10771710"/>
    <w:rsid w:val="107C6E8E"/>
    <w:rsid w:val="10C03B1A"/>
    <w:rsid w:val="114F16B3"/>
    <w:rsid w:val="11933EF1"/>
    <w:rsid w:val="11F823DD"/>
    <w:rsid w:val="124E6541"/>
    <w:rsid w:val="13055EFC"/>
    <w:rsid w:val="132A4818"/>
    <w:rsid w:val="1334275B"/>
    <w:rsid w:val="138A6B07"/>
    <w:rsid w:val="14726477"/>
    <w:rsid w:val="148B5F2F"/>
    <w:rsid w:val="14930090"/>
    <w:rsid w:val="14F76133"/>
    <w:rsid w:val="14FF19C2"/>
    <w:rsid w:val="15454A62"/>
    <w:rsid w:val="155519AB"/>
    <w:rsid w:val="16460527"/>
    <w:rsid w:val="16A569E9"/>
    <w:rsid w:val="17AA7A6C"/>
    <w:rsid w:val="18774565"/>
    <w:rsid w:val="18B43656"/>
    <w:rsid w:val="18DC6C36"/>
    <w:rsid w:val="18E436BB"/>
    <w:rsid w:val="19051234"/>
    <w:rsid w:val="19371A3D"/>
    <w:rsid w:val="1A7F74B5"/>
    <w:rsid w:val="1B051F7C"/>
    <w:rsid w:val="1B642331"/>
    <w:rsid w:val="1BAE4D2B"/>
    <w:rsid w:val="1BED05D4"/>
    <w:rsid w:val="1BF20D44"/>
    <w:rsid w:val="1D811A56"/>
    <w:rsid w:val="1EB77460"/>
    <w:rsid w:val="1EC94B5F"/>
    <w:rsid w:val="1ECA069A"/>
    <w:rsid w:val="1F104D6C"/>
    <w:rsid w:val="1F126C7C"/>
    <w:rsid w:val="1F5526B3"/>
    <w:rsid w:val="20334DFA"/>
    <w:rsid w:val="20530343"/>
    <w:rsid w:val="20D64D51"/>
    <w:rsid w:val="21210A4D"/>
    <w:rsid w:val="21A15D2C"/>
    <w:rsid w:val="21A74CB0"/>
    <w:rsid w:val="21C82376"/>
    <w:rsid w:val="22FC0750"/>
    <w:rsid w:val="24087F72"/>
    <w:rsid w:val="244B7205"/>
    <w:rsid w:val="24C76862"/>
    <w:rsid w:val="24D93136"/>
    <w:rsid w:val="25107BC7"/>
    <w:rsid w:val="251A2FF7"/>
    <w:rsid w:val="255E3816"/>
    <w:rsid w:val="2587194A"/>
    <w:rsid w:val="26450D58"/>
    <w:rsid w:val="267659C6"/>
    <w:rsid w:val="272C1927"/>
    <w:rsid w:val="275E6C94"/>
    <w:rsid w:val="279F5FDF"/>
    <w:rsid w:val="27A77FCD"/>
    <w:rsid w:val="27DA394E"/>
    <w:rsid w:val="27FA4201"/>
    <w:rsid w:val="281F54D6"/>
    <w:rsid w:val="289A5B44"/>
    <w:rsid w:val="28DC0F6A"/>
    <w:rsid w:val="28EC39D0"/>
    <w:rsid w:val="296D0E83"/>
    <w:rsid w:val="297E4A9C"/>
    <w:rsid w:val="29962A80"/>
    <w:rsid w:val="29B8438B"/>
    <w:rsid w:val="29CD21FE"/>
    <w:rsid w:val="2A046832"/>
    <w:rsid w:val="2AAB1038"/>
    <w:rsid w:val="2B2B3DF5"/>
    <w:rsid w:val="2B571043"/>
    <w:rsid w:val="2BE7592F"/>
    <w:rsid w:val="2C7313E4"/>
    <w:rsid w:val="2CE455E0"/>
    <w:rsid w:val="2D382CC6"/>
    <w:rsid w:val="2D3C1BE9"/>
    <w:rsid w:val="2D3C564F"/>
    <w:rsid w:val="2DA83DCF"/>
    <w:rsid w:val="2DC87730"/>
    <w:rsid w:val="2E4815E6"/>
    <w:rsid w:val="2EAB037E"/>
    <w:rsid w:val="2EB7446F"/>
    <w:rsid w:val="2EBB4D79"/>
    <w:rsid w:val="2F02634B"/>
    <w:rsid w:val="2F620668"/>
    <w:rsid w:val="30E43FCF"/>
    <w:rsid w:val="310F12A5"/>
    <w:rsid w:val="311A1F18"/>
    <w:rsid w:val="314C7BB2"/>
    <w:rsid w:val="31C85DFF"/>
    <w:rsid w:val="31CE439C"/>
    <w:rsid w:val="31E24E52"/>
    <w:rsid w:val="329D1A99"/>
    <w:rsid w:val="33996076"/>
    <w:rsid w:val="34557684"/>
    <w:rsid w:val="345E2194"/>
    <w:rsid w:val="34AC78AD"/>
    <w:rsid w:val="34E3504C"/>
    <w:rsid w:val="353A5574"/>
    <w:rsid w:val="358220AE"/>
    <w:rsid w:val="3787655B"/>
    <w:rsid w:val="37B85359"/>
    <w:rsid w:val="391A7E65"/>
    <w:rsid w:val="39800255"/>
    <w:rsid w:val="3996367A"/>
    <w:rsid w:val="39A5378C"/>
    <w:rsid w:val="3A064C79"/>
    <w:rsid w:val="3AD061AD"/>
    <w:rsid w:val="3AF06488"/>
    <w:rsid w:val="3B663A4F"/>
    <w:rsid w:val="3BDE1F31"/>
    <w:rsid w:val="3BF43FDC"/>
    <w:rsid w:val="3C7D53DE"/>
    <w:rsid w:val="3CAC395A"/>
    <w:rsid w:val="3CB61503"/>
    <w:rsid w:val="3CB6772C"/>
    <w:rsid w:val="3D1C2855"/>
    <w:rsid w:val="3DA6256D"/>
    <w:rsid w:val="3E0F1745"/>
    <w:rsid w:val="3E130F19"/>
    <w:rsid w:val="3E273EB8"/>
    <w:rsid w:val="3E7C700F"/>
    <w:rsid w:val="3EB05A68"/>
    <w:rsid w:val="3EB94D72"/>
    <w:rsid w:val="3F073C8D"/>
    <w:rsid w:val="3F286420"/>
    <w:rsid w:val="3FEC672B"/>
    <w:rsid w:val="40145023"/>
    <w:rsid w:val="40334D77"/>
    <w:rsid w:val="41571F94"/>
    <w:rsid w:val="41F048FA"/>
    <w:rsid w:val="42B37C55"/>
    <w:rsid w:val="433D0308"/>
    <w:rsid w:val="43B937F0"/>
    <w:rsid w:val="43DC21E6"/>
    <w:rsid w:val="446B5CB5"/>
    <w:rsid w:val="449221E8"/>
    <w:rsid w:val="449564CD"/>
    <w:rsid w:val="449D0A3E"/>
    <w:rsid w:val="44C64A78"/>
    <w:rsid w:val="450B5884"/>
    <w:rsid w:val="462F7E0C"/>
    <w:rsid w:val="474029EB"/>
    <w:rsid w:val="48254FD3"/>
    <w:rsid w:val="48623B31"/>
    <w:rsid w:val="48A976AB"/>
    <w:rsid w:val="48DC7D87"/>
    <w:rsid w:val="48FB28AB"/>
    <w:rsid w:val="48FB5FF1"/>
    <w:rsid w:val="494561BB"/>
    <w:rsid w:val="49BD79B3"/>
    <w:rsid w:val="49C751FD"/>
    <w:rsid w:val="49D252F8"/>
    <w:rsid w:val="49E53559"/>
    <w:rsid w:val="4A485DC2"/>
    <w:rsid w:val="4AE86ED3"/>
    <w:rsid w:val="4B2B0B52"/>
    <w:rsid w:val="4BA95660"/>
    <w:rsid w:val="4BFF3B27"/>
    <w:rsid w:val="4C755A0A"/>
    <w:rsid w:val="4C977834"/>
    <w:rsid w:val="4CFE682A"/>
    <w:rsid w:val="4D3038E5"/>
    <w:rsid w:val="4D596375"/>
    <w:rsid w:val="4D946928"/>
    <w:rsid w:val="4F43377D"/>
    <w:rsid w:val="4FCA5312"/>
    <w:rsid w:val="50863AEE"/>
    <w:rsid w:val="50905ACD"/>
    <w:rsid w:val="50A15412"/>
    <w:rsid w:val="50C70192"/>
    <w:rsid w:val="51167BAE"/>
    <w:rsid w:val="5144007D"/>
    <w:rsid w:val="51F72A4C"/>
    <w:rsid w:val="52237471"/>
    <w:rsid w:val="528D20F2"/>
    <w:rsid w:val="52927B75"/>
    <w:rsid w:val="5295566F"/>
    <w:rsid w:val="52B435E1"/>
    <w:rsid w:val="52E15F9A"/>
    <w:rsid w:val="530A28E4"/>
    <w:rsid w:val="535661BA"/>
    <w:rsid w:val="54201323"/>
    <w:rsid w:val="5502352F"/>
    <w:rsid w:val="552C7A66"/>
    <w:rsid w:val="560E38A4"/>
    <w:rsid w:val="572E3B80"/>
    <w:rsid w:val="57877110"/>
    <w:rsid w:val="57C46218"/>
    <w:rsid w:val="59361347"/>
    <w:rsid w:val="596F02C5"/>
    <w:rsid w:val="59A66EED"/>
    <w:rsid w:val="59AB1B80"/>
    <w:rsid w:val="5A86434D"/>
    <w:rsid w:val="5A8D2322"/>
    <w:rsid w:val="5AA9763F"/>
    <w:rsid w:val="5B0B3726"/>
    <w:rsid w:val="5B2A2BD4"/>
    <w:rsid w:val="5BC07533"/>
    <w:rsid w:val="5CB5060B"/>
    <w:rsid w:val="5CE21551"/>
    <w:rsid w:val="5D5905FD"/>
    <w:rsid w:val="5D7D6395"/>
    <w:rsid w:val="5D822C5A"/>
    <w:rsid w:val="5DB6074F"/>
    <w:rsid w:val="5DDE730D"/>
    <w:rsid w:val="5E421FD0"/>
    <w:rsid w:val="5E503BBD"/>
    <w:rsid w:val="5F1C7961"/>
    <w:rsid w:val="5F983239"/>
    <w:rsid w:val="5FFA2097"/>
    <w:rsid w:val="60323AD2"/>
    <w:rsid w:val="60637039"/>
    <w:rsid w:val="60DD5FF3"/>
    <w:rsid w:val="61354B48"/>
    <w:rsid w:val="61397DAE"/>
    <w:rsid w:val="618F18CA"/>
    <w:rsid w:val="62704A45"/>
    <w:rsid w:val="630A5037"/>
    <w:rsid w:val="63DA4B97"/>
    <w:rsid w:val="64332630"/>
    <w:rsid w:val="64522C79"/>
    <w:rsid w:val="64EB3807"/>
    <w:rsid w:val="652F7039"/>
    <w:rsid w:val="656258D6"/>
    <w:rsid w:val="65F61D40"/>
    <w:rsid w:val="665D1ED0"/>
    <w:rsid w:val="679B47E6"/>
    <w:rsid w:val="67F26828"/>
    <w:rsid w:val="68983B76"/>
    <w:rsid w:val="68A6624A"/>
    <w:rsid w:val="68D55492"/>
    <w:rsid w:val="68E22B8F"/>
    <w:rsid w:val="6906014B"/>
    <w:rsid w:val="69713A6A"/>
    <w:rsid w:val="69DE533E"/>
    <w:rsid w:val="69E15469"/>
    <w:rsid w:val="69F71FE5"/>
    <w:rsid w:val="6A7A48B2"/>
    <w:rsid w:val="6C851A4C"/>
    <w:rsid w:val="6F901D8A"/>
    <w:rsid w:val="6F995F63"/>
    <w:rsid w:val="6FC22B6C"/>
    <w:rsid w:val="6FC25E2F"/>
    <w:rsid w:val="70234C10"/>
    <w:rsid w:val="702D5807"/>
    <w:rsid w:val="70406237"/>
    <w:rsid w:val="70766E7B"/>
    <w:rsid w:val="71C21CB8"/>
    <w:rsid w:val="721E7C6E"/>
    <w:rsid w:val="72252EC6"/>
    <w:rsid w:val="72BF7CB8"/>
    <w:rsid w:val="72C67F3E"/>
    <w:rsid w:val="735C067F"/>
    <w:rsid w:val="75102D70"/>
    <w:rsid w:val="751E7E24"/>
    <w:rsid w:val="7523099D"/>
    <w:rsid w:val="75CD391D"/>
    <w:rsid w:val="76047015"/>
    <w:rsid w:val="76442283"/>
    <w:rsid w:val="76832D41"/>
    <w:rsid w:val="76D172C1"/>
    <w:rsid w:val="76E06023"/>
    <w:rsid w:val="770D0429"/>
    <w:rsid w:val="77227763"/>
    <w:rsid w:val="782B5247"/>
    <w:rsid w:val="784B5870"/>
    <w:rsid w:val="78C642A1"/>
    <w:rsid w:val="797F4079"/>
    <w:rsid w:val="7A560E98"/>
    <w:rsid w:val="7A6B1FA0"/>
    <w:rsid w:val="7B434EA7"/>
    <w:rsid w:val="7B4D24C9"/>
    <w:rsid w:val="7B955067"/>
    <w:rsid w:val="7BC41919"/>
    <w:rsid w:val="7C6B2167"/>
    <w:rsid w:val="7CDC740A"/>
    <w:rsid w:val="7D25618F"/>
    <w:rsid w:val="7D7F7E70"/>
    <w:rsid w:val="7DD256DA"/>
    <w:rsid w:val="7E2D16FC"/>
    <w:rsid w:val="7E31096D"/>
    <w:rsid w:val="7E330076"/>
    <w:rsid w:val="7E933C3C"/>
    <w:rsid w:val="7F0B6033"/>
    <w:rsid w:val="7F3C6C4B"/>
    <w:rsid w:val="7F9925CC"/>
    <w:rsid w:val="7FC254E9"/>
    <w:rsid w:val="7FFD6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35"/>
    <w:autoRedefine/>
    <w:qFormat/>
    <w:uiPriority w:val="0"/>
    <w:pPr>
      <w:keepNext/>
      <w:jc w:val="center"/>
      <w:outlineLvl w:val="0"/>
    </w:pPr>
    <w:rPr>
      <w:rFonts w:ascii="仿宋_GB2312" w:hAnsi="仿宋_GB2312"/>
      <w:b/>
      <w:kern w:val="2"/>
      <w:sz w:val="36"/>
    </w:rPr>
  </w:style>
  <w:style w:type="paragraph" w:styleId="3">
    <w:name w:val="heading 2"/>
    <w:basedOn w:val="1"/>
    <w:next w:val="1"/>
    <w:autoRedefine/>
    <w:qFormat/>
    <w:uiPriority w:val="9"/>
    <w:pPr>
      <w:keepNext/>
      <w:keepLines/>
      <w:widowControl/>
      <w:spacing w:before="260" w:after="260"/>
      <w:ind w:left="284"/>
      <w:jc w:val="left"/>
      <w:outlineLvl w:val="1"/>
    </w:pPr>
    <w:rPr>
      <w:rFonts w:ascii="Arial" w:hAnsi="Arial"/>
      <w:b/>
      <w:bCs/>
      <w:sz w:val="28"/>
      <w:szCs w:val="32"/>
    </w:rPr>
  </w:style>
  <w:style w:type="paragraph" w:styleId="4">
    <w:name w:val="heading 3"/>
    <w:basedOn w:val="1"/>
    <w:next w:val="1"/>
    <w:qFormat/>
    <w:uiPriority w:val="0"/>
    <w:pPr>
      <w:keepNext/>
      <w:keepLines/>
      <w:spacing w:before="260" w:after="260" w:line="415" w:lineRule="auto"/>
      <w:outlineLvl w:val="2"/>
    </w:pPr>
    <w:rPr>
      <w:b/>
      <w:sz w:val="32"/>
    </w:rPr>
  </w:style>
  <w:style w:type="paragraph" w:styleId="5">
    <w:name w:val="heading 4"/>
    <w:basedOn w:val="1"/>
    <w:next w:val="1"/>
    <w:autoRedefine/>
    <w:semiHidden/>
    <w:unhideWhenUsed/>
    <w:qFormat/>
    <w:uiPriority w:val="0"/>
    <w:pPr>
      <w:spacing w:beforeAutospacing="1" w:afterAutospacing="1"/>
      <w:jc w:val="left"/>
      <w:outlineLvl w:val="3"/>
    </w:pPr>
    <w:rPr>
      <w:rFonts w:hint="eastAsia" w:hAnsi="宋体"/>
      <w:b/>
      <w:bCs/>
      <w:szCs w:val="24"/>
    </w:rPr>
  </w:style>
  <w:style w:type="paragraph" w:styleId="6">
    <w:name w:val="heading 6"/>
    <w:basedOn w:val="1"/>
    <w:next w:val="1"/>
    <w:autoRedefine/>
    <w:semiHidden/>
    <w:unhideWhenUsed/>
    <w:qFormat/>
    <w:uiPriority w:val="0"/>
    <w:pPr>
      <w:spacing w:beforeAutospacing="1" w:afterAutospacing="1"/>
      <w:jc w:val="left"/>
      <w:outlineLvl w:val="5"/>
    </w:pPr>
    <w:rPr>
      <w:rFonts w:hint="eastAsia" w:hAnsi="宋体"/>
      <w:b/>
      <w:bCs/>
      <w:sz w:val="15"/>
      <w:szCs w:val="15"/>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autoRedefine/>
    <w:qFormat/>
    <w:uiPriority w:val="0"/>
    <w:pPr>
      <w:spacing w:line="300" w:lineRule="auto"/>
      <w:ind w:firstLine="420" w:firstLineChars="200"/>
    </w:pPr>
    <w:rPr>
      <w:rFonts w:ascii="Calibri"/>
      <w:kern w:val="2"/>
      <w:sz w:val="21"/>
      <w:szCs w:val="24"/>
    </w:rPr>
  </w:style>
  <w:style w:type="paragraph" w:styleId="8">
    <w:name w:val="annotation text"/>
    <w:basedOn w:val="1"/>
    <w:link w:val="51"/>
    <w:autoRedefine/>
    <w:qFormat/>
    <w:uiPriority w:val="0"/>
    <w:pPr>
      <w:jc w:val="left"/>
    </w:pPr>
  </w:style>
  <w:style w:type="paragraph" w:styleId="9">
    <w:name w:val="Body Text 3"/>
    <w:basedOn w:val="1"/>
    <w:autoRedefine/>
    <w:qFormat/>
    <w:uiPriority w:val="0"/>
    <w:pPr>
      <w:jc w:val="center"/>
    </w:pPr>
    <w:rPr>
      <w:rFonts w:ascii="Times New Roman"/>
      <w:b/>
      <w:spacing w:val="-20"/>
      <w:w w:val="110"/>
      <w:kern w:val="2"/>
      <w:sz w:val="52"/>
    </w:rPr>
  </w:style>
  <w:style w:type="paragraph" w:styleId="10">
    <w:name w:val="Body Text"/>
    <w:basedOn w:val="1"/>
    <w:next w:val="1"/>
    <w:autoRedefine/>
    <w:qFormat/>
    <w:uiPriority w:val="0"/>
    <w:pPr>
      <w:spacing w:after="120"/>
    </w:pPr>
    <w:rPr>
      <w:rFonts w:ascii="Calibri"/>
      <w:kern w:val="2"/>
      <w:sz w:val="21"/>
    </w:rPr>
  </w:style>
  <w:style w:type="paragraph" w:styleId="11">
    <w:name w:val="Body Text Indent"/>
    <w:basedOn w:val="1"/>
    <w:next w:val="1"/>
    <w:autoRedefine/>
    <w:qFormat/>
    <w:uiPriority w:val="0"/>
    <w:pPr>
      <w:spacing w:line="380" w:lineRule="exact"/>
      <w:ind w:firstLine="420" w:firstLineChars="175"/>
    </w:pPr>
    <w:rPr>
      <w:rFonts w:hAnsi="宋体"/>
    </w:rPr>
  </w:style>
  <w:style w:type="paragraph" w:styleId="12">
    <w:name w:val="toc 3"/>
    <w:basedOn w:val="1"/>
    <w:next w:val="1"/>
    <w:autoRedefine/>
    <w:qFormat/>
    <w:uiPriority w:val="0"/>
    <w:pPr>
      <w:ind w:left="840" w:leftChars="400"/>
    </w:pPr>
  </w:style>
  <w:style w:type="paragraph" w:styleId="13">
    <w:name w:val="Plain Text"/>
    <w:basedOn w:val="1"/>
    <w:autoRedefine/>
    <w:qFormat/>
    <w:uiPriority w:val="0"/>
    <w:rPr>
      <w:rFonts w:hAnsi="Courier New"/>
      <w:kern w:val="2"/>
      <w:sz w:val="21"/>
    </w:rPr>
  </w:style>
  <w:style w:type="paragraph" w:styleId="14">
    <w:name w:val="Balloon Text"/>
    <w:basedOn w:val="1"/>
    <w:link w:val="50"/>
    <w:qFormat/>
    <w:uiPriority w:val="0"/>
    <w:rPr>
      <w:sz w:val="18"/>
      <w:szCs w:val="18"/>
    </w:rPr>
  </w:style>
  <w:style w:type="paragraph" w:styleId="15">
    <w:name w:val="footer"/>
    <w:basedOn w:val="1"/>
    <w:autoRedefine/>
    <w:qFormat/>
    <w:uiPriority w:val="99"/>
    <w:pPr>
      <w:tabs>
        <w:tab w:val="center" w:pos="4153"/>
        <w:tab w:val="right" w:pos="8306"/>
      </w:tabs>
      <w:snapToGrid w:val="0"/>
      <w:jc w:val="left"/>
    </w:pPr>
    <w:rPr>
      <w:rFonts w:ascii="Calibri"/>
      <w:kern w:val="2"/>
      <w:sz w:val="18"/>
      <w:szCs w:val="18"/>
    </w:rPr>
  </w:style>
  <w:style w:type="paragraph" w:styleId="16">
    <w:name w:val="header"/>
    <w:basedOn w:val="1"/>
    <w:autoRedefine/>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7">
    <w:name w:val="toc 1"/>
    <w:basedOn w:val="1"/>
    <w:next w:val="1"/>
    <w:autoRedefine/>
    <w:unhideWhenUsed/>
    <w:qFormat/>
    <w:uiPriority w:val="39"/>
  </w:style>
  <w:style w:type="paragraph" w:styleId="18">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19">
    <w:name w:val="toc 2"/>
    <w:basedOn w:val="1"/>
    <w:next w:val="1"/>
    <w:autoRedefine/>
    <w:unhideWhenUsed/>
    <w:qFormat/>
    <w:uiPriority w:val="39"/>
    <w:pPr>
      <w:ind w:left="420" w:leftChars="200"/>
    </w:pPr>
  </w:style>
  <w:style w:type="paragraph" w:styleId="20">
    <w:name w:val="Normal (Web)"/>
    <w:basedOn w:val="1"/>
    <w:autoRedefine/>
    <w:qFormat/>
    <w:uiPriority w:val="0"/>
    <w:pPr>
      <w:widowControl/>
      <w:spacing w:before="100" w:beforeAutospacing="1" w:after="100" w:afterAutospacing="1"/>
      <w:jc w:val="left"/>
    </w:pPr>
    <w:rPr>
      <w:rFonts w:hAnsi="宋体"/>
      <w:szCs w:val="24"/>
    </w:rPr>
  </w:style>
  <w:style w:type="paragraph" w:styleId="21">
    <w:name w:val="annotation subject"/>
    <w:basedOn w:val="8"/>
    <w:next w:val="8"/>
    <w:link w:val="52"/>
    <w:qFormat/>
    <w:uiPriority w:val="0"/>
    <w:rPr>
      <w:b/>
      <w:bCs/>
    </w:rPr>
  </w:style>
  <w:style w:type="paragraph" w:styleId="22">
    <w:name w:val="Body Text First Indent"/>
    <w:basedOn w:val="10"/>
    <w:next w:val="23"/>
    <w:qFormat/>
    <w:uiPriority w:val="99"/>
    <w:pPr>
      <w:ind w:firstLine="420" w:firstLineChars="100"/>
    </w:pPr>
  </w:style>
  <w:style w:type="paragraph" w:styleId="23">
    <w:name w:val="Body Text First Indent 2"/>
    <w:basedOn w:val="11"/>
    <w:next w:val="1"/>
    <w:autoRedefine/>
    <w:qFormat/>
    <w:uiPriority w:val="0"/>
    <w:pPr>
      <w:spacing w:after="120" w:line="240" w:lineRule="auto"/>
      <w:ind w:left="200" w:leftChars="200" w:firstLine="200" w:firstLineChars="200"/>
    </w:p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autoRedefine/>
    <w:qFormat/>
    <w:uiPriority w:val="22"/>
    <w:rPr>
      <w:b/>
      <w:bCs/>
    </w:rPr>
  </w:style>
  <w:style w:type="character" w:styleId="28">
    <w:name w:val="Hyperlink"/>
    <w:basedOn w:val="26"/>
    <w:autoRedefine/>
    <w:qFormat/>
    <w:uiPriority w:val="0"/>
    <w:rPr>
      <w:color w:val="0000FF"/>
      <w:u w:val="single"/>
    </w:rPr>
  </w:style>
  <w:style w:type="character" w:styleId="29">
    <w:name w:val="annotation reference"/>
    <w:basedOn w:val="26"/>
    <w:qFormat/>
    <w:uiPriority w:val="0"/>
    <w:rPr>
      <w:sz w:val="21"/>
      <w:szCs w:val="21"/>
    </w:rPr>
  </w:style>
  <w:style w:type="paragraph" w:customStyle="1" w:styleId="30">
    <w:name w:val="MessageHeader"/>
    <w:basedOn w:val="1"/>
    <w:next w:val="31"/>
    <w:autoRedefine/>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kern w:val="2"/>
      <w:sz w:val="28"/>
    </w:rPr>
  </w:style>
  <w:style w:type="paragraph" w:customStyle="1" w:styleId="31">
    <w:name w:val="BodyText"/>
    <w:basedOn w:val="1"/>
    <w:next w:val="1"/>
    <w:autoRedefine/>
    <w:qFormat/>
    <w:uiPriority w:val="0"/>
    <w:pPr>
      <w:jc w:val="center"/>
      <w:textAlignment w:val="baseline"/>
    </w:pPr>
  </w:style>
  <w:style w:type="paragraph" w:customStyle="1" w:styleId="32">
    <w:name w:val="列表段落1"/>
    <w:basedOn w:val="1"/>
    <w:autoRedefine/>
    <w:qFormat/>
    <w:uiPriority w:val="34"/>
    <w:pPr>
      <w:ind w:firstLine="420" w:firstLineChars="200"/>
    </w:pPr>
  </w:style>
  <w:style w:type="paragraph" w:customStyle="1" w:styleId="33">
    <w:name w:val="Default"/>
    <w:next w:val="34"/>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34">
    <w:name w:val="大标题"/>
    <w:basedOn w:val="1"/>
    <w:next w:val="23"/>
    <w:autoRedefine/>
    <w:qFormat/>
    <w:uiPriority w:val="0"/>
    <w:pPr>
      <w:jc w:val="center"/>
    </w:pPr>
    <w:rPr>
      <w:rFonts w:ascii="Arial" w:hAnsi="Arial"/>
      <w:b/>
      <w:sz w:val="28"/>
      <w:szCs w:val="24"/>
    </w:rPr>
  </w:style>
  <w:style w:type="character" w:customStyle="1" w:styleId="35">
    <w:name w:val="标题 1 字符"/>
    <w:link w:val="2"/>
    <w:autoRedefine/>
    <w:qFormat/>
    <w:uiPriority w:val="0"/>
    <w:rPr>
      <w:rFonts w:ascii="仿宋_GB2312" w:hAnsi="仿宋_GB2312" w:eastAsia="宋体"/>
      <w:b/>
      <w:kern w:val="2"/>
      <w:sz w:val="36"/>
    </w:rPr>
  </w:style>
  <w:style w:type="paragraph" w:customStyle="1" w:styleId="36">
    <w:name w:val="表格文字中"/>
    <w:basedOn w:val="1"/>
    <w:autoRedefine/>
    <w:qFormat/>
    <w:uiPriority w:val="0"/>
    <w:pPr>
      <w:adjustRightInd w:val="0"/>
      <w:snapToGrid w:val="0"/>
      <w:ind w:left="22" w:leftChars="8"/>
      <w:jc w:val="center"/>
    </w:pPr>
    <w:rPr>
      <w:szCs w:val="24"/>
    </w:rPr>
  </w:style>
  <w:style w:type="paragraph" w:customStyle="1" w:styleId="37">
    <w:name w:val="Char1"/>
    <w:basedOn w:val="1"/>
    <w:autoRedefine/>
    <w:qFormat/>
    <w:uiPriority w:val="0"/>
    <w:pPr>
      <w:tabs>
        <w:tab w:val="left" w:pos="360"/>
      </w:tabs>
      <w:ind w:left="360" w:hanging="360" w:hangingChars="200"/>
    </w:pPr>
    <w:rPr>
      <w:szCs w:val="24"/>
    </w:rPr>
  </w:style>
  <w:style w:type="paragraph" w:customStyle="1" w:styleId="38">
    <w:name w:val="列出段落11"/>
    <w:basedOn w:val="1"/>
    <w:autoRedefine/>
    <w:qFormat/>
    <w:uiPriority w:val="34"/>
    <w:pPr>
      <w:ind w:firstLine="420" w:firstLineChars="200"/>
    </w:pPr>
    <w:rPr>
      <w:rFonts w:ascii="Calibri" w:hAnsi="Calibri"/>
      <w:szCs w:val="22"/>
    </w:rPr>
  </w:style>
  <w:style w:type="character" w:customStyle="1" w:styleId="39">
    <w:name w:val="font21"/>
    <w:basedOn w:val="26"/>
    <w:autoRedefine/>
    <w:qFormat/>
    <w:uiPriority w:val="0"/>
    <w:rPr>
      <w:rFonts w:hint="eastAsia" w:ascii="宋体" w:hAnsi="宋体" w:eastAsia="宋体" w:cs="宋体"/>
      <w:color w:val="000000"/>
      <w:sz w:val="24"/>
      <w:szCs w:val="24"/>
      <w:u w:val="none"/>
    </w:rPr>
  </w:style>
  <w:style w:type="character" w:customStyle="1" w:styleId="40">
    <w:name w:val="font01"/>
    <w:basedOn w:val="26"/>
    <w:autoRedefine/>
    <w:qFormat/>
    <w:uiPriority w:val="0"/>
    <w:rPr>
      <w:rFonts w:hint="eastAsia" w:ascii="宋体" w:hAnsi="宋体" w:eastAsia="宋体" w:cs="宋体"/>
      <w:color w:val="000000"/>
      <w:sz w:val="24"/>
      <w:szCs w:val="24"/>
      <w:u w:val="none"/>
    </w:rPr>
  </w:style>
  <w:style w:type="character" w:customStyle="1" w:styleId="41">
    <w:name w:val="font31"/>
    <w:basedOn w:val="26"/>
    <w:autoRedefine/>
    <w:qFormat/>
    <w:uiPriority w:val="0"/>
    <w:rPr>
      <w:rFonts w:hint="default" w:ascii="AGYXIQ + Frutiger-Cn" w:hAnsi="AGYXIQ + Frutiger-Cn" w:eastAsia="AGYXIQ + Frutiger-Cn" w:cs="AGYXIQ + Frutiger-Cn"/>
      <w:color w:val="000000"/>
      <w:sz w:val="24"/>
      <w:szCs w:val="24"/>
      <w:u w:val="none"/>
    </w:rPr>
  </w:style>
  <w:style w:type="table" w:customStyle="1" w:styleId="42">
    <w:name w:val="Table Normal"/>
    <w:autoRedefine/>
    <w:semiHidden/>
    <w:unhideWhenUsed/>
    <w:qFormat/>
    <w:uiPriority w:val="0"/>
    <w:tblPr>
      <w:tblCellMar>
        <w:top w:w="0" w:type="dxa"/>
        <w:left w:w="0" w:type="dxa"/>
        <w:bottom w:w="0" w:type="dxa"/>
        <w:right w:w="0" w:type="dxa"/>
      </w:tblCellMar>
    </w:tblPr>
  </w:style>
  <w:style w:type="character" w:customStyle="1" w:styleId="43">
    <w:name w:val="font11"/>
    <w:basedOn w:val="26"/>
    <w:qFormat/>
    <w:uiPriority w:val="0"/>
    <w:rPr>
      <w:rFonts w:hint="eastAsia" w:ascii="宋体" w:hAnsi="宋体" w:eastAsia="宋体" w:cs="宋体"/>
      <w:b/>
      <w:bCs/>
      <w:color w:val="000000"/>
      <w:sz w:val="22"/>
      <w:szCs w:val="22"/>
      <w:u w:val="none"/>
    </w:rPr>
  </w:style>
  <w:style w:type="character" w:customStyle="1" w:styleId="44">
    <w:name w:val="font41"/>
    <w:basedOn w:val="26"/>
    <w:qFormat/>
    <w:uiPriority w:val="0"/>
    <w:rPr>
      <w:rFonts w:ascii="宋体" w:hAnsi="宋体" w:eastAsia="宋体" w:cs="宋体"/>
      <w:b/>
      <w:bCs/>
      <w:color w:val="000000"/>
      <w:sz w:val="18"/>
      <w:szCs w:val="18"/>
      <w:u w:val="none"/>
    </w:rPr>
  </w:style>
  <w:style w:type="character" w:customStyle="1" w:styleId="45">
    <w:name w:val="font51"/>
    <w:basedOn w:val="26"/>
    <w:qFormat/>
    <w:uiPriority w:val="0"/>
    <w:rPr>
      <w:rFonts w:ascii="宋体" w:hAnsi="宋体" w:eastAsia="宋体" w:cs="宋体"/>
      <w:color w:val="000000"/>
      <w:sz w:val="12"/>
      <w:szCs w:val="12"/>
      <w:u w:val="none"/>
    </w:rPr>
  </w:style>
  <w:style w:type="character" w:customStyle="1" w:styleId="46">
    <w:name w:val="font61"/>
    <w:basedOn w:val="26"/>
    <w:qFormat/>
    <w:uiPriority w:val="0"/>
    <w:rPr>
      <w:rFonts w:ascii="宋体" w:hAnsi="宋体" w:eastAsia="宋体" w:cs="宋体"/>
      <w:b/>
      <w:bCs/>
      <w:color w:val="000000"/>
      <w:sz w:val="12"/>
      <w:szCs w:val="12"/>
      <w:u w:val="none"/>
    </w:rPr>
  </w:style>
  <w:style w:type="paragraph" w:customStyle="1" w:styleId="47">
    <w:name w:val="样式 标题 2 Char + (西文) 黑体 段前: 6 磅 段后: 0.5 行 行距: 1.5 倍行距"/>
    <w:basedOn w:val="3"/>
    <w:qFormat/>
    <w:uiPriority w:val="0"/>
    <w:pPr>
      <w:spacing w:line="360" w:lineRule="auto"/>
    </w:pPr>
    <w:rPr>
      <w:rFonts w:ascii="黑体" w:hAnsi="黑体" w:cs="宋体"/>
      <w:szCs w:val="20"/>
    </w:rPr>
  </w:style>
  <w:style w:type="paragraph" w:customStyle="1" w:styleId="48">
    <w:name w:val="null3"/>
    <w:hidden/>
    <w:qFormat/>
    <w:uiPriority w:val="0"/>
    <w:rPr>
      <w:rFonts w:hint="eastAsia" w:asciiTheme="minorHAnsi" w:hAnsiTheme="minorHAnsi" w:eastAsiaTheme="minorEastAsia" w:cstheme="minorBidi"/>
      <w:lang w:val="en-US" w:eastAsia="zh-Hans" w:bidi="ar-SA"/>
    </w:rPr>
  </w:style>
  <w:style w:type="paragraph" w:customStyle="1" w:styleId="49">
    <w:name w:val="05、“(一)”正文三级标题"/>
    <w:basedOn w:val="1"/>
    <w:autoRedefine/>
    <w:qFormat/>
    <w:uiPriority w:val="99"/>
    <w:pPr>
      <w:widowControl/>
      <w:numPr>
        <w:ilvl w:val="1"/>
        <w:numId w:val="1"/>
      </w:numPr>
      <w:tabs>
        <w:tab w:val="left" w:pos="0"/>
      </w:tabs>
      <w:wordWrap w:val="0"/>
      <w:topLinePunct/>
      <w:jc w:val="left"/>
    </w:pPr>
    <w:rPr>
      <w:rFonts w:hAnsi="宋体" w:cs="宋体"/>
      <w:sz w:val="20"/>
    </w:rPr>
  </w:style>
  <w:style w:type="character" w:customStyle="1" w:styleId="50">
    <w:name w:val="批注框文本 字符"/>
    <w:basedOn w:val="26"/>
    <w:link w:val="14"/>
    <w:qFormat/>
    <w:uiPriority w:val="0"/>
    <w:rPr>
      <w:rFonts w:ascii="宋体"/>
      <w:sz w:val="18"/>
      <w:szCs w:val="18"/>
    </w:rPr>
  </w:style>
  <w:style w:type="character" w:customStyle="1" w:styleId="51">
    <w:name w:val="批注文字 字符"/>
    <w:basedOn w:val="26"/>
    <w:link w:val="8"/>
    <w:qFormat/>
    <w:uiPriority w:val="0"/>
    <w:rPr>
      <w:rFonts w:ascii="宋体"/>
      <w:sz w:val="24"/>
    </w:rPr>
  </w:style>
  <w:style w:type="character" w:customStyle="1" w:styleId="52">
    <w:name w:val="批注主题 字符"/>
    <w:basedOn w:val="51"/>
    <w:link w:val="21"/>
    <w:qFormat/>
    <w:uiPriority w:val="0"/>
    <w:rPr>
      <w:rFonts w:ascii="宋体"/>
      <w:b/>
      <w:bCs/>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67</Pages>
  <Words>29474</Words>
  <Characters>31108</Characters>
  <Lines>294</Lines>
  <Paragraphs>82</Paragraphs>
  <TotalTime>25</TotalTime>
  <ScaleCrop>false</ScaleCrop>
  <LinksUpToDate>false</LinksUpToDate>
  <CharactersWithSpaces>31925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Girl，god is a girl ！</cp:lastModifiedBy>
  <dcterms:modified xsi:type="dcterms:W3CDTF">2026-10-13T10:35:54Z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72E86C72C07D4656A8CCF7E1A88934E3_13</vt:lpwstr>
  </property>
  <property fmtid="{D5CDD505-2E9C-101B-9397-08002B2CF9AE}" pid="4" name="KSOTemplateDocerSaveRecord">
    <vt:lpwstr>eyJoZGlkIjoiMTMyOWUxZGYwYWVjYmE3OTlkMmM5YmRlOGU4Mzg4Y2UiLCJ1c2VySWQiOiI1OTIyNjA0NTkifQ==</vt:lpwstr>
  </property>
</Properties>
</file>