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3E354">
      <w:pPr>
        <w:wordWrap w:val="0"/>
        <w:adjustRightInd w:val="0"/>
        <w:snapToGrid w:val="0"/>
        <w:spacing w:line="360" w:lineRule="auto"/>
        <w:jc w:val="right"/>
        <w:rPr>
          <w:rFonts w:hint="default" w:ascii="宋体" w:hAnsi="宋体" w:eastAsia="宋体" w:cs="宋体"/>
          <w:b/>
          <w:sz w:val="21"/>
          <w:szCs w:val="21"/>
          <w:u w:val="single"/>
          <w:lang w:val="en-US"/>
        </w:rPr>
      </w:pPr>
      <w:r>
        <w:rPr>
          <w:rFonts w:ascii="宋体" w:hAnsi="宋体" w:eastAsia="宋体"/>
          <w:sz w:val="20"/>
          <w:szCs w:val="20"/>
        </w:rPr>
        <w:t xml:space="preserve"> </w:t>
      </w:r>
      <w:r>
        <w:rPr>
          <w:rFonts w:hint="eastAsia" w:ascii="宋体" w:hAnsi="宋体" w:eastAsia="宋体"/>
          <w:sz w:val="20"/>
          <w:szCs w:val="20"/>
        </w:rPr>
        <w:t xml:space="preserve">  </w:t>
      </w:r>
      <w:r>
        <w:rPr>
          <w:rFonts w:hint="eastAsia" w:ascii="宋体" w:hAnsi="宋体" w:eastAsia="宋体" w:cs="宋体"/>
          <w:b/>
          <w:sz w:val="21"/>
          <w:szCs w:val="21"/>
          <w:lang w:val="en-US" w:eastAsia="zh-CN"/>
        </w:rPr>
        <w:t>档案</w:t>
      </w:r>
      <w:r>
        <w:rPr>
          <w:rFonts w:hint="eastAsia" w:ascii="宋体" w:hAnsi="宋体" w:eastAsia="宋体" w:cs="宋体"/>
          <w:b/>
          <w:sz w:val="21"/>
          <w:szCs w:val="21"/>
        </w:rPr>
        <w:t>编号：</w:t>
      </w:r>
      <w:r>
        <w:rPr>
          <w:rFonts w:hint="eastAsia" w:ascii="宋体" w:hAnsi="宋体" w:eastAsia="宋体" w:cs="宋体"/>
          <w:b/>
          <w:sz w:val="21"/>
          <w:szCs w:val="21"/>
          <w:lang w:val="en-US" w:eastAsia="zh-CN"/>
        </w:rPr>
        <w:t>N0.</w:t>
      </w:r>
      <w:r>
        <w:rPr>
          <w:rFonts w:hint="eastAsia" w:ascii="宋体" w:hAnsi="宋体" w:eastAsia="宋体" w:cs="宋体"/>
          <w:b/>
          <w:sz w:val="21"/>
          <w:szCs w:val="21"/>
          <w:u w:val="single"/>
          <w:lang w:val="en-US" w:eastAsia="zh-CN"/>
        </w:rPr>
        <w:t xml:space="preserve">                </w:t>
      </w:r>
    </w:p>
    <w:p w14:paraId="510AB6E9">
      <w:pPr>
        <w:adjustRightInd w:val="0"/>
        <w:snapToGrid w:val="0"/>
        <w:spacing w:line="360" w:lineRule="auto"/>
        <w:rPr>
          <w:rFonts w:ascii="宋体" w:hAnsi="宋体" w:eastAsia="宋体"/>
          <w:sz w:val="20"/>
          <w:szCs w:val="20"/>
        </w:rPr>
      </w:pPr>
    </w:p>
    <w:p w14:paraId="54F8470F">
      <w:pPr>
        <w:adjustRightInd w:val="0"/>
        <w:snapToGrid w:val="0"/>
        <w:spacing w:line="360" w:lineRule="auto"/>
        <w:rPr>
          <w:rFonts w:ascii="宋体" w:hAnsi="宋体" w:eastAsia="宋体"/>
          <w:sz w:val="20"/>
          <w:szCs w:val="20"/>
        </w:rPr>
      </w:pPr>
    </w:p>
    <w:p w14:paraId="2CA754BC">
      <w:pPr>
        <w:adjustRightInd w:val="0"/>
        <w:snapToGrid w:val="0"/>
        <w:spacing w:line="360" w:lineRule="auto"/>
        <w:rPr>
          <w:rFonts w:ascii="宋体" w:hAnsi="宋体" w:eastAsia="宋体"/>
          <w:sz w:val="20"/>
          <w:szCs w:val="20"/>
        </w:rPr>
      </w:pPr>
    </w:p>
    <w:p w14:paraId="0A8E7B04">
      <w:pPr>
        <w:adjustRightInd w:val="0"/>
        <w:snapToGrid w:val="0"/>
        <w:spacing w:line="360" w:lineRule="auto"/>
        <w:rPr>
          <w:rFonts w:ascii="宋体" w:hAnsi="宋体" w:eastAsia="宋体"/>
          <w:sz w:val="20"/>
          <w:szCs w:val="20"/>
        </w:rPr>
      </w:pPr>
    </w:p>
    <w:p w14:paraId="6D4505D4">
      <w:pPr>
        <w:adjustRightInd w:val="0"/>
        <w:snapToGrid w:val="0"/>
        <w:spacing w:line="360" w:lineRule="auto"/>
        <w:rPr>
          <w:rFonts w:ascii="宋体" w:hAnsi="宋体" w:eastAsia="宋体"/>
          <w:sz w:val="20"/>
          <w:szCs w:val="20"/>
        </w:rPr>
      </w:pPr>
    </w:p>
    <w:p w14:paraId="303A63D2">
      <w:pPr>
        <w:adjustRightInd w:val="0"/>
        <w:snapToGrid w:val="0"/>
        <w:spacing w:line="360" w:lineRule="auto"/>
        <w:rPr>
          <w:rFonts w:ascii="宋体" w:hAnsi="宋体" w:eastAsia="宋体"/>
          <w:sz w:val="20"/>
          <w:szCs w:val="20"/>
        </w:rPr>
      </w:pPr>
    </w:p>
    <w:p w14:paraId="351F672F">
      <w:pPr>
        <w:adjustRightInd w:val="0"/>
        <w:snapToGrid w:val="0"/>
        <w:spacing w:line="360" w:lineRule="auto"/>
        <w:jc w:val="center"/>
        <w:rPr>
          <w:rFonts w:hint="default" w:ascii="宋体" w:hAnsi="宋体" w:eastAsia="宋体"/>
          <w:b/>
          <w:sz w:val="52"/>
          <w:szCs w:val="36"/>
          <w:highlight w:val="none"/>
          <w:lang w:val="en-US" w:eastAsia="zh-CN"/>
        </w:rPr>
      </w:pPr>
      <w:r>
        <w:rPr>
          <w:rFonts w:hint="eastAsia" w:ascii="宋体" w:hAnsi="宋体" w:eastAsia="宋体"/>
          <w:b/>
          <w:sz w:val="52"/>
          <w:szCs w:val="36"/>
          <w:highlight w:val="none"/>
          <w:lang w:val="en-US" w:eastAsia="zh-CN"/>
        </w:rPr>
        <w:t>宝鸡市中医医院</w:t>
      </w:r>
    </w:p>
    <w:p w14:paraId="1C18AC2D">
      <w:pPr>
        <w:adjustRightInd w:val="0"/>
        <w:snapToGrid w:val="0"/>
        <w:spacing w:line="360" w:lineRule="auto"/>
        <w:jc w:val="center"/>
        <w:rPr>
          <w:rFonts w:ascii="宋体" w:hAnsi="宋体" w:eastAsia="宋体"/>
          <w:b/>
          <w:sz w:val="52"/>
          <w:szCs w:val="36"/>
          <w:highlight w:val="none"/>
        </w:rPr>
      </w:pPr>
      <w:r>
        <w:rPr>
          <w:rFonts w:hint="eastAsia" w:ascii="宋体" w:hAnsi="宋体" w:eastAsia="宋体"/>
          <w:b/>
          <w:sz w:val="52"/>
          <w:szCs w:val="36"/>
          <w:highlight w:val="none"/>
        </w:rPr>
        <w:t>医疗</w:t>
      </w:r>
      <w:r>
        <w:rPr>
          <w:rFonts w:hint="eastAsia" w:ascii="宋体" w:hAnsi="宋体" w:eastAsia="宋体"/>
          <w:b/>
          <w:sz w:val="52"/>
          <w:szCs w:val="36"/>
          <w:highlight w:val="none"/>
          <w:lang w:val="en-US" w:eastAsia="zh-CN"/>
        </w:rPr>
        <w:t>器械（设备）</w:t>
      </w:r>
      <w:r>
        <w:rPr>
          <w:rFonts w:hint="eastAsia" w:ascii="宋体" w:hAnsi="宋体" w:eastAsia="宋体"/>
          <w:b/>
          <w:sz w:val="52"/>
          <w:szCs w:val="36"/>
          <w:highlight w:val="none"/>
        </w:rPr>
        <w:t>采购合同</w:t>
      </w:r>
    </w:p>
    <w:p w14:paraId="1ABE04FF">
      <w:pPr>
        <w:adjustRightInd w:val="0"/>
        <w:snapToGrid w:val="0"/>
        <w:spacing w:line="360" w:lineRule="auto"/>
        <w:rPr>
          <w:rFonts w:ascii="宋体" w:hAnsi="宋体" w:eastAsia="宋体"/>
          <w:b/>
          <w:sz w:val="36"/>
          <w:szCs w:val="36"/>
        </w:rPr>
      </w:pPr>
    </w:p>
    <w:p w14:paraId="6142CB6B">
      <w:pPr>
        <w:adjustRightInd w:val="0"/>
        <w:snapToGrid w:val="0"/>
        <w:spacing w:line="360" w:lineRule="auto"/>
        <w:rPr>
          <w:rFonts w:ascii="宋体" w:hAnsi="宋体" w:eastAsia="宋体"/>
          <w:b/>
          <w:sz w:val="36"/>
          <w:szCs w:val="36"/>
        </w:rPr>
      </w:pPr>
    </w:p>
    <w:p w14:paraId="280A0165">
      <w:pPr>
        <w:adjustRightInd w:val="0"/>
        <w:snapToGrid w:val="0"/>
        <w:spacing w:line="360" w:lineRule="auto"/>
        <w:rPr>
          <w:rFonts w:ascii="宋体" w:hAnsi="宋体" w:eastAsia="宋体"/>
          <w:b/>
          <w:sz w:val="36"/>
          <w:szCs w:val="36"/>
        </w:rPr>
      </w:pPr>
    </w:p>
    <w:p w14:paraId="07E76214">
      <w:pPr>
        <w:adjustRightInd w:val="0"/>
        <w:snapToGrid w:val="0"/>
        <w:spacing w:line="360" w:lineRule="auto"/>
        <w:rPr>
          <w:rFonts w:ascii="宋体" w:hAnsi="宋体" w:eastAsia="宋体"/>
          <w:b/>
          <w:sz w:val="36"/>
          <w:szCs w:val="36"/>
        </w:rPr>
      </w:pPr>
    </w:p>
    <w:p w14:paraId="7EFF4EE9">
      <w:pPr>
        <w:adjustRightInd w:val="0"/>
        <w:snapToGrid w:val="0"/>
        <w:spacing w:line="360" w:lineRule="auto"/>
        <w:rPr>
          <w:rFonts w:ascii="宋体" w:hAnsi="宋体" w:eastAsia="宋体"/>
          <w:b/>
          <w:sz w:val="36"/>
          <w:szCs w:val="36"/>
        </w:rPr>
      </w:pPr>
    </w:p>
    <w:p w14:paraId="6A4230E5">
      <w:pPr>
        <w:adjustRightInd w:val="0"/>
        <w:snapToGrid w:val="0"/>
        <w:spacing w:line="360" w:lineRule="auto"/>
        <w:rPr>
          <w:rFonts w:ascii="宋体" w:hAnsi="宋体" w:eastAsia="宋体"/>
          <w:b/>
          <w:sz w:val="36"/>
          <w:szCs w:val="36"/>
        </w:rPr>
      </w:pPr>
    </w:p>
    <w:p w14:paraId="6528ACD2">
      <w:pPr>
        <w:adjustRightInd w:val="0"/>
        <w:snapToGrid w:val="0"/>
        <w:spacing w:line="360" w:lineRule="auto"/>
        <w:rPr>
          <w:rFonts w:ascii="宋体" w:hAnsi="宋体" w:eastAsia="宋体"/>
          <w:b/>
          <w:sz w:val="36"/>
          <w:szCs w:val="36"/>
        </w:rPr>
      </w:pPr>
    </w:p>
    <w:p w14:paraId="3F0F9D3B">
      <w:pPr>
        <w:adjustRightInd w:val="0"/>
        <w:snapToGrid w:val="0"/>
        <w:spacing w:line="360" w:lineRule="auto"/>
        <w:rPr>
          <w:rFonts w:ascii="宋体" w:hAnsi="宋体" w:eastAsia="宋体"/>
          <w:b/>
          <w:sz w:val="36"/>
          <w:szCs w:val="36"/>
        </w:rPr>
      </w:pPr>
    </w:p>
    <w:p w14:paraId="39D57A36">
      <w:pPr>
        <w:keepNext w:val="0"/>
        <w:keepLines w:val="0"/>
        <w:pageBreakBefore w:val="0"/>
        <w:widowControl w:val="0"/>
        <w:kinsoku/>
        <w:wordWrap/>
        <w:overflowPunct/>
        <w:topLinePunct w:val="0"/>
        <w:autoSpaceDE/>
        <w:autoSpaceDN/>
        <w:bidi w:val="0"/>
        <w:adjustRightInd w:val="0"/>
        <w:snapToGrid w:val="0"/>
        <w:spacing w:line="360" w:lineRule="auto"/>
        <w:ind w:firstLine="1928" w:firstLineChars="600"/>
        <w:jc w:val="left"/>
        <w:textAlignment w:val="auto"/>
        <w:rPr>
          <w:rFonts w:hint="default" w:ascii="宋体" w:hAnsi="宋体" w:eastAsia="宋体"/>
          <w:b/>
          <w:sz w:val="32"/>
          <w:szCs w:val="32"/>
          <w:u w:val="single"/>
          <w:lang w:val="en-US" w:eastAsia="zh-CN"/>
        </w:rPr>
      </w:pPr>
      <w:r>
        <w:rPr>
          <w:rFonts w:hint="eastAsia" w:ascii="宋体" w:hAnsi="宋体" w:eastAsia="宋体"/>
          <w:b/>
          <w:sz w:val="32"/>
          <w:szCs w:val="32"/>
          <w:u w:val="single"/>
        </w:rPr>
        <w:t>甲  方：</w:t>
      </w:r>
      <w:r>
        <w:rPr>
          <w:rFonts w:hint="eastAsia" w:ascii="宋体" w:hAnsi="宋体" w:eastAsia="宋体"/>
          <w:b/>
          <w:sz w:val="32"/>
          <w:szCs w:val="32"/>
          <w:u w:val="single"/>
          <w:lang w:val="en-US" w:eastAsia="zh-CN"/>
        </w:rPr>
        <w:t xml:space="preserve">    宝鸡市中医医院    </w:t>
      </w:r>
    </w:p>
    <w:p w14:paraId="3CA568AD">
      <w:pPr>
        <w:keepNext w:val="0"/>
        <w:keepLines w:val="0"/>
        <w:pageBreakBefore w:val="0"/>
        <w:widowControl w:val="0"/>
        <w:kinsoku/>
        <w:wordWrap/>
        <w:overflowPunct/>
        <w:topLinePunct w:val="0"/>
        <w:autoSpaceDE/>
        <w:autoSpaceDN/>
        <w:bidi w:val="0"/>
        <w:adjustRightInd w:val="0"/>
        <w:snapToGrid w:val="0"/>
        <w:spacing w:line="360" w:lineRule="auto"/>
        <w:ind w:firstLine="1928" w:firstLineChars="600"/>
        <w:jc w:val="left"/>
        <w:textAlignment w:val="auto"/>
        <w:rPr>
          <w:rFonts w:ascii="宋体" w:hAnsi="宋体" w:eastAsia="宋体"/>
          <w:b/>
          <w:sz w:val="32"/>
          <w:szCs w:val="32"/>
          <w:u w:val="single"/>
        </w:rPr>
      </w:pPr>
    </w:p>
    <w:p w14:paraId="7F459CAE">
      <w:pPr>
        <w:keepNext w:val="0"/>
        <w:keepLines w:val="0"/>
        <w:pageBreakBefore w:val="0"/>
        <w:widowControl w:val="0"/>
        <w:kinsoku/>
        <w:wordWrap/>
        <w:overflowPunct/>
        <w:topLinePunct w:val="0"/>
        <w:autoSpaceDE/>
        <w:autoSpaceDN/>
        <w:bidi w:val="0"/>
        <w:adjustRightInd w:val="0"/>
        <w:snapToGrid w:val="0"/>
        <w:spacing w:line="360" w:lineRule="auto"/>
        <w:ind w:firstLine="1928" w:firstLineChars="600"/>
        <w:jc w:val="left"/>
        <w:textAlignment w:val="auto"/>
        <w:rPr>
          <w:rFonts w:hint="default" w:ascii="宋体" w:hAnsi="宋体" w:eastAsia="宋体"/>
          <w:b/>
          <w:sz w:val="32"/>
          <w:szCs w:val="32"/>
          <w:u w:val="single"/>
          <w:lang w:val="en-US" w:eastAsia="zh-CN"/>
        </w:rPr>
      </w:pPr>
      <w:r>
        <w:rPr>
          <w:rFonts w:hint="eastAsia" w:ascii="宋体" w:hAnsi="宋体" w:eastAsia="宋体"/>
          <w:b/>
          <w:sz w:val="32"/>
          <w:szCs w:val="32"/>
          <w:u w:val="single"/>
        </w:rPr>
        <w:t>乙  方：</w:t>
      </w:r>
      <w:r>
        <w:rPr>
          <w:rFonts w:hint="eastAsia" w:ascii="宋体" w:hAnsi="宋体" w:eastAsia="宋体"/>
          <w:b/>
          <w:sz w:val="32"/>
          <w:szCs w:val="32"/>
          <w:u w:val="single"/>
          <w:lang w:val="en-US" w:eastAsia="zh-CN"/>
        </w:rPr>
        <w:t xml:space="preserve">                      </w:t>
      </w:r>
    </w:p>
    <w:p w14:paraId="7818C3FA">
      <w:pPr>
        <w:adjustRightInd w:val="0"/>
        <w:snapToGrid w:val="0"/>
        <w:spacing w:line="360" w:lineRule="auto"/>
        <w:jc w:val="center"/>
        <w:rPr>
          <w:rFonts w:ascii="宋体" w:hAnsi="宋体" w:eastAsia="宋体"/>
          <w:b/>
          <w:sz w:val="32"/>
          <w:szCs w:val="32"/>
        </w:rPr>
      </w:pPr>
    </w:p>
    <w:p w14:paraId="6C1C5C4F">
      <w:pPr>
        <w:adjustRightInd w:val="0"/>
        <w:snapToGrid w:val="0"/>
        <w:spacing w:line="360" w:lineRule="auto"/>
        <w:jc w:val="center"/>
        <w:rPr>
          <w:rFonts w:ascii="宋体" w:hAnsi="宋体" w:eastAsia="宋体"/>
          <w:b/>
          <w:sz w:val="28"/>
          <w:szCs w:val="36"/>
        </w:rPr>
      </w:pPr>
      <w:r>
        <w:rPr>
          <w:rFonts w:hint="eastAsia" w:ascii="宋体" w:hAnsi="宋体" w:eastAsia="宋体"/>
          <w:b/>
          <w:sz w:val="32"/>
          <w:szCs w:val="32"/>
        </w:rPr>
        <w:t>签订日期：</w:t>
      </w:r>
      <w:r>
        <w:rPr>
          <w:rFonts w:hint="eastAsia" w:ascii="宋体" w:hAnsi="宋体" w:eastAsia="宋体"/>
          <w:b/>
          <w:sz w:val="32"/>
          <w:szCs w:val="32"/>
          <w:u w:val="single"/>
          <w:lang w:val="en-US" w:eastAsia="zh-CN"/>
        </w:rPr>
        <w:t xml:space="preserve">          </w:t>
      </w:r>
      <w:r>
        <w:rPr>
          <w:rFonts w:hint="eastAsia" w:ascii="宋体" w:hAnsi="宋体" w:eastAsia="宋体"/>
          <w:b/>
          <w:sz w:val="32"/>
          <w:szCs w:val="32"/>
        </w:rPr>
        <w:t>年</w:t>
      </w:r>
      <w:r>
        <w:rPr>
          <w:rFonts w:hint="eastAsia" w:ascii="宋体" w:hAnsi="宋体" w:eastAsia="宋体"/>
          <w:b/>
          <w:sz w:val="32"/>
          <w:szCs w:val="32"/>
          <w:u w:val="single"/>
          <w:lang w:val="en-US" w:eastAsia="zh-CN"/>
        </w:rPr>
        <w:t xml:space="preserve">      </w:t>
      </w:r>
      <w:r>
        <w:rPr>
          <w:rFonts w:hint="eastAsia" w:ascii="宋体" w:hAnsi="宋体" w:eastAsia="宋体"/>
          <w:b/>
          <w:sz w:val="32"/>
          <w:szCs w:val="32"/>
        </w:rPr>
        <w:t>月</w:t>
      </w:r>
      <w:r>
        <w:rPr>
          <w:rFonts w:hint="eastAsia" w:ascii="宋体" w:hAnsi="宋体" w:eastAsia="宋体"/>
          <w:b/>
          <w:sz w:val="32"/>
          <w:szCs w:val="32"/>
          <w:u w:val="single"/>
          <w:lang w:val="en-US" w:eastAsia="zh-CN"/>
        </w:rPr>
        <w:t xml:space="preserve">      </w:t>
      </w:r>
      <w:r>
        <w:rPr>
          <w:rFonts w:hint="eastAsia" w:ascii="宋体" w:hAnsi="宋体" w:eastAsia="宋体"/>
          <w:b/>
          <w:sz w:val="32"/>
          <w:szCs w:val="32"/>
        </w:rPr>
        <w:t>日</w:t>
      </w:r>
    </w:p>
    <w:p w14:paraId="5F61AB67"/>
    <w:p w14:paraId="0FFC44D3">
      <w:pPr>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Theme="minorEastAsia" w:hAnsiTheme="minorEastAsia" w:eastAsiaTheme="minorEastAsia"/>
          <w:snapToGrid w:val="0"/>
          <w:sz w:val="20"/>
          <w:szCs w:val="20"/>
        </w:rPr>
      </w:pPr>
      <w:r>
        <w:rPr>
          <w:rFonts w:hint="eastAsia" w:asciiTheme="minorEastAsia" w:hAnsiTheme="minorEastAsia" w:eastAsiaTheme="minorEastAsia"/>
          <w:b/>
          <w:bCs/>
          <w:snapToGrid w:val="0"/>
          <w:sz w:val="24"/>
          <w:szCs w:val="24"/>
        </w:rPr>
        <w:t>甲方（购货方）：</w:t>
      </w:r>
      <w:r>
        <w:rPr>
          <w:rFonts w:hint="eastAsia" w:asciiTheme="minorEastAsia" w:hAnsiTheme="minorEastAsia" w:eastAsiaTheme="minorEastAsia"/>
          <w:snapToGrid w:val="0"/>
          <w:sz w:val="24"/>
          <w:szCs w:val="24"/>
        </w:rPr>
        <w:t xml:space="preserve">宝鸡市中医医院 </w:t>
      </w:r>
    </w:p>
    <w:p w14:paraId="5B01C5D7">
      <w:pPr>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default" w:asciiTheme="minorEastAsia" w:hAnsiTheme="minorEastAsia" w:eastAsiaTheme="minorEastAsia"/>
          <w:snapToGrid w:val="0"/>
          <w:sz w:val="20"/>
          <w:szCs w:val="20"/>
          <w:lang w:val="en-US" w:eastAsia="zh-CN"/>
        </w:rPr>
      </w:pPr>
      <w:r>
        <w:rPr>
          <w:rFonts w:hint="eastAsia" w:asciiTheme="minorEastAsia" w:hAnsiTheme="minorEastAsia" w:eastAsiaTheme="minorEastAsia"/>
          <w:b/>
          <w:bCs/>
          <w:snapToGrid w:val="0"/>
          <w:sz w:val="24"/>
          <w:szCs w:val="24"/>
        </w:rPr>
        <w:t>乙方（供货方）：</w:t>
      </w:r>
      <w:r>
        <w:rPr>
          <w:rFonts w:hint="eastAsia" w:asciiTheme="minorEastAsia" w:hAnsiTheme="minorEastAsia" w:eastAsiaTheme="minorEastAsia"/>
          <w:b/>
          <w:bCs/>
          <w:snapToGrid w:val="0"/>
          <w:sz w:val="24"/>
          <w:szCs w:val="24"/>
          <w:u w:val="single"/>
          <w:lang w:val="en-US" w:eastAsia="zh-CN"/>
        </w:rPr>
        <w:t xml:space="preserve">                    </w:t>
      </w:r>
    </w:p>
    <w:p w14:paraId="715E0DFE">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 xml:space="preserve">依据《中华人民共和国民法典》，《医疗器械监督管理条例》、《医疗器械经营监督管理办法》、《医疗器械经营质量管理规范》等法规规定，甲乙双方遵循平等自愿和诚实守信的原则，经双方协商，签订本合同并共同信守下列条款。 </w:t>
      </w:r>
    </w:p>
    <w:p w14:paraId="18ABF463">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Theme="minorEastAsia" w:hAnsiTheme="minorEastAsia" w:eastAsiaTheme="minorEastAsia"/>
          <w:b/>
          <w:bCs/>
          <w:snapToGrid w:val="0"/>
          <w:sz w:val="24"/>
          <w:szCs w:val="24"/>
        </w:rPr>
      </w:pPr>
      <w:r>
        <w:rPr>
          <w:rFonts w:hint="eastAsia" w:asciiTheme="minorEastAsia" w:hAnsiTheme="minorEastAsia" w:eastAsiaTheme="minorEastAsia"/>
          <w:b/>
          <w:bCs/>
          <w:snapToGrid w:val="0"/>
          <w:sz w:val="24"/>
          <w:szCs w:val="24"/>
        </w:rPr>
        <w:t>一、合同标的：</w:t>
      </w:r>
    </w:p>
    <w:tbl>
      <w:tblPr>
        <w:tblStyle w:val="5"/>
        <w:tblW w:w="94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1170"/>
        <w:gridCol w:w="1455"/>
        <w:gridCol w:w="1485"/>
        <w:gridCol w:w="600"/>
        <w:gridCol w:w="585"/>
        <w:gridCol w:w="1245"/>
        <w:gridCol w:w="1417"/>
      </w:tblGrid>
      <w:tr w14:paraId="29D52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4" w:type="dxa"/>
            <w:vAlign w:val="center"/>
          </w:tcPr>
          <w:p w14:paraId="0E401761">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名称</w:t>
            </w:r>
          </w:p>
        </w:tc>
        <w:tc>
          <w:tcPr>
            <w:tcW w:w="1170" w:type="dxa"/>
            <w:vAlign w:val="center"/>
          </w:tcPr>
          <w:p w14:paraId="6151BFCF">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规格</w:t>
            </w:r>
            <w:r>
              <w:rPr>
                <w:rFonts w:hint="eastAsia" w:ascii="宋体" w:hAnsi="宋体" w:eastAsia="宋体" w:cs="宋体"/>
                <w:sz w:val="21"/>
                <w:szCs w:val="21"/>
                <w:lang w:val="en-US" w:eastAsia="zh-CN"/>
              </w:rPr>
              <w:t>型号</w:t>
            </w:r>
          </w:p>
        </w:tc>
        <w:tc>
          <w:tcPr>
            <w:tcW w:w="1455" w:type="dxa"/>
            <w:vAlign w:val="center"/>
          </w:tcPr>
          <w:p w14:paraId="783B88C0">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注册证号（</w:t>
            </w:r>
            <w:r>
              <w:rPr>
                <w:rFonts w:hint="eastAsia" w:ascii="宋体" w:hAnsi="宋体" w:eastAsia="宋体" w:cs="宋体"/>
                <w:sz w:val="21"/>
                <w:szCs w:val="21"/>
                <w:lang w:val="en-US" w:eastAsia="zh-CN"/>
              </w:rPr>
              <w:t>或</w:t>
            </w:r>
            <w:r>
              <w:rPr>
                <w:rFonts w:hint="eastAsia" w:ascii="宋体" w:hAnsi="宋体" w:eastAsia="宋体" w:cs="宋体"/>
                <w:sz w:val="21"/>
                <w:szCs w:val="21"/>
              </w:rPr>
              <w:t>备案凭证号）</w:t>
            </w:r>
          </w:p>
        </w:tc>
        <w:tc>
          <w:tcPr>
            <w:tcW w:w="1485" w:type="dxa"/>
            <w:vAlign w:val="center"/>
          </w:tcPr>
          <w:p w14:paraId="66BC6491">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生产企业</w:t>
            </w:r>
          </w:p>
        </w:tc>
        <w:tc>
          <w:tcPr>
            <w:tcW w:w="600" w:type="dxa"/>
            <w:vAlign w:val="center"/>
          </w:tcPr>
          <w:p w14:paraId="323F256B">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单位</w:t>
            </w:r>
          </w:p>
        </w:tc>
        <w:tc>
          <w:tcPr>
            <w:tcW w:w="585" w:type="dxa"/>
            <w:vAlign w:val="center"/>
          </w:tcPr>
          <w:p w14:paraId="0C0BD662">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数量</w:t>
            </w:r>
          </w:p>
        </w:tc>
        <w:tc>
          <w:tcPr>
            <w:tcW w:w="1245" w:type="dxa"/>
            <w:vAlign w:val="center"/>
          </w:tcPr>
          <w:p w14:paraId="39B52A57">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单价</w:t>
            </w:r>
          </w:p>
        </w:tc>
        <w:tc>
          <w:tcPr>
            <w:tcW w:w="1417" w:type="dxa"/>
            <w:vAlign w:val="center"/>
          </w:tcPr>
          <w:p w14:paraId="259A2FE6">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金额</w:t>
            </w:r>
          </w:p>
        </w:tc>
      </w:tr>
      <w:tr w14:paraId="72F19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4" w:type="dxa"/>
            <w:vAlign w:val="center"/>
          </w:tcPr>
          <w:p w14:paraId="47251F74">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rPr>
            </w:pPr>
          </w:p>
        </w:tc>
        <w:tc>
          <w:tcPr>
            <w:tcW w:w="1170" w:type="dxa"/>
            <w:vAlign w:val="center"/>
          </w:tcPr>
          <w:p w14:paraId="1070B0ED">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rPr>
            </w:pPr>
          </w:p>
        </w:tc>
        <w:tc>
          <w:tcPr>
            <w:tcW w:w="1455" w:type="dxa"/>
            <w:vAlign w:val="center"/>
          </w:tcPr>
          <w:p w14:paraId="3CB3CA8E">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rPr>
            </w:pPr>
          </w:p>
        </w:tc>
        <w:tc>
          <w:tcPr>
            <w:tcW w:w="1485" w:type="dxa"/>
            <w:vAlign w:val="center"/>
          </w:tcPr>
          <w:p w14:paraId="40D15896">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rPr>
            </w:pPr>
          </w:p>
        </w:tc>
        <w:tc>
          <w:tcPr>
            <w:tcW w:w="600" w:type="dxa"/>
            <w:vAlign w:val="center"/>
          </w:tcPr>
          <w:p w14:paraId="0A6BCE1A">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rPr>
            </w:pPr>
          </w:p>
        </w:tc>
        <w:tc>
          <w:tcPr>
            <w:tcW w:w="585" w:type="dxa"/>
            <w:vAlign w:val="center"/>
          </w:tcPr>
          <w:p w14:paraId="1C60E5BE">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rPr>
            </w:pPr>
          </w:p>
        </w:tc>
        <w:tc>
          <w:tcPr>
            <w:tcW w:w="1245" w:type="dxa"/>
            <w:vAlign w:val="center"/>
          </w:tcPr>
          <w:p w14:paraId="243B7C87">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rPr>
            </w:pPr>
          </w:p>
        </w:tc>
        <w:tc>
          <w:tcPr>
            <w:tcW w:w="1417" w:type="dxa"/>
            <w:vAlign w:val="center"/>
          </w:tcPr>
          <w:p w14:paraId="1093DF36">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rPr>
            </w:pPr>
          </w:p>
        </w:tc>
      </w:tr>
      <w:tr w14:paraId="7CCF5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4" w:type="dxa"/>
            <w:vAlign w:val="center"/>
          </w:tcPr>
          <w:p w14:paraId="73C580E9">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rPr>
            </w:pPr>
          </w:p>
        </w:tc>
        <w:tc>
          <w:tcPr>
            <w:tcW w:w="1170" w:type="dxa"/>
            <w:vAlign w:val="center"/>
          </w:tcPr>
          <w:p w14:paraId="5A78426F">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rPr>
            </w:pPr>
          </w:p>
        </w:tc>
        <w:tc>
          <w:tcPr>
            <w:tcW w:w="1455" w:type="dxa"/>
            <w:vAlign w:val="center"/>
          </w:tcPr>
          <w:p w14:paraId="3669473D">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rPr>
            </w:pPr>
          </w:p>
        </w:tc>
        <w:tc>
          <w:tcPr>
            <w:tcW w:w="1485" w:type="dxa"/>
            <w:vAlign w:val="center"/>
          </w:tcPr>
          <w:p w14:paraId="3B0F370F">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rPr>
            </w:pPr>
          </w:p>
        </w:tc>
        <w:tc>
          <w:tcPr>
            <w:tcW w:w="600" w:type="dxa"/>
            <w:vAlign w:val="center"/>
          </w:tcPr>
          <w:p w14:paraId="7D069F2B">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rPr>
            </w:pPr>
          </w:p>
        </w:tc>
        <w:tc>
          <w:tcPr>
            <w:tcW w:w="585" w:type="dxa"/>
            <w:vAlign w:val="center"/>
          </w:tcPr>
          <w:p w14:paraId="0E67A17B">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rPr>
            </w:pPr>
          </w:p>
        </w:tc>
        <w:tc>
          <w:tcPr>
            <w:tcW w:w="1245" w:type="dxa"/>
            <w:vAlign w:val="center"/>
          </w:tcPr>
          <w:p w14:paraId="56C8E4C1">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rPr>
            </w:pPr>
          </w:p>
        </w:tc>
        <w:tc>
          <w:tcPr>
            <w:tcW w:w="1417" w:type="dxa"/>
            <w:vAlign w:val="center"/>
          </w:tcPr>
          <w:p w14:paraId="4EFFAD57">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1"/>
                <w:szCs w:val="21"/>
              </w:rPr>
            </w:pPr>
          </w:p>
        </w:tc>
      </w:tr>
      <w:tr w14:paraId="33B7A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1" w:type="dxa"/>
            <w:gridSpan w:val="8"/>
            <w:vAlign w:val="center"/>
          </w:tcPr>
          <w:p w14:paraId="0D0871AE">
            <w:pPr>
              <w:keepNext w:val="0"/>
              <w:keepLines w:val="0"/>
              <w:pageBreakBefore w:val="0"/>
              <w:widowControl w:val="0"/>
              <w:kinsoku/>
              <w:wordWrap/>
              <w:overflowPunct/>
              <w:topLinePunct w:val="0"/>
              <w:autoSpaceDE/>
              <w:autoSpaceDN/>
              <w:bidi w:val="0"/>
              <w:spacing w:line="480" w:lineRule="exact"/>
              <w:jc w:val="left"/>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备注：</w:t>
            </w:r>
            <w:r>
              <w:rPr>
                <w:rFonts w:hint="eastAsia" w:ascii="宋体" w:hAnsi="宋体" w:eastAsia="宋体" w:cs="宋体"/>
                <w:b w:val="0"/>
                <w:bCs w:val="0"/>
                <w:color w:val="auto"/>
                <w:sz w:val="21"/>
                <w:szCs w:val="21"/>
                <w:lang w:val="en-US" w:eastAsia="zh-CN"/>
              </w:rPr>
              <w:t>本价格为含税价。</w:t>
            </w:r>
          </w:p>
        </w:tc>
      </w:tr>
      <w:tr w14:paraId="42ECE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4" w:type="dxa"/>
            <w:gridSpan w:val="2"/>
            <w:vAlign w:val="center"/>
          </w:tcPr>
          <w:p w14:paraId="54C65796">
            <w:pPr>
              <w:keepNext w:val="0"/>
              <w:keepLines w:val="0"/>
              <w:pageBreakBefore w:val="0"/>
              <w:widowControl w:val="0"/>
              <w:kinsoku/>
              <w:wordWrap/>
              <w:overflowPunct/>
              <w:topLinePunct w:val="0"/>
              <w:autoSpaceDE/>
              <w:autoSpaceDN/>
              <w:bidi w:val="0"/>
              <w:spacing w:line="48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合计总金额</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人民币/元</w:t>
            </w:r>
            <w:r>
              <w:rPr>
                <w:rFonts w:hint="eastAsia" w:ascii="宋体" w:hAnsi="宋体" w:eastAsia="宋体" w:cs="宋体"/>
                <w:sz w:val="21"/>
                <w:szCs w:val="21"/>
                <w:lang w:eastAsia="zh-CN"/>
              </w:rPr>
              <w:t>）</w:t>
            </w:r>
            <w:r>
              <w:rPr>
                <w:rFonts w:hint="eastAsia" w:ascii="宋体" w:hAnsi="宋体" w:eastAsia="宋体" w:cs="宋体"/>
                <w:sz w:val="21"/>
                <w:szCs w:val="21"/>
              </w:rPr>
              <w:t>：</w:t>
            </w:r>
          </w:p>
        </w:tc>
        <w:tc>
          <w:tcPr>
            <w:tcW w:w="6787" w:type="dxa"/>
            <w:gridSpan w:val="6"/>
            <w:vAlign w:val="center"/>
          </w:tcPr>
          <w:p w14:paraId="392EE0D8">
            <w:pPr>
              <w:keepNext w:val="0"/>
              <w:keepLines w:val="0"/>
              <w:pageBreakBefore w:val="0"/>
              <w:widowControl w:val="0"/>
              <w:kinsoku/>
              <w:wordWrap/>
              <w:overflowPunct/>
              <w:topLinePunct w:val="0"/>
              <w:autoSpaceDE/>
              <w:autoSpaceDN/>
              <w:bidi w:val="0"/>
              <w:spacing w:line="48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（大写）</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小写</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w:t>
            </w:r>
          </w:p>
        </w:tc>
      </w:tr>
      <w:tr w14:paraId="23416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1" w:type="dxa"/>
            <w:gridSpan w:val="8"/>
            <w:vAlign w:val="center"/>
          </w:tcPr>
          <w:p w14:paraId="7C59D84E">
            <w:pPr>
              <w:keepNext w:val="0"/>
              <w:keepLines w:val="0"/>
              <w:pageBreakBefore w:val="0"/>
              <w:widowControl w:val="0"/>
              <w:kinsoku/>
              <w:wordWrap/>
              <w:overflowPunct/>
              <w:topLinePunct w:val="0"/>
              <w:autoSpaceDE/>
              <w:autoSpaceDN/>
              <w:bidi w:val="0"/>
              <w:spacing w:line="480" w:lineRule="exact"/>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设备配置清单：（见附页</w:t>
            </w:r>
            <w:r>
              <w:rPr>
                <w:rFonts w:hint="eastAsia" w:ascii="宋体" w:hAnsi="宋体" w:eastAsia="宋体" w:cs="宋体"/>
                <w:sz w:val="21"/>
                <w:szCs w:val="21"/>
                <w:lang w:val="en-US" w:eastAsia="zh-CN"/>
              </w:rPr>
              <w:t>1</w:t>
            </w:r>
            <w:r>
              <w:rPr>
                <w:rFonts w:hint="eastAsia" w:ascii="宋体" w:hAnsi="宋体" w:eastAsia="宋体" w:cs="宋体"/>
                <w:sz w:val="21"/>
                <w:szCs w:val="21"/>
              </w:rPr>
              <w:t>），设备专用耗材及配件：（见附件2）</w:t>
            </w:r>
            <w:r>
              <w:rPr>
                <w:rFonts w:hint="eastAsia" w:ascii="宋体" w:hAnsi="宋体" w:eastAsia="宋体" w:cs="宋体"/>
                <w:sz w:val="21"/>
                <w:szCs w:val="21"/>
                <w:lang w:eastAsia="zh-CN"/>
              </w:rPr>
              <w:t>。</w:t>
            </w:r>
          </w:p>
        </w:tc>
      </w:tr>
    </w:tbl>
    <w:p w14:paraId="6BF7BBF1">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注：医疗器械的产品名称 、型号、生产企业等，应与注册证中相同；乙方保证成交价格不高于市场成交价，否则乙方应承担超出部分。需性能、精度校核等检定的设备，需由乙方承担检定校准费用，委托有资格的机构进行校核并办理相关手续。若不能达到上述要求，一切相关违约责任由乙方承担。</w:t>
      </w:r>
    </w:p>
    <w:p w14:paraId="24FC3D19">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Theme="minorEastAsia" w:hAnsiTheme="minorEastAsia" w:eastAsiaTheme="minorEastAsia"/>
          <w:b/>
          <w:bCs/>
          <w:snapToGrid w:val="0"/>
          <w:sz w:val="24"/>
          <w:szCs w:val="24"/>
        </w:rPr>
      </w:pPr>
      <w:r>
        <w:rPr>
          <w:rFonts w:hint="eastAsia" w:asciiTheme="minorEastAsia" w:hAnsiTheme="minorEastAsia" w:eastAsiaTheme="minorEastAsia"/>
          <w:b/>
          <w:bCs/>
          <w:snapToGrid w:val="0"/>
          <w:sz w:val="24"/>
          <w:szCs w:val="24"/>
        </w:rPr>
        <w:t>二、付款方式：</w:t>
      </w:r>
      <w:bookmarkStart w:id="0" w:name="_GoBack"/>
      <w:bookmarkEnd w:id="0"/>
    </w:p>
    <w:p w14:paraId="613C6E5A">
      <w:pPr>
        <w:keepNext w:val="0"/>
        <w:keepLines w:val="0"/>
        <w:pageBreakBefore w:val="0"/>
        <w:widowControl w:val="0"/>
        <w:numPr>
          <w:ilvl w:val="0"/>
          <w:numId w:val="1"/>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本合同签订后，设备到货安装调试并验收合格，由乙方向甲方开具该设备全额发票，并随发票付合同文件；</w:t>
      </w:r>
    </w:p>
    <w:p w14:paraId="6247EA6D">
      <w:pPr>
        <w:keepNext w:val="0"/>
        <w:keepLines w:val="0"/>
        <w:pageBreakBefore w:val="0"/>
        <w:widowControl w:val="0"/>
        <w:numPr>
          <w:ilvl w:val="0"/>
          <w:numId w:val="1"/>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color w:val="auto"/>
          <w:sz w:val="24"/>
          <w:szCs w:val="24"/>
        </w:rPr>
      </w:pPr>
      <w:r>
        <w:rPr>
          <w:rFonts w:hint="eastAsia" w:asciiTheme="minorEastAsia" w:hAnsiTheme="minorEastAsia" w:eastAsiaTheme="minorEastAsia"/>
          <w:snapToGrid w:val="0"/>
          <w:sz w:val="24"/>
          <w:szCs w:val="24"/>
        </w:rPr>
        <w:t>甲方在验收完成后办理入库、付款等相关手续，</w:t>
      </w:r>
      <w:r>
        <w:rPr>
          <w:rFonts w:hint="eastAsia" w:asciiTheme="minorEastAsia" w:hAnsiTheme="minorEastAsia" w:eastAsiaTheme="minorEastAsia"/>
          <w:snapToGrid w:val="0"/>
          <w:color w:val="auto"/>
          <w:sz w:val="24"/>
          <w:szCs w:val="24"/>
          <w:u w:val="single"/>
          <w:lang w:val="en-US" w:eastAsia="zh-CN"/>
        </w:rPr>
        <w:t>按投标文件响应内容为准</w:t>
      </w:r>
      <w:r>
        <w:rPr>
          <w:rFonts w:hint="eastAsia" w:asciiTheme="minorEastAsia" w:hAnsiTheme="minorEastAsia" w:eastAsiaTheme="minorEastAsia"/>
          <w:snapToGrid w:val="0"/>
          <w:color w:val="auto"/>
          <w:sz w:val="24"/>
          <w:szCs w:val="24"/>
        </w:rPr>
        <w:t>。</w:t>
      </w:r>
    </w:p>
    <w:p w14:paraId="1F5DC0E7">
      <w:pPr>
        <w:keepNext w:val="0"/>
        <w:keepLines w:val="0"/>
        <w:pageBreakBefore w:val="0"/>
        <w:widowControl w:val="0"/>
        <w:numPr>
          <w:ilvl w:val="0"/>
          <w:numId w:val="1"/>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乙方收款银行信息：</w:t>
      </w:r>
    </w:p>
    <w:p w14:paraId="2643B015">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leftChars="200"/>
        <w:textAlignment w:val="auto"/>
        <w:rPr>
          <w:rFonts w:hint="eastAsia" w:asciiTheme="minorEastAsia" w:hAnsiTheme="minorEastAsia" w:eastAsiaTheme="minorEastAsia"/>
          <w:snapToGrid w:val="0"/>
          <w:sz w:val="24"/>
          <w:szCs w:val="24"/>
          <w:u w:val="single"/>
        </w:rPr>
      </w:pPr>
      <w:r>
        <w:rPr>
          <w:rFonts w:hint="eastAsia" w:asciiTheme="minorEastAsia" w:hAnsiTheme="minorEastAsia" w:eastAsiaTheme="minorEastAsia"/>
          <w:snapToGrid w:val="0"/>
          <w:sz w:val="24"/>
          <w:szCs w:val="24"/>
        </w:rPr>
        <w:t>账户名称：</w:t>
      </w:r>
      <w:r>
        <w:rPr>
          <w:rFonts w:hint="eastAsia" w:asciiTheme="minorEastAsia" w:hAnsiTheme="minorEastAsia" w:eastAsiaTheme="minorEastAsia"/>
          <w:snapToGrid w:val="0"/>
          <w:sz w:val="24"/>
          <w:szCs w:val="24"/>
          <w:u w:val="single"/>
        </w:rPr>
        <w:t xml:space="preserve">                                </w:t>
      </w:r>
    </w:p>
    <w:p w14:paraId="58160C2C">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leftChars="200"/>
        <w:textAlignment w:val="auto"/>
        <w:rPr>
          <w:rFonts w:hint="eastAsia" w:asciiTheme="minorEastAsia" w:hAnsiTheme="minorEastAsia" w:eastAsiaTheme="minorEastAsia"/>
          <w:snapToGrid w:val="0"/>
          <w:sz w:val="24"/>
          <w:szCs w:val="24"/>
          <w:u w:val="single"/>
        </w:rPr>
      </w:pPr>
      <w:r>
        <w:rPr>
          <w:rFonts w:hint="eastAsia" w:asciiTheme="minorEastAsia" w:hAnsiTheme="minorEastAsia" w:eastAsiaTheme="minorEastAsia"/>
          <w:snapToGrid w:val="0"/>
          <w:sz w:val="24"/>
          <w:szCs w:val="24"/>
        </w:rPr>
        <w:t>开户银行：</w:t>
      </w:r>
      <w:r>
        <w:rPr>
          <w:rFonts w:hint="eastAsia" w:asciiTheme="minorEastAsia" w:hAnsiTheme="minorEastAsia" w:eastAsiaTheme="minorEastAsia"/>
          <w:snapToGrid w:val="0"/>
          <w:sz w:val="24"/>
          <w:szCs w:val="24"/>
          <w:u w:val="single"/>
        </w:rPr>
        <w:t xml:space="preserve">                                </w:t>
      </w:r>
    </w:p>
    <w:p w14:paraId="7A867526">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left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账    号：</w:t>
      </w:r>
      <w:r>
        <w:rPr>
          <w:rFonts w:hint="eastAsia" w:asciiTheme="minorEastAsia" w:hAnsiTheme="minorEastAsia" w:eastAsiaTheme="minorEastAsia"/>
          <w:snapToGrid w:val="0"/>
          <w:sz w:val="24"/>
          <w:szCs w:val="24"/>
          <w:u w:val="single"/>
        </w:rPr>
        <w:t xml:space="preserve">                                </w:t>
      </w:r>
    </w:p>
    <w:p w14:paraId="4362EEBD">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Theme="minorEastAsia" w:hAnsiTheme="minorEastAsia" w:eastAsiaTheme="minorEastAsia"/>
          <w:b/>
          <w:bCs/>
          <w:snapToGrid w:val="0"/>
          <w:sz w:val="24"/>
          <w:szCs w:val="24"/>
        </w:rPr>
      </w:pPr>
      <w:r>
        <w:rPr>
          <w:rFonts w:hint="eastAsia" w:asciiTheme="minorEastAsia" w:hAnsiTheme="minorEastAsia" w:eastAsiaTheme="minorEastAsia"/>
          <w:b/>
          <w:bCs/>
          <w:snapToGrid w:val="0"/>
          <w:sz w:val="24"/>
          <w:szCs w:val="24"/>
        </w:rPr>
        <w:t>三、交货及交货条件</w:t>
      </w:r>
    </w:p>
    <w:p w14:paraId="0506DA82">
      <w:pPr>
        <w:keepNext w:val="0"/>
        <w:keepLines w:val="0"/>
        <w:pageBreakBefore w:val="0"/>
        <w:widowControl w:val="0"/>
        <w:numPr>
          <w:ilvl w:val="0"/>
          <w:numId w:val="2"/>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交货日期：乙方在合同生效的</w:t>
      </w:r>
      <w:r>
        <w:rPr>
          <w:rFonts w:hint="eastAsia" w:asciiTheme="minorEastAsia" w:hAnsiTheme="minorEastAsia" w:eastAsiaTheme="minorEastAsia"/>
          <w:snapToGrid w:val="0"/>
          <w:sz w:val="24"/>
          <w:szCs w:val="24"/>
          <w:u w:val="single"/>
        </w:rPr>
        <w:t xml:space="preserve">     </w:t>
      </w:r>
      <w:r>
        <w:rPr>
          <w:rFonts w:hint="eastAsia" w:asciiTheme="minorEastAsia" w:hAnsiTheme="minorEastAsia" w:eastAsiaTheme="minorEastAsia"/>
          <w:snapToGrid w:val="0"/>
          <w:sz w:val="24"/>
          <w:szCs w:val="24"/>
        </w:rPr>
        <w:t>天内向甲方交付上述产品，逾期将按照第九条相关规定执行。</w:t>
      </w:r>
    </w:p>
    <w:p w14:paraId="4F6D8F9F">
      <w:pPr>
        <w:keepNext w:val="0"/>
        <w:keepLines w:val="0"/>
        <w:pageBreakBefore w:val="0"/>
        <w:widowControl w:val="0"/>
        <w:numPr>
          <w:ilvl w:val="0"/>
          <w:numId w:val="2"/>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交货地点：</w:t>
      </w:r>
      <w:r>
        <w:rPr>
          <w:rFonts w:hint="eastAsia" w:ascii="宋体" w:hAnsi="宋体" w:eastAsia="宋体"/>
          <w:snapToGrid w:val="0"/>
          <w:sz w:val="24"/>
          <w:szCs w:val="24"/>
          <w:lang w:val="en-US" w:eastAsia="zh-CN"/>
        </w:rPr>
        <w:t>使用科室</w:t>
      </w:r>
      <w:r>
        <w:rPr>
          <w:rFonts w:hint="eastAsia" w:ascii="宋体" w:hAnsi="宋体" w:eastAsia="宋体"/>
          <w:snapToGrid w:val="0"/>
          <w:sz w:val="24"/>
          <w:szCs w:val="24"/>
          <w:u w:val="single"/>
          <w:lang w:val="en-US" w:eastAsia="zh-CN"/>
        </w:rPr>
        <w:t>（         ）</w:t>
      </w:r>
      <w:r>
        <w:rPr>
          <w:rFonts w:hint="eastAsia" w:ascii="宋体" w:hAnsi="宋体" w:eastAsia="宋体"/>
          <w:snapToGrid w:val="0"/>
          <w:sz w:val="24"/>
          <w:szCs w:val="24"/>
          <w:u w:val="none"/>
          <w:lang w:val="en-US" w:eastAsia="zh-CN"/>
        </w:rPr>
        <w:t>或</w:t>
      </w:r>
      <w:r>
        <w:rPr>
          <w:rFonts w:hint="eastAsia" w:ascii="宋体" w:hAnsi="宋体" w:eastAsia="宋体"/>
          <w:snapToGrid w:val="0"/>
          <w:sz w:val="24"/>
          <w:szCs w:val="24"/>
        </w:rPr>
        <w:t>甲方指定交货地点。</w:t>
      </w:r>
      <w:r>
        <w:rPr>
          <w:rFonts w:hint="eastAsia" w:asciiTheme="minorEastAsia" w:hAnsiTheme="minorEastAsia" w:eastAsiaTheme="minorEastAsia"/>
          <w:snapToGrid w:val="0"/>
          <w:sz w:val="24"/>
          <w:szCs w:val="24"/>
        </w:rPr>
        <w:t xml:space="preserve">                                                      </w:t>
      </w:r>
    </w:p>
    <w:p w14:paraId="6A4BE4FD">
      <w:pPr>
        <w:keepNext w:val="0"/>
        <w:keepLines w:val="0"/>
        <w:pageBreakBefore w:val="0"/>
        <w:widowControl w:val="0"/>
        <w:numPr>
          <w:ilvl w:val="0"/>
          <w:numId w:val="2"/>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收货人： 王祎 联系电话： 0917-</w:t>
      </w:r>
      <w:r>
        <w:rPr>
          <w:rFonts w:hint="eastAsia" w:asciiTheme="minorEastAsia" w:hAnsiTheme="minorEastAsia" w:eastAsiaTheme="minorEastAsia"/>
          <w:snapToGrid w:val="0"/>
          <w:sz w:val="24"/>
          <w:szCs w:val="24"/>
          <w:lang w:val="en-US" w:eastAsia="zh-CN"/>
        </w:rPr>
        <w:t>3886051</w:t>
      </w:r>
      <w:r>
        <w:rPr>
          <w:rFonts w:hint="eastAsia" w:asciiTheme="minorEastAsia" w:hAnsiTheme="minorEastAsia" w:eastAsiaTheme="minorEastAsia"/>
          <w:snapToGrid w:val="0"/>
          <w:sz w:val="24"/>
          <w:szCs w:val="24"/>
        </w:rPr>
        <w:t xml:space="preserve">  </w:t>
      </w:r>
      <w:r>
        <w:rPr>
          <w:rFonts w:hint="eastAsia" w:asciiTheme="minorEastAsia" w:hAnsiTheme="minorEastAsia" w:eastAsiaTheme="minorEastAsia"/>
          <w:snapToGrid w:val="0"/>
          <w:sz w:val="24"/>
          <w:szCs w:val="24"/>
          <w:lang w:val="en-US" w:eastAsia="zh-CN"/>
        </w:rPr>
        <w:t>17309178882</w:t>
      </w:r>
      <w:r>
        <w:rPr>
          <w:rFonts w:hint="eastAsia" w:asciiTheme="minorEastAsia" w:hAnsiTheme="minorEastAsia" w:eastAsiaTheme="minorEastAsia"/>
          <w:snapToGrid w:val="0"/>
          <w:sz w:val="24"/>
          <w:szCs w:val="24"/>
        </w:rPr>
        <w:t xml:space="preserve"> </w:t>
      </w:r>
    </w:p>
    <w:p w14:paraId="286D60A5">
      <w:pPr>
        <w:keepNext w:val="0"/>
        <w:keepLines w:val="0"/>
        <w:pageBreakBefore w:val="0"/>
        <w:widowControl w:val="0"/>
        <w:numPr>
          <w:ilvl w:val="0"/>
          <w:numId w:val="2"/>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乙方承担器械（设备）的运费、保险费等费用，装卸费由乙方承担。</w:t>
      </w:r>
    </w:p>
    <w:p w14:paraId="53B29B0F">
      <w:pPr>
        <w:keepNext w:val="0"/>
        <w:keepLines w:val="0"/>
        <w:pageBreakBefore w:val="0"/>
        <w:widowControl w:val="0"/>
        <w:numPr>
          <w:ilvl w:val="0"/>
          <w:numId w:val="2"/>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乙方在货物具备发运条件前，准确通知甲方货物的名称、数量、重量、外形尺寸、发运日期、发运方式等基本情况，以便甲方做好接收准备。</w:t>
      </w:r>
    </w:p>
    <w:p w14:paraId="5506C7AD">
      <w:pPr>
        <w:keepNext w:val="0"/>
        <w:keepLines w:val="0"/>
        <w:pageBreakBefore w:val="0"/>
        <w:widowControl w:val="0"/>
        <w:numPr>
          <w:ilvl w:val="0"/>
          <w:numId w:val="2"/>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乙方在货物发运后，同时安排人员到现场配合接收货物，甲方配合乙方共同完成货物接收；由于承运部门造成的货物损失，由乙方自行与承运部门协商解决，甲方不承担运输过程中的损失。</w:t>
      </w:r>
    </w:p>
    <w:p w14:paraId="01270771">
      <w:pPr>
        <w:keepNext w:val="0"/>
        <w:keepLines w:val="0"/>
        <w:pageBreakBefore w:val="0"/>
        <w:widowControl w:val="0"/>
        <w:numPr>
          <w:ilvl w:val="0"/>
          <w:numId w:val="2"/>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 xml:space="preserve">乙方向甲方随设备提供全套设备技术资料（设备的出厂检验报告、合格证书、装箱清单、随货通行单等证明器械合法的证明文件）。 </w:t>
      </w:r>
    </w:p>
    <w:p w14:paraId="7D65667D">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Theme="minorEastAsia" w:hAnsiTheme="minorEastAsia" w:eastAsiaTheme="minorEastAsia"/>
          <w:b/>
          <w:bCs/>
          <w:snapToGrid w:val="0"/>
          <w:sz w:val="24"/>
          <w:szCs w:val="24"/>
        </w:rPr>
      </w:pPr>
      <w:r>
        <w:rPr>
          <w:rFonts w:hint="eastAsia" w:asciiTheme="minorEastAsia" w:hAnsiTheme="minorEastAsia" w:eastAsiaTheme="minorEastAsia"/>
          <w:b/>
          <w:bCs/>
          <w:snapToGrid w:val="0"/>
          <w:sz w:val="24"/>
          <w:szCs w:val="24"/>
        </w:rPr>
        <w:t>四、包装与标记</w:t>
      </w:r>
    </w:p>
    <w:p w14:paraId="33808958">
      <w:pPr>
        <w:keepNext w:val="0"/>
        <w:keepLines w:val="0"/>
        <w:pageBreakBefore w:val="0"/>
        <w:widowControl w:val="0"/>
        <w:numPr>
          <w:ilvl w:val="0"/>
          <w:numId w:val="3"/>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乙方提供的全部货物予以坚固包装，并有良好的防潮、防锈、防震和防腐等保护措施，以确保货物安全运抵甲方。乙方应承担由于包装不良而引起的货物锈蚀、损坏和丢失的责任。</w:t>
      </w:r>
    </w:p>
    <w:p w14:paraId="65B5709F">
      <w:pPr>
        <w:keepNext w:val="0"/>
        <w:keepLines w:val="0"/>
        <w:pageBreakBefore w:val="0"/>
        <w:widowControl w:val="0"/>
        <w:numPr>
          <w:ilvl w:val="0"/>
          <w:numId w:val="3"/>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每件包装箱内，应附有合格证、质量检验记录及有关技术资料。</w:t>
      </w:r>
    </w:p>
    <w:p w14:paraId="5CF66D65">
      <w:pPr>
        <w:keepNext w:val="0"/>
        <w:keepLines w:val="0"/>
        <w:pageBreakBefore w:val="0"/>
        <w:widowControl w:val="0"/>
        <w:numPr>
          <w:ilvl w:val="0"/>
          <w:numId w:val="3"/>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根据货物的特点和运输的不同要求，乙方应在包装箱上清楚地标 有“防潮”、“易碎”、“小心轻放”、“勿倒置”等字样的通用标记。</w:t>
      </w:r>
    </w:p>
    <w:p w14:paraId="4013721D">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Theme="minorEastAsia" w:hAnsiTheme="minorEastAsia" w:eastAsiaTheme="minorEastAsia"/>
          <w:b/>
          <w:bCs/>
          <w:snapToGrid w:val="0"/>
          <w:sz w:val="24"/>
          <w:szCs w:val="24"/>
        </w:rPr>
      </w:pPr>
      <w:r>
        <w:rPr>
          <w:rFonts w:hint="eastAsia" w:asciiTheme="minorEastAsia" w:hAnsiTheme="minorEastAsia" w:eastAsiaTheme="minorEastAsia"/>
          <w:b/>
          <w:bCs/>
          <w:snapToGrid w:val="0"/>
          <w:sz w:val="24"/>
          <w:szCs w:val="24"/>
        </w:rPr>
        <w:t>五、标准和检验</w:t>
      </w:r>
    </w:p>
    <w:p w14:paraId="345B10BE">
      <w:pPr>
        <w:keepNext w:val="0"/>
        <w:keepLines w:val="0"/>
        <w:pageBreakBefore w:val="0"/>
        <w:widowControl w:val="0"/>
        <w:numPr>
          <w:ilvl w:val="0"/>
          <w:numId w:val="4"/>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乙方应保证所供器械是全新的、未使用过的，采用厂家原装包装，并符合国家有关标准、制造厂标准及合同技术标准要求；乙方应提供器械设备的技术条件，包括相应的图纸、操作手册、维护手册、质量保证文件、服务指南等，与货物一并移交甲方。</w:t>
      </w:r>
    </w:p>
    <w:p w14:paraId="26F352D6">
      <w:pPr>
        <w:keepNext w:val="0"/>
        <w:keepLines w:val="0"/>
        <w:pageBreakBefore w:val="0"/>
        <w:widowControl w:val="0"/>
        <w:numPr>
          <w:ilvl w:val="0"/>
          <w:numId w:val="4"/>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乙方应在货物的发运前，对设备的质量、规格、数量进行准确、全面的检验。</w:t>
      </w:r>
    </w:p>
    <w:p w14:paraId="03EA81CB">
      <w:pPr>
        <w:keepNext w:val="0"/>
        <w:keepLines w:val="0"/>
        <w:pageBreakBefore w:val="0"/>
        <w:widowControl w:val="0"/>
        <w:numPr>
          <w:ilvl w:val="0"/>
          <w:numId w:val="4"/>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甲方在收到货物后，乙方派遣开箱检验人员，甲方为乙方人员提供便利的工作条件。</w:t>
      </w:r>
    </w:p>
    <w:p w14:paraId="4DDF7129">
      <w:pPr>
        <w:keepNext w:val="0"/>
        <w:keepLines w:val="0"/>
        <w:pageBreakBefore w:val="0"/>
        <w:widowControl w:val="0"/>
        <w:numPr>
          <w:ilvl w:val="0"/>
          <w:numId w:val="4"/>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开箱检验由甲乙双方代表与货运方共同进行，如发现设备、材料有损坏、 丢失，应做详细记录，并由双方代表会签，甲方有权拒绝接收，并要求乙方限定时间内更换新品。</w:t>
      </w:r>
    </w:p>
    <w:p w14:paraId="5B89801C">
      <w:pPr>
        <w:keepNext w:val="0"/>
        <w:keepLines w:val="0"/>
        <w:pageBreakBefore w:val="0"/>
        <w:widowControl w:val="0"/>
        <w:numPr>
          <w:ilvl w:val="0"/>
          <w:numId w:val="4"/>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凡进口医疗设备实行申报检验监管制，设备到院后，乙方需向出入境检验检疫机构按照检验监管内容进行申报并配合现场检验和监督检验，检验合格方可验收并投入临床使用并提供《入境货物检验检疫证明》。</w:t>
      </w:r>
    </w:p>
    <w:p w14:paraId="5CAE21B4">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Theme="minorEastAsia" w:hAnsiTheme="minorEastAsia" w:eastAsiaTheme="minorEastAsia"/>
          <w:b/>
          <w:bCs/>
          <w:snapToGrid w:val="0"/>
          <w:sz w:val="24"/>
          <w:szCs w:val="24"/>
        </w:rPr>
      </w:pPr>
      <w:r>
        <w:rPr>
          <w:rFonts w:hint="eastAsia" w:asciiTheme="minorEastAsia" w:hAnsiTheme="minorEastAsia" w:eastAsiaTheme="minorEastAsia"/>
          <w:b/>
          <w:bCs/>
          <w:snapToGrid w:val="0"/>
          <w:sz w:val="24"/>
          <w:szCs w:val="24"/>
        </w:rPr>
        <w:t>六、安装调试验收：</w:t>
      </w:r>
    </w:p>
    <w:p w14:paraId="4804EB2F">
      <w:pPr>
        <w:keepNext w:val="0"/>
        <w:keepLines w:val="0"/>
        <w:pageBreakBefore w:val="0"/>
        <w:widowControl w:val="0"/>
        <w:numPr>
          <w:ilvl w:val="0"/>
          <w:numId w:val="5"/>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甲方负责提供场地，乙方负责提供有关技术资料和技术指导。</w:t>
      </w:r>
    </w:p>
    <w:p w14:paraId="40D08DA2">
      <w:pPr>
        <w:keepNext w:val="0"/>
        <w:keepLines w:val="0"/>
        <w:pageBreakBefore w:val="0"/>
        <w:widowControl w:val="0"/>
        <w:numPr>
          <w:ilvl w:val="0"/>
          <w:numId w:val="5"/>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乙方协调厂家工程师和第三方产品的技术人员对设备进行安装调试。</w:t>
      </w:r>
    </w:p>
    <w:p w14:paraId="15DBC412">
      <w:pPr>
        <w:keepNext w:val="0"/>
        <w:keepLines w:val="0"/>
        <w:pageBreakBefore w:val="0"/>
        <w:widowControl w:val="0"/>
        <w:numPr>
          <w:ilvl w:val="0"/>
          <w:numId w:val="5"/>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甲方根据生产厂家提供的出厂标准，或经国家有关部门批准的技术标准、行业标准进行验收；大型器械、贵重器械、或精密器械等需双方共同现场验收。</w:t>
      </w:r>
    </w:p>
    <w:p w14:paraId="047C3E78">
      <w:pPr>
        <w:keepNext w:val="0"/>
        <w:keepLines w:val="0"/>
        <w:pageBreakBefore w:val="0"/>
        <w:widowControl w:val="0"/>
        <w:numPr>
          <w:ilvl w:val="0"/>
          <w:numId w:val="5"/>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验收时甲乙双方须按照合同文件（或投标文件）内容进行验收，乙方验收过程中须将合同交设备管理部门备案。</w:t>
      </w:r>
    </w:p>
    <w:p w14:paraId="17914A1F">
      <w:pPr>
        <w:keepNext w:val="0"/>
        <w:keepLines w:val="0"/>
        <w:pageBreakBefore w:val="0"/>
        <w:widowControl w:val="0"/>
        <w:numPr>
          <w:ilvl w:val="0"/>
          <w:numId w:val="5"/>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验收中如果发现数量不足或有质量、技术等问题，乙方应在</w:t>
      </w:r>
      <w:r>
        <w:rPr>
          <w:rFonts w:hint="eastAsia" w:asciiTheme="minorEastAsia" w:hAnsiTheme="minorEastAsia" w:eastAsiaTheme="minorEastAsia"/>
          <w:snapToGrid w:val="0"/>
          <w:sz w:val="24"/>
          <w:szCs w:val="24"/>
          <w:u w:val="single"/>
        </w:rPr>
        <w:t xml:space="preserve">     </w:t>
      </w:r>
      <w:r>
        <w:rPr>
          <w:rFonts w:hint="eastAsia" w:asciiTheme="minorEastAsia" w:hAnsiTheme="minorEastAsia" w:eastAsiaTheme="minorEastAsia"/>
          <w:snapToGrid w:val="0"/>
          <w:sz w:val="24"/>
          <w:szCs w:val="24"/>
        </w:rPr>
        <w:t>天内，按照甲方的要求，采取补足、更换或退货等处理措施进行妥善处理，并承担由此发生的一切损失和费用。</w:t>
      </w:r>
    </w:p>
    <w:p w14:paraId="304BF95C">
      <w:pPr>
        <w:keepNext w:val="0"/>
        <w:keepLines w:val="0"/>
        <w:pageBreakBefore w:val="0"/>
        <w:widowControl w:val="0"/>
        <w:numPr>
          <w:ilvl w:val="0"/>
          <w:numId w:val="5"/>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甲方应在设备安装调试完毕</w:t>
      </w:r>
      <w:r>
        <w:rPr>
          <w:rFonts w:hint="eastAsia" w:asciiTheme="minorEastAsia" w:hAnsiTheme="minorEastAsia" w:eastAsiaTheme="minorEastAsia"/>
          <w:snapToGrid w:val="0"/>
          <w:sz w:val="24"/>
          <w:szCs w:val="24"/>
          <w:lang w:val="en-US" w:eastAsia="zh-CN"/>
        </w:rPr>
        <w:t>达到验收条件</w:t>
      </w:r>
      <w:r>
        <w:rPr>
          <w:rFonts w:hint="eastAsia" w:asciiTheme="minorEastAsia" w:hAnsiTheme="minorEastAsia" w:eastAsiaTheme="minorEastAsia"/>
          <w:snapToGrid w:val="0"/>
          <w:sz w:val="24"/>
          <w:szCs w:val="24"/>
        </w:rPr>
        <w:t>后，</w:t>
      </w:r>
      <w:r>
        <w:rPr>
          <w:rFonts w:hint="eastAsia" w:asciiTheme="minorEastAsia" w:hAnsiTheme="minorEastAsia" w:eastAsiaTheme="minorEastAsia"/>
          <w:snapToGrid w:val="0"/>
          <w:sz w:val="24"/>
          <w:szCs w:val="24"/>
          <w:lang w:val="en-US" w:eastAsia="zh-CN"/>
        </w:rPr>
        <w:t>15</w:t>
      </w:r>
      <w:r>
        <w:rPr>
          <w:rFonts w:hint="eastAsia" w:asciiTheme="minorEastAsia" w:hAnsiTheme="minorEastAsia" w:eastAsiaTheme="minorEastAsia"/>
          <w:snapToGrid w:val="0"/>
          <w:sz w:val="24"/>
          <w:szCs w:val="24"/>
        </w:rPr>
        <w:t>天内完成设备验收；甲方人员能够独立操作该设备且设备各项指标均符合双方商定的技术标准，甲乙双方共同签字验收。</w:t>
      </w:r>
    </w:p>
    <w:p w14:paraId="21DA8355">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Theme="minorEastAsia" w:hAnsiTheme="minorEastAsia" w:eastAsiaTheme="minorEastAsia"/>
          <w:b/>
          <w:bCs/>
          <w:snapToGrid w:val="0"/>
          <w:sz w:val="24"/>
          <w:szCs w:val="24"/>
        </w:rPr>
      </w:pPr>
      <w:r>
        <w:rPr>
          <w:rFonts w:hint="eastAsia" w:asciiTheme="minorEastAsia" w:hAnsiTheme="minorEastAsia" w:eastAsiaTheme="minorEastAsia"/>
          <w:b/>
          <w:bCs/>
          <w:snapToGrid w:val="0"/>
          <w:sz w:val="24"/>
          <w:szCs w:val="24"/>
        </w:rPr>
        <w:t>七、培训：</w:t>
      </w:r>
    </w:p>
    <w:p w14:paraId="37A3C07D">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设备安装调试后，由乙方安排应用专家对甲方操作人员进行现场操作使用培训和指导，以达到甲方人员能够熟练操作该设备。</w:t>
      </w:r>
    </w:p>
    <w:p w14:paraId="43338B33">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Theme="minorEastAsia" w:hAnsiTheme="minorEastAsia" w:eastAsiaTheme="minorEastAsia"/>
          <w:b/>
          <w:bCs/>
          <w:snapToGrid w:val="0"/>
          <w:sz w:val="24"/>
          <w:szCs w:val="24"/>
        </w:rPr>
      </w:pPr>
      <w:r>
        <w:rPr>
          <w:rFonts w:hint="eastAsia" w:asciiTheme="minorEastAsia" w:hAnsiTheme="minorEastAsia" w:eastAsiaTheme="minorEastAsia"/>
          <w:b/>
          <w:bCs/>
          <w:snapToGrid w:val="0"/>
          <w:sz w:val="24"/>
          <w:szCs w:val="24"/>
        </w:rPr>
        <w:t>八、售后服务</w:t>
      </w:r>
    </w:p>
    <w:p w14:paraId="17762F5C">
      <w:pPr>
        <w:keepNext w:val="0"/>
        <w:keepLines w:val="0"/>
        <w:pageBreakBefore w:val="0"/>
        <w:widowControl w:val="0"/>
        <w:numPr>
          <w:ilvl w:val="0"/>
          <w:numId w:val="6"/>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乙方应保证所供设备是在</w:t>
      </w:r>
      <w:r>
        <w:rPr>
          <w:rFonts w:hint="eastAsia" w:asciiTheme="minorEastAsia" w:hAnsiTheme="minorEastAsia" w:eastAsiaTheme="minorEastAsia"/>
          <w:snapToGrid w:val="0"/>
          <w:sz w:val="24"/>
          <w:szCs w:val="24"/>
          <w:u w:val="single"/>
        </w:rPr>
        <w:t xml:space="preserve">     </w:t>
      </w:r>
      <w:r>
        <w:rPr>
          <w:rFonts w:hint="eastAsia" w:asciiTheme="minorEastAsia" w:hAnsiTheme="minorEastAsia" w:eastAsiaTheme="minorEastAsia"/>
          <w:snapToGrid w:val="0"/>
          <w:sz w:val="24"/>
          <w:szCs w:val="24"/>
        </w:rPr>
        <w:t>年</w:t>
      </w:r>
      <w:r>
        <w:rPr>
          <w:rFonts w:hint="eastAsia" w:asciiTheme="minorEastAsia" w:hAnsiTheme="minorEastAsia" w:eastAsiaTheme="minorEastAsia"/>
          <w:snapToGrid w:val="0"/>
          <w:sz w:val="24"/>
          <w:szCs w:val="24"/>
          <w:u w:val="single"/>
        </w:rPr>
        <w:t xml:space="preserve">     </w:t>
      </w:r>
      <w:r>
        <w:rPr>
          <w:rFonts w:hint="eastAsia" w:asciiTheme="minorEastAsia" w:hAnsiTheme="minorEastAsia" w:eastAsiaTheme="minorEastAsia"/>
          <w:snapToGrid w:val="0"/>
          <w:sz w:val="24"/>
          <w:szCs w:val="24"/>
        </w:rPr>
        <w:t>月</w:t>
      </w:r>
      <w:r>
        <w:rPr>
          <w:rFonts w:hint="eastAsia" w:asciiTheme="minorEastAsia" w:hAnsiTheme="minorEastAsia" w:eastAsiaTheme="minorEastAsia"/>
          <w:snapToGrid w:val="0"/>
          <w:sz w:val="24"/>
          <w:szCs w:val="24"/>
          <w:u w:val="single"/>
        </w:rPr>
        <w:t xml:space="preserve">     </w:t>
      </w:r>
      <w:r>
        <w:rPr>
          <w:rFonts w:hint="eastAsia" w:asciiTheme="minorEastAsia" w:hAnsiTheme="minorEastAsia" w:eastAsiaTheme="minorEastAsia"/>
          <w:snapToGrid w:val="0"/>
          <w:sz w:val="24"/>
          <w:szCs w:val="24"/>
        </w:rPr>
        <w:t>日后生产的全新的、未使用过的，并符合国家有关标准、制造厂标准及合同技术标准要求。如果设备的质量或规格与合同不符，或证实设备是有缺陷的，包括潜在的缺陷或使用不符合要求的材料等，乙方应在接到甲方通知后7天内负责采用符合合同规定的规格、质量和性能要求的新零件、部件或设备来更换有缺陷的部分或修补缺陷部分，其费用由乙方负担。同时，乙方应按本合同规定，相应延长修补或更换件的质量保证期。</w:t>
      </w:r>
    </w:p>
    <w:p w14:paraId="47AEA195">
      <w:pPr>
        <w:keepNext w:val="0"/>
        <w:keepLines w:val="0"/>
        <w:pageBreakBefore w:val="0"/>
        <w:widowControl w:val="0"/>
        <w:numPr>
          <w:ilvl w:val="0"/>
          <w:numId w:val="6"/>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质量保证期：器械（设备）的保修期为</w:t>
      </w:r>
      <w:r>
        <w:rPr>
          <w:rFonts w:hint="eastAsia" w:asciiTheme="minorEastAsia" w:hAnsiTheme="minorEastAsia" w:eastAsiaTheme="minorEastAsia"/>
          <w:snapToGrid w:val="0"/>
          <w:sz w:val="24"/>
          <w:szCs w:val="24"/>
          <w:u w:val="single"/>
        </w:rPr>
        <w:t xml:space="preserve">     </w:t>
      </w:r>
      <w:r>
        <w:rPr>
          <w:rFonts w:hint="eastAsia" w:asciiTheme="minorEastAsia" w:hAnsiTheme="minorEastAsia" w:eastAsiaTheme="minorEastAsia"/>
          <w:snapToGrid w:val="0"/>
          <w:sz w:val="24"/>
          <w:szCs w:val="24"/>
        </w:rPr>
        <w:t>年。保修期的期限应以甲乙双方的验收合格之日起计算；保修期内，由乙方免费更换零配件及免工时费；乙方在保修期内应确保开机率为</w:t>
      </w:r>
      <w:r>
        <w:rPr>
          <w:rFonts w:hint="eastAsia" w:asciiTheme="minorEastAsia" w:hAnsiTheme="minorEastAsia" w:eastAsiaTheme="minorEastAsia"/>
          <w:b/>
          <w:bCs/>
          <w:snapToGrid w:val="0"/>
          <w:sz w:val="24"/>
          <w:szCs w:val="24"/>
        </w:rPr>
        <w:t>95%</w:t>
      </w:r>
      <w:r>
        <w:rPr>
          <w:rFonts w:hint="eastAsia" w:asciiTheme="minorEastAsia" w:hAnsiTheme="minorEastAsia" w:eastAsiaTheme="minorEastAsia"/>
          <w:snapToGrid w:val="0"/>
          <w:sz w:val="24"/>
          <w:szCs w:val="24"/>
        </w:rPr>
        <w:t>以上，如达不到此要求，即相应延长保修期；乙方在保修期内定期预防性维护保养次数，不少于</w:t>
      </w:r>
      <w:r>
        <w:rPr>
          <w:rFonts w:hint="eastAsia" w:asciiTheme="minorEastAsia" w:hAnsiTheme="minorEastAsia" w:eastAsiaTheme="minorEastAsia"/>
          <w:snapToGrid w:val="0"/>
          <w:sz w:val="24"/>
          <w:szCs w:val="24"/>
          <w:u w:val="single"/>
        </w:rPr>
        <w:t xml:space="preserve">     </w:t>
      </w:r>
      <w:r>
        <w:rPr>
          <w:rFonts w:hint="eastAsia" w:asciiTheme="minorEastAsia" w:hAnsiTheme="minorEastAsia" w:eastAsiaTheme="minorEastAsia"/>
          <w:snapToGrid w:val="0"/>
          <w:sz w:val="24"/>
          <w:szCs w:val="24"/>
        </w:rPr>
        <w:t>次/年</w:t>
      </w:r>
      <w:r>
        <w:rPr>
          <w:rFonts w:hint="eastAsia" w:asciiTheme="minorEastAsia" w:hAnsiTheme="minorEastAsia" w:eastAsiaTheme="minorEastAsia"/>
          <w:snapToGrid w:val="0"/>
          <w:sz w:val="24"/>
          <w:szCs w:val="24"/>
          <w:lang w:eastAsia="zh-CN"/>
        </w:rPr>
        <w:t>，</w:t>
      </w:r>
      <w:r>
        <w:rPr>
          <w:rFonts w:hint="eastAsia" w:asciiTheme="minorEastAsia" w:hAnsiTheme="minorEastAsia" w:eastAsiaTheme="minorEastAsia"/>
          <w:snapToGrid w:val="0"/>
          <w:sz w:val="24"/>
          <w:szCs w:val="24"/>
          <w:highlight w:val="none"/>
          <w:lang w:val="en-US" w:eastAsia="zh-CN"/>
        </w:rPr>
        <w:t>保修期结束前一月内应安排一次器械</w:t>
      </w:r>
      <w:r>
        <w:rPr>
          <w:rFonts w:hint="eastAsia" w:asciiTheme="minorEastAsia" w:hAnsiTheme="minorEastAsia" w:eastAsiaTheme="minorEastAsia"/>
          <w:snapToGrid w:val="0"/>
          <w:sz w:val="24"/>
          <w:szCs w:val="24"/>
          <w:highlight w:val="none"/>
        </w:rPr>
        <w:t>（设备）</w:t>
      </w:r>
      <w:r>
        <w:rPr>
          <w:rFonts w:hint="eastAsia" w:asciiTheme="minorEastAsia" w:hAnsiTheme="minorEastAsia" w:eastAsiaTheme="minorEastAsia"/>
          <w:snapToGrid w:val="0"/>
          <w:sz w:val="24"/>
          <w:szCs w:val="24"/>
          <w:highlight w:val="none"/>
          <w:lang w:val="en-US" w:eastAsia="zh-CN"/>
        </w:rPr>
        <w:t>状态检测并出具检测报告，若有故障、隐患存在应于保修期内解决</w:t>
      </w:r>
      <w:r>
        <w:rPr>
          <w:rFonts w:hint="eastAsia" w:asciiTheme="minorEastAsia" w:hAnsiTheme="minorEastAsia" w:eastAsiaTheme="minorEastAsia"/>
          <w:snapToGrid w:val="0"/>
          <w:sz w:val="24"/>
          <w:szCs w:val="24"/>
          <w:highlight w:val="none"/>
        </w:rPr>
        <w:t>。</w:t>
      </w:r>
    </w:p>
    <w:p w14:paraId="14DE8336">
      <w:pPr>
        <w:keepNext w:val="0"/>
        <w:keepLines w:val="0"/>
        <w:pageBreakBefore w:val="0"/>
        <w:widowControl w:val="0"/>
        <w:numPr>
          <w:ilvl w:val="0"/>
          <w:numId w:val="6"/>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乙方负责器械的终身维修，保修期满后应继续提供优质的服务，储备足够的零配件备库，并以成本价供应维修零配件；设备专用耗材的供应应由双方另设协议决定。</w:t>
      </w:r>
    </w:p>
    <w:p w14:paraId="134711E6">
      <w:pPr>
        <w:keepNext w:val="0"/>
        <w:keepLines w:val="0"/>
        <w:pageBreakBefore w:val="0"/>
        <w:widowControl w:val="0"/>
        <w:numPr>
          <w:ilvl w:val="0"/>
          <w:numId w:val="6"/>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乙方在接到需方设备故障通知的</w:t>
      </w:r>
      <w:r>
        <w:rPr>
          <w:rFonts w:hint="eastAsia" w:asciiTheme="minorEastAsia" w:hAnsiTheme="minorEastAsia" w:eastAsiaTheme="minorEastAsia"/>
          <w:snapToGrid w:val="0"/>
          <w:sz w:val="24"/>
          <w:szCs w:val="24"/>
          <w:u w:val="single"/>
        </w:rPr>
        <w:t xml:space="preserve">     </w:t>
      </w:r>
      <w:r>
        <w:rPr>
          <w:rFonts w:hint="eastAsia" w:asciiTheme="minorEastAsia" w:hAnsiTheme="minorEastAsia" w:eastAsiaTheme="minorEastAsia"/>
          <w:snapToGrid w:val="0"/>
          <w:sz w:val="24"/>
          <w:szCs w:val="24"/>
        </w:rPr>
        <w:t>小时内派工程师到达现场，如一时无法修复的设备，提供备品供应户临床使用，此条款也适用于保修期外。</w:t>
      </w:r>
    </w:p>
    <w:p w14:paraId="562822BF">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Theme="minorEastAsia" w:hAnsiTheme="minorEastAsia" w:eastAsiaTheme="minorEastAsia"/>
          <w:b/>
          <w:bCs/>
          <w:snapToGrid w:val="0"/>
          <w:sz w:val="24"/>
          <w:szCs w:val="24"/>
        </w:rPr>
      </w:pPr>
      <w:r>
        <w:rPr>
          <w:rFonts w:hint="eastAsia" w:asciiTheme="minorEastAsia" w:hAnsiTheme="minorEastAsia" w:eastAsiaTheme="minorEastAsia"/>
          <w:b/>
          <w:bCs/>
          <w:snapToGrid w:val="0"/>
          <w:sz w:val="24"/>
          <w:szCs w:val="24"/>
        </w:rPr>
        <w:t>九、赔付条款</w:t>
      </w:r>
    </w:p>
    <w:p w14:paraId="041FE987">
      <w:pPr>
        <w:keepNext w:val="0"/>
        <w:keepLines w:val="0"/>
        <w:pageBreakBefore w:val="0"/>
        <w:widowControl w:val="0"/>
        <w:numPr>
          <w:ilvl w:val="0"/>
          <w:numId w:val="7"/>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如经国家相关监督部门检验，确认器械不符合本合同约定、或不符合国家或行业标准的，甲方有权选择下列方式之一要求乙方进行补救：</w:t>
      </w:r>
    </w:p>
    <w:p w14:paraId="4CA5002C">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1.1同意甲方退货，并将全额货款偿还甲方，并负担因退货而发生的一切直接损失和费用。</w:t>
      </w:r>
    </w:p>
    <w:p w14:paraId="5B33166E">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1.2按照器械的疵劣程度、损坏的范围和甲方所遭受的损失，将货物贬值。</w:t>
      </w:r>
    </w:p>
    <w:p w14:paraId="7603D72F">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1.3调换有瑕疵的器械，换货必须全新并符合本合同规定、符合国家或行业标准；乙方负责因此而产生的一切费用和甲方的一切直接损失。</w:t>
      </w:r>
    </w:p>
    <w:p w14:paraId="784981E0">
      <w:pPr>
        <w:keepNext w:val="0"/>
        <w:keepLines w:val="0"/>
        <w:pageBreakBefore w:val="0"/>
        <w:widowControl w:val="0"/>
        <w:numPr>
          <w:ilvl w:val="0"/>
          <w:numId w:val="7"/>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乙方在接到甲方书面异议后，应在三个工作日内负责处理，否则视为默认甲方提出的处理意见。</w:t>
      </w:r>
    </w:p>
    <w:p w14:paraId="2970A9D3">
      <w:pPr>
        <w:keepNext w:val="0"/>
        <w:keepLines w:val="0"/>
        <w:pageBreakBefore w:val="0"/>
        <w:widowControl w:val="0"/>
        <w:numPr>
          <w:ilvl w:val="0"/>
          <w:numId w:val="7"/>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如果乙方没有按照合同规定的时间交货和提供服务，甲方应从货款中扣除误期赔偿费而不影响合同项下的其他补救办法，延期交货和延期服务的赔偿费均按每周迟交仪器的合同价的5%计收，直至交货或提供服务为止。但误期赔偿费的最高限额不超过合同价的30%。一周按7天计算，不足7天按一周计算。一旦达到误期赔偿的最高限额，甲方有权终止合同。　　</w:t>
      </w:r>
    </w:p>
    <w:p w14:paraId="595383F7">
      <w:pPr>
        <w:keepNext w:val="0"/>
        <w:keepLines w:val="0"/>
        <w:pageBreakBefore w:val="0"/>
        <w:widowControl w:val="0"/>
        <w:numPr>
          <w:ilvl w:val="0"/>
          <w:numId w:val="7"/>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乙方应保证甲方和使用单位在使用该器械或其任何一部分时免受第三方提出侵犯其专利权、商标权或工业产权的起诉。</w:t>
      </w:r>
    </w:p>
    <w:p w14:paraId="1D5BEF38">
      <w:pPr>
        <w:keepNext w:val="0"/>
        <w:keepLines w:val="0"/>
        <w:pageBreakBefore w:val="0"/>
        <w:widowControl w:val="0"/>
        <w:numPr>
          <w:ilvl w:val="0"/>
          <w:numId w:val="7"/>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甲方逾期付款的，应按合同价0.5%/天向乙方偿付逾期付款的违约金；</w:t>
      </w:r>
    </w:p>
    <w:p w14:paraId="0633E701">
      <w:pPr>
        <w:keepNext w:val="0"/>
        <w:keepLines w:val="0"/>
        <w:pageBreakBefore w:val="0"/>
        <w:widowControl w:val="0"/>
        <w:numPr>
          <w:ilvl w:val="0"/>
          <w:numId w:val="7"/>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甲方违反合同规定拒绝接货的，应当承担由此对乙方造成的损失。</w:t>
      </w:r>
    </w:p>
    <w:p w14:paraId="0C6CCA77">
      <w:pPr>
        <w:keepNext w:val="0"/>
        <w:keepLines w:val="0"/>
        <w:pageBreakBefore w:val="0"/>
        <w:widowControl w:val="0"/>
        <w:numPr>
          <w:ilvl w:val="0"/>
          <w:numId w:val="7"/>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合同双方如有一方不履行合同义务，或者履行合同义务不符合合同约定给对方造成损失、则全部损失及责任由由违约方承担。</w:t>
      </w:r>
    </w:p>
    <w:p w14:paraId="0ADC41B1">
      <w:pPr>
        <w:keepNext w:val="0"/>
        <w:keepLines w:val="0"/>
        <w:pageBreakBefore w:val="0"/>
        <w:widowControl w:val="0"/>
        <w:numPr>
          <w:ilvl w:val="0"/>
          <w:numId w:val="7"/>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不可抗力：甲乙双方任何一方由于不可抗力原因不能履行合同时，应及时向对方通报不能履行或不能完全安全履行的理由，以减轻可能给对方造成的损失，在取得有关机构证明时，允许延期履行、部分履行或不履行合同，并根据情况可部分或全部免予承担违约责任。</w:t>
      </w:r>
    </w:p>
    <w:p w14:paraId="4B151AC8">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Theme="minorEastAsia" w:hAnsiTheme="minorEastAsia" w:eastAsiaTheme="minorEastAsia"/>
          <w:b/>
          <w:bCs/>
          <w:snapToGrid w:val="0"/>
          <w:sz w:val="24"/>
          <w:szCs w:val="24"/>
        </w:rPr>
      </w:pPr>
      <w:r>
        <w:rPr>
          <w:rFonts w:hint="eastAsia" w:asciiTheme="minorEastAsia" w:hAnsiTheme="minorEastAsia" w:eastAsiaTheme="minorEastAsia"/>
          <w:b/>
          <w:bCs/>
          <w:snapToGrid w:val="0"/>
          <w:sz w:val="24"/>
          <w:szCs w:val="24"/>
        </w:rPr>
        <w:t>十、纠纷处理</w:t>
      </w:r>
    </w:p>
    <w:p w14:paraId="1CA59CCC">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在合同执行过程中发生的与本合同有关的争议，双方应通过友好协商解决。经协商不能达成协议时，可向甲方住所地人民法院提起诉讼解决。</w:t>
      </w:r>
    </w:p>
    <w:p w14:paraId="7C2F6F33">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Theme="minorEastAsia" w:hAnsiTheme="minorEastAsia" w:eastAsiaTheme="minorEastAsia"/>
          <w:b/>
          <w:bCs/>
          <w:snapToGrid w:val="0"/>
          <w:sz w:val="24"/>
          <w:szCs w:val="24"/>
        </w:rPr>
      </w:pPr>
      <w:r>
        <w:rPr>
          <w:rFonts w:hint="eastAsia" w:asciiTheme="minorEastAsia" w:hAnsiTheme="minorEastAsia" w:eastAsiaTheme="minorEastAsia"/>
          <w:b/>
          <w:bCs/>
          <w:snapToGrid w:val="0"/>
          <w:sz w:val="24"/>
          <w:szCs w:val="24"/>
        </w:rPr>
        <w:t>十一、与本合同有关的招投标文件、附件等均为本合同的组成部分，其内容与本合同不一致的，以本合同为准；如需对合同条款进行修改，双方应协商后另行签订书面补充协议。</w:t>
      </w:r>
    </w:p>
    <w:p w14:paraId="41057183">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Theme="minorEastAsia" w:hAnsiTheme="minorEastAsia" w:eastAsiaTheme="minorEastAsia"/>
          <w:b/>
          <w:bCs/>
          <w:snapToGrid w:val="0"/>
          <w:sz w:val="24"/>
          <w:szCs w:val="24"/>
        </w:rPr>
      </w:pPr>
      <w:r>
        <w:rPr>
          <w:rFonts w:hint="eastAsia" w:asciiTheme="minorEastAsia" w:hAnsiTheme="minorEastAsia" w:eastAsiaTheme="minorEastAsia"/>
          <w:b/>
          <w:bCs/>
          <w:snapToGrid w:val="0"/>
          <w:sz w:val="24"/>
          <w:szCs w:val="24"/>
        </w:rPr>
        <w:t>十二、合同生效与其它</w:t>
      </w:r>
    </w:p>
    <w:p w14:paraId="7FDBFB12">
      <w:pPr>
        <w:keepNext w:val="0"/>
        <w:keepLines w:val="0"/>
        <w:pageBreakBefore w:val="0"/>
        <w:widowControl w:val="0"/>
        <w:numPr>
          <w:ilvl w:val="0"/>
          <w:numId w:val="8"/>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本合同经双方法人代表或授权代表签字盖章后生效。</w:t>
      </w:r>
    </w:p>
    <w:p w14:paraId="3A5C554D">
      <w:pPr>
        <w:keepNext w:val="0"/>
        <w:keepLines w:val="0"/>
        <w:pageBreakBefore w:val="0"/>
        <w:widowControl w:val="0"/>
        <w:numPr>
          <w:ilvl w:val="0"/>
          <w:numId w:val="8"/>
        </w:numPr>
        <w:kinsoku/>
        <w:wordWrap/>
        <w:overflowPunct/>
        <w:topLinePunct w:val="0"/>
        <w:autoSpaceDE/>
        <w:autoSpaceDN/>
        <w:bidi w:val="0"/>
        <w:adjustRightInd w:val="0"/>
        <w:snapToGrid w:val="0"/>
        <w:spacing w:line="480" w:lineRule="exact"/>
        <w:ind w:left="0" w:leftChars="0" w:firstLine="480" w:firstLineChars="200"/>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本合同一式六份，甲方执两份，乙方执四份，具同等法律效力。</w:t>
      </w:r>
    </w:p>
    <w:p w14:paraId="3AA9D508">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Theme="minorEastAsia" w:hAnsiTheme="minorEastAsia" w:eastAsiaTheme="minorEastAsia"/>
          <w:snapToGrid w:val="0"/>
          <w:sz w:val="20"/>
          <w:szCs w:val="20"/>
        </w:rPr>
      </w:pPr>
    </w:p>
    <w:p w14:paraId="39AD417D">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（下无正文）</w:t>
      </w:r>
    </w:p>
    <w:p w14:paraId="2242A68C">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Theme="minorEastAsia" w:hAnsiTheme="minorEastAsia" w:eastAsiaTheme="minorEastAsia"/>
          <w:snapToGrid w:val="0"/>
          <w:sz w:val="24"/>
          <w:szCs w:val="24"/>
        </w:rPr>
      </w:pPr>
    </w:p>
    <w:p w14:paraId="727C03B6">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Theme="minorEastAsia" w:hAnsiTheme="minorEastAsia" w:eastAsiaTheme="minorEastAsia"/>
          <w:snapToGrid w:val="0"/>
          <w:sz w:val="24"/>
          <w:szCs w:val="24"/>
        </w:rPr>
      </w:pPr>
    </w:p>
    <w:p w14:paraId="1F03ADF5">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Theme="minorEastAsia" w:hAnsiTheme="minorEastAsia" w:eastAsiaTheme="minorEastAsia"/>
          <w:b/>
          <w:bCs/>
          <w:snapToGrid w:val="0"/>
          <w:sz w:val="24"/>
          <w:szCs w:val="24"/>
        </w:rPr>
      </w:pPr>
      <w:r>
        <w:rPr>
          <w:rFonts w:hint="eastAsia" w:asciiTheme="minorEastAsia" w:hAnsiTheme="minorEastAsia" w:eastAsiaTheme="minorEastAsia"/>
          <w:b/>
          <w:bCs/>
          <w:snapToGrid w:val="0"/>
          <w:sz w:val="24"/>
          <w:szCs w:val="24"/>
        </w:rPr>
        <w:t xml:space="preserve">甲 方：宝鸡市中医医院                 乙 方： </w:t>
      </w:r>
    </w:p>
    <w:p w14:paraId="11887487">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Theme="minorEastAsia" w:hAnsiTheme="minorEastAsia" w:eastAsiaTheme="minorEastAsia"/>
          <w:b/>
          <w:bCs/>
          <w:snapToGrid w:val="0"/>
          <w:sz w:val="24"/>
          <w:szCs w:val="24"/>
          <w:lang w:eastAsia="zh-CN"/>
        </w:rPr>
      </w:pPr>
      <w:r>
        <w:rPr>
          <w:rFonts w:hint="eastAsia" w:asciiTheme="minorEastAsia" w:hAnsiTheme="minorEastAsia" w:eastAsiaTheme="minorEastAsia"/>
          <w:b/>
          <w:bCs/>
          <w:snapToGrid w:val="0"/>
          <w:sz w:val="24"/>
          <w:szCs w:val="24"/>
        </w:rPr>
        <w:t>法定代表人：                法定代表人</w:t>
      </w:r>
      <w:r>
        <w:rPr>
          <w:rFonts w:hint="eastAsia" w:asciiTheme="minorEastAsia" w:hAnsiTheme="minorEastAsia" w:eastAsiaTheme="minorEastAsia"/>
          <w:b/>
          <w:bCs/>
          <w:snapToGrid w:val="0"/>
          <w:sz w:val="24"/>
          <w:szCs w:val="24"/>
          <w:lang w:eastAsia="zh-CN"/>
        </w:rPr>
        <w:t>：</w:t>
      </w:r>
    </w:p>
    <w:p w14:paraId="5DC0844B">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Theme="minorEastAsia" w:hAnsiTheme="minorEastAsia" w:eastAsiaTheme="minorEastAsia"/>
          <w:b/>
          <w:bCs/>
          <w:snapToGrid w:val="0"/>
          <w:sz w:val="24"/>
          <w:szCs w:val="24"/>
        </w:rPr>
      </w:pPr>
      <w:r>
        <w:rPr>
          <w:rFonts w:hint="eastAsia" w:asciiTheme="minorEastAsia" w:hAnsiTheme="minorEastAsia" w:eastAsiaTheme="minorEastAsia"/>
          <w:b/>
          <w:bCs/>
          <w:snapToGrid w:val="0"/>
          <w:sz w:val="24"/>
          <w:szCs w:val="24"/>
          <w:lang w:val="en-US" w:eastAsia="zh-CN"/>
        </w:rPr>
        <w:t>授权代表人：</w:t>
      </w:r>
      <w:r>
        <w:rPr>
          <w:rFonts w:hint="eastAsia" w:asciiTheme="minorEastAsia" w:hAnsiTheme="minorEastAsia" w:eastAsiaTheme="minorEastAsia"/>
          <w:b/>
          <w:bCs/>
          <w:snapToGrid w:val="0"/>
          <w:sz w:val="24"/>
          <w:szCs w:val="24"/>
        </w:rPr>
        <w:t xml:space="preserve">                授权代表</w:t>
      </w:r>
      <w:r>
        <w:rPr>
          <w:rFonts w:hint="eastAsia" w:asciiTheme="minorEastAsia" w:hAnsiTheme="minorEastAsia" w:eastAsiaTheme="minorEastAsia"/>
          <w:b/>
          <w:bCs/>
          <w:snapToGrid w:val="0"/>
          <w:sz w:val="24"/>
          <w:szCs w:val="24"/>
          <w:lang w:val="en-US" w:eastAsia="zh-CN"/>
        </w:rPr>
        <w:t>人</w:t>
      </w:r>
      <w:r>
        <w:rPr>
          <w:rFonts w:hint="eastAsia" w:asciiTheme="minorEastAsia" w:hAnsiTheme="minorEastAsia" w:eastAsiaTheme="minorEastAsia"/>
          <w:b/>
          <w:bCs/>
          <w:snapToGrid w:val="0"/>
          <w:sz w:val="24"/>
          <w:szCs w:val="24"/>
        </w:rPr>
        <w:t>：</w:t>
      </w:r>
    </w:p>
    <w:p w14:paraId="6F58B007">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Theme="minorEastAsia" w:hAnsiTheme="minorEastAsia" w:eastAsiaTheme="minorEastAsia"/>
          <w:b/>
          <w:bCs/>
          <w:snapToGrid w:val="0"/>
          <w:sz w:val="24"/>
          <w:szCs w:val="24"/>
        </w:rPr>
      </w:pPr>
      <w:r>
        <w:rPr>
          <w:rFonts w:hint="eastAsia" w:asciiTheme="minorEastAsia" w:hAnsiTheme="minorEastAsia" w:eastAsiaTheme="minorEastAsia"/>
          <w:b/>
          <w:bCs/>
          <w:snapToGrid w:val="0"/>
          <w:sz w:val="24"/>
          <w:szCs w:val="24"/>
        </w:rPr>
        <w:t xml:space="preserve">          </w:t>
      </w:r>
    </w:p>
    <w:p w14:paraId="70BCA4A7">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Theme="minorEastAsia" w:hAnsiTheme="minorEastAsia" w:eastAsiaTheme="minorEastAsia"/>
          <w:b/>
          <w:bCs/>
          <w:snapToGrid w:val="0"/>
          <w:sz w:val="24"/>
          <w:szCs w:val="24"/>
        </w:rPr>
      </w:pPr>
      <w:r>
        <w:rPr>
          <w:rFonts w:hint="eastAsia" w:asciiTheme="minorEastAsia" w:hAnsiTheme="minorEastAsia" w:eastAsiaTheme="minorEastAsia"/>
          <w:b/>
          <w:bCs/>
          <w:snapToGrid w:val="0"/>
          <w:sz w:val="24"/>
          <w:szCs w:val="24"/>
        </w:rPr>
        <w:t xml:space="preserve">签订时间：________年________月________日     </w:t>
      </w:r>
    </w:p>
    <w:p w14:paraId="7D7C1AE2">
      <w:pPr>
        <w:adjustRightInd w:val="0"/>
        <w:snapToGrid w:val="0"/>
        <w:spacing w:line="360" w:lineRule="auto"/>
        <w:rPr>
          <w:rFonts w:hint="eastAsia" w:asciiTheme="minorEastAsia" w:hAnsiTheme="minorEastAsia" w:eastAsiaTheme="minorEastAsia"/>
          <w:snapToGrid w:val="0"/>
          <w:sz w:val="20"/>
          <w:szCs w:val="20"/>
        </w:rPr>
      </w:pPr>
    </w:p>
    <w:p w14:paraId="1434766C">
      <w:pPr>
        <w:adjustRightInd w:val="0"/>
        <w:snapToGrid w:val="0"/>
        <w:spacing w:line="360" w:lineRule="auto"/>
        <w:rPr>
          <w:rFonts w:hint="eastAsia" w:asciiTheme="minorEastAsia" w:hAnsiTheme="minorEastAsia" w:eastAsiaTheme="minorEastAsia"/>
          <w:snapToGrid w:val="0"/>
          <w:sz w:val="20"/>
          <w:szCs w:val="20"/>
        </w:rPr>
      </w:pPr>
    </w:p>
    <w:p w14:paraId="7AEB8E59">
      <w:pPr>
        <w:adjustRightInd w:val="0"/>
        <w:snapToGrid w:val="0"/>
        <w:spacing w:line="360" w:lineRule="auto"/>
        <w:rPr>
          <w:rFonts w:hint="eastAsia" w:asciiTheme="minorEastAsia" w:hAnsiTheme="minorEastAsia" w:eastAsiaTheme="minorEastAsia"/>
          <w:snapToGrid w:val="0"/>
          <w:sz w:val="20"/>
          <w:szCs w:val="20"/>
        </w:rPr>
      </w:pPr>
    </w:p>
    <w:p w14:paraId="38625A78">
      <w:pPr>
        <w:adjustRightInd w:val="0"/>
        <w:snapToGrid w:val="0"/>
        <w:spacing w:line="360" w:lineRule="auto"/>
        <w:rPr>
          <w:rFonts w:hint="eastAsia" w:asciiTheme="minorEastAsia" w:hAnsiTheme="minorEastAsia" w:eastAsiaTheme="minorEastAsia"/>
          <w:snapToGrid w:val="0"/>
          <w:sz w:val="20"/>
          <w:szCs w:val="20"/>
        </w:rPr>
      </w:pPr>
    </w:p>
    <w:p w14:paraId="4062DD76">
      <w:pPr>
        <w:adjustRightInd w:val="0"/>
        <w:snapToGrid w:val="0"/>
        <w:spacing w:line="360" w:lineRule="auto"/>
        <w:rPr>
          <w:rFonts w:hint="eastAsia" w:asciiTheme="minorEastAsia" w:hAnsiTheme="minorEastAsia" w:eastAsiaTheme="minorEastAsia"/>
          <w:snapToGrid w:val="0"/>
          <w:sz w:val="20"/>
          <w:szCs w:val="20"/>
        </w:rPr>
      </w:pPr>
    </w:p>
    <w:p w14:paraId="2749070E">
      <w:pPr>
        <w:adjustRightInd w:val="0"/>
        <w:snapToGrid w:val="0"/>
        <w:spacing w:line="360" w:lineRule="auto"/>
        <w:rPr>
          <w:rFonts w:hint="eastAsia" w:asciiTheme="minorEastAsia" w:hAnsiTheme="minorEastAsia" w:eastAsiaTheme="minorEastAsia"/>
          <w:snapToGrid w:val="0"/>
          <w:sz w:val="20"/>
          <w:szCs w:val="20"/>
        </w:rPr>
      </w:pPr>
    </w:p>
    <w:p w14:paraId="215B7AE2">
      <w:pPr>
        <w:adjustRightInd w:val="0"/>
        <w:snapToGrid w:val="0"/>
        <w:spacing w:line="360" w:lineRule="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 xml:space="preserve">附件1：设备配置清单 </w:t>
      </w:r>
    </w:p>
    <w:p w14:paraId="4806BFCF">
      <w:pPr>
        <w:adjustRightInd w:val="0"/>
        <w:snapToGrid w:val="0"/>
        <w:spacing w:line="360" w:lineRule="auto"/>
        <w:rPr>
          <w:rFonts w:hint="eastAsia" w:asciiTheme="minorEastAsia" w:hAnsiTheme="minorEastAsia" w:eastAsiaTheme="minorEastAsia"/>
          <w:snapToGrid w:val="0"/>
          <w:sz w:val="24"/>
          <w:szCs w:val="24"/>
        </w:rPr>
      </w:pPr>
    </w:p>
    <w:p w14:paraId="15EC819B">
      <w:pPr>
        <w:adjustRightInd w:val="0"/>
        <w:snapToGrid w:val="0"/>
        <w:spacing w:line="360" w:lineRule="auto"/>
        <w:rPr>
          <w:rFonts w:hint="eastAsia" w:asciiTheme="minorEastAsia" w:hAnsiTheme="minorEastAsia" w:eastAsiaTheme="minorEastAsia"/>
          <w:snapToGrid w:val="0"/>
          <w:sz w:val="24"/>
          <w:szCs w:val="24"/>
        </w:rPr>
      </w:pPr>
    </w:p>
    <w:p w14:paraId="69AA3A38">
      <w:pPr>
        <w:adjustRightInd w:val="0"/>
        <w:snapToGrid w:val="0"/>
        <w:spacing w:line="360" w:lineRule="auto"/>
        <w:rPr>
          <w:rFonts w:hint="eastAsia" w:asciiTheme="minorEastAsia" w:hAnsiTheme="minorEastAsia" w:eastAsiaTheme="minorEastAsia"/>
          <w:snapToGrid w:val="0"/>
          <w:sz w:val="24"/>
          <w:szCs w:val="24"/>
        </w:rPr>
      </w:pPr>
    </w:p>
    <w:p w14:paraId="6753F0B2">
      <w:pPr>
        <w:adjustRightInd w:val="0"/>
        <w:snapToGrid w:val="0"/>
        <w:spacing w:line="360" w:lineRule="auto"/>
        <w:rPr>
          <w:rFonts w:hint="eastAsia" w:asciiTheme="minorEastAsia" w:hAnsiTheme="minorEastAsia" w:eastAsiaTheme="minorEastAsia"/>
          <w:snapToGrid w:val="0"/>
          <w:sz w:val="24"/>
          <w:szCs w:val="24"/>
        </w:rPr>
      </w:pPr>
    </w:p>
    <w:p w14:paraId="77653B3F">
      <w:pPr>
        <w:adjustRightInd w:val="0"/>
        <w:snapToGrid w:val="0"/>
        <w:spacing w:line="360" w:lineRule="auto"/>
        <w:rPr>
          <w:rFonts w:hint="eastAsia" w:asciiTheme="minorEastAsia" w:hAnsiTheme="minorEastAsia" w:eastAsiaTheme="minorEastAsia"/>
          <w:snapToGrid w:val="0"/>
          <w:sz w:val="24"/>
          <w:szCs w:val="24"/>
        </w:rPr>
      </w:pPr>
    </w:p>
    <w:p w14:paraId="48378E48">
      <w:pPr>
        <w:adjustRightInd w:val="0"/>
        <w:snapToGrid w:val="0"/>
        <w:spacing w:line="360" w:lineRule="auto"/>
        <w:rPr>
          <w:rFonts w:hint="eastAsia" w:asciiTheme="minorEastAsia" w:hAnsiTheme="minorEastAsia" w:eastAsiaTheme="minorEastAsia"/>
          <w:snapToGrid w:val="0"/>
          <w:sz w:val="24"/>
          <w:szCs w:val="24"/>
        </w:rPr>
      </w:pPr>
    </w:p>
    <w:p w14:paraId="78AD6AD2">
      <w:pPr>
        <w:adjustRightInd w:val="0"/>
        <w:snapToGrid w:val="0"/>
        <w:spacing w:line="360" w:lineRule="auto"/>
        <w:rPr>
          <w:rFonts w:hint="eastAsia" w:asciiTheme="minorEastAsia" w:hAnsiTheme="minorEastAsia" w:eastAsiaTheme="minorEastAsia"/>
          <w:snapToGrid w:val="0"/>
          <w:sz w:val="24"/>
          <w:szCs w:val="24"/>
        </w:rPr>
      </w:pPr>
    </w:p>
    <w:p w14:paraId="098D7FE3">
      <w:pPr>
        <w:adjustRightInd w:val="0"/>
        <w:snapToGrid w:val="0"/>
        <w:spacing w:line="360" w:lineRule="auto"/>
        <w:rPr>
          <w:rFonts w:hint="eastAsia" w:asciiTheme="minorEastAsia" w:hAnsiTheme="minorEastAsia" w:eastAsiaTheme="minorEastAsia"/>
          <w:snapToGrid w:val="0"/>
          <w:sz w:val="24"/>
          <w:szCs w:val="24"/>
        </w:rPr>
      </w:pPr>
    </w:p>
    <w:p w14:paraId="585262B4">
      <w:pPr>
        <w:adjustRightInd w:val="0"/>
        <w:snapToGrid w:val="0"/>
        <w:spacing w:line="360" w:lineRule="auto"/>
        <w:rPr>
          <w:rFonts w:hint="eastAsia" w:asciiTheme="minorEastAsia" w:hAnsiTheme="minorEastAsia" w:eastAsiaTheme="minorEastAsia"/>
          <w:snapToGrid w:val="0"/>
          <w:sz w:val="24"/>
          <w:szCs w:val="24"/>
        </w:rPr>
      </w:pPr>
    </w:p>
    <w:p w14:paraId="45A4A9E2">
      <w:pPr>
        <w:adjustRightInd w:val="0"/>
        <w:snapToGrid w:val="0"/>
        <w:spacing w:line="360" w:lineRule="auto"/>
        <w:rPr>
          <w:rFonts w:hint="eastAsia" w:asciiTheme="minorEastAsia" w:hAnsiTheme="minorEastAsia" w:eastAsiaTheme="minorEastAsia"/>
          <w:snapToGrid w:val="0"/>
          <w:sz w:val="24"/>
          <w:szCs w:val="24"/>
        </w:rPr>
      </w:pPr>
    </w:p>
    <w:p w14:paraId="200EE478">
      <w:pPr>
        <w:adjustRightInd w:val="0"/>
        <w:snapToGrid w:val="0"/>
        <w:spacing w:line="360" w:lineRule="auto"/>
        <w:rPr>
          <w:rFonts w:hint="eastAsia" w:asciiTheme="minorEastAsia" w:hAnsiTheme="minorEastAsia" w:eastAsiaTheme="minorEastAsia"/>
          <w:snapToGrid w:val="0"/>
          <w:sz w:val="24"/>
          <w:szCs w:val="24"/>
        </w:rPr>
      </w:pPr>
    </w:p>
    <w:p w14:paraId="275CB6BE">
      <w:pPr>
        <w:adjustRightInd w:val="0"/>
        <w:snapToGrid w:val="0"/>
        <w:spacing w:line="360" w:lineRule="auto"/>
        <w:rPr>
          <w:rFonts w:hint="eastAsia" w:asciiTheme="minorEastAsia" w:hAnsiTheme="minorEastAsia" w:eastAsiaTheme="minorEastAsia"/>
          <w:snapToGrid w:val="0"/>
          <w:sz w:val="24"/>
          <w:szCs w:val="24"/>
        </w:rPr>
      </w:pPr>
    </w:p>
    <w:p w14:paraId="5C245591">
      <w:pPr>
        <w:adjustRightInd w:val="0"/>
        <w:snapToGrid w:val="0"/>
        <w:spacing w:line="360" w:lineRule="auto"/>
        <w:rPr>
          <w:rFonts w:hint="eastAsia" w:asciiTheme="minorEastAsia" w:hAnsiTheme="minorEastAsia" w:eastAsiaTheme="minorEastAsia"/>
          <w:snapToGrid w:val="0"/>
          <w:sz w:val="24"/>
          <w:szCs w:val="24"/>
        </w:rPr>
      </w:pPr>
    </w:p>
    <w:p w14:paraId="21C7C166">
      <w:pPr>
        <w:adjustRightInd w:val="0"/>
        <w:snapToGrid w:val="0"/>
        <w:spacing w:line="360" w:lineRule="auto"/>
        <w:rPr>
          <w:rFonts w:hint="eastAsia" w:asciiTheme="minorEastAsia" w:hAnsiTheme="minorEastAsia" w:eastAsiaTheme="minorEastAsia"/>
          <w:snapToGrid w:val="0"/>
          <w:sz w:val="24"/>
          <w:szCs w:val="24"/>
        </w:rPr>
      </w:pPr>
    </w:p>
    <w:p w14:paraId="7D858212">
      <w:pPr>
        <w:adjustRightInd w:val="0"/>
        <w:snapToGrid w:val="0"/>
        <w:spacing w:line="360" w:lineRule="auto"/>
        <w:rPr>
          <w:rFonts w:hint="eastAsia" w:asciiTheme="minorEastAsia" w:hAnsiTheme="minorEastAsia" w:eastAsiaTheme="minorEastAsia"/>
          <w:snapToGrid w:val="0"/>
          <w:sz w:val="24"/>
          <w:szCs w:val="24"/>
        </w:rPr>
      </w:pPr>
    </w:p>
    <w:p w14:paraId="146B0843">
      <w:pPr>
        <w:adjustRightInd w:val="0"/>
        <w:snapToGrid w:val="0"/>
        <w:spacing w:line="360" w:lineRule="auto"/>
        <w:rPr>
          <w:rFonts w:hint="eastAsia" w:asciiTheme="minorEastAsia" w:hAnsiTheme="minorEastAsia" w:eastAsiaTheme="minorEastAsia"/>
          <w:snapToGrid w:val="0"/>
          <w:sz w:val="24"/>
          <w:szCs w:val="24"/>
        </w:rPr>
      </w:pPr>
    </w:p>
    <w:p w14:paraId="525127E3">
      <w:pPr>
        <w:adjustRightInd w:val="0"/>
        <w:snapToGrid w:val="0"/>
        <w:spacing w:line="360" w:lineRule="auto"/>
        <w:rPr>
          <w:rFonts w:hint="eastAsia" w:asciiTheme="minorEastAsia" w:hAnsiTheme="minorEastAsia" w:eastAsiaTheme="minorEastAsia"/>
          <w:snapToGrid w:val="0"/>
          <w:sz w:val="24"/>
          <w:szCs w:val="24"/>
        </w:rPr>
      </w:pPr>
    </w:p>
    <w:p w14:paraId="24F9E8C1">
      <w:pPr>
        <w:adjustRightInd w:val="0"/>
        <w:snapToGrid w:val="0"/>
        <w:spacing w:line="360" w:lineRule="auto"/>
        <w:rPr>
          <w:rFonts w:hint="eastAsia" w:asciiTheme="minorEastAsia" w:hAnsiTheme="minorEastAsia" w:eastAsiaTheme="minorEastAsia"/>
          <w:snapToGrid w:val="0"/>
          <w:sz w:val="24"/>
          <w:szCs w:val="24"/>
        </w:rPr>
      </w:pPr>
    </w:p>
    <w:p w14:paraId="0AE7284E">
      <w:pPr>
        <w:adjustRightInd w:val="0"/>
        <w:snapToGrid w:val="0"/>
        <w:spacing w:line="360" w:lineRule="auto"/>
        <w:rPr>
          <w:rFonts w:hint="eastAsia" w:asciiTheme="minorEastAsia" w:hAnsiTheme="minorEastAsia" w:eastAsiaTheme="minorEastAsia"/>
          <w:snapToGrid w:val="0"/>
          <w:sz w:val="24"/>
          <w:szCs w:val="24"/>
        </w:rPr>
      </w:pPr>
    </w:p>
    <w:p w14:paraId="207522F5">
      <w:pPr>
        <w:adjustRightInd w:val="0"/>
        <w:snapToGrid w:val="0"/>
        <w:spacing w:line="360" w:lineRule="auto"/>
        <w:rPr>
          <w:rFonts w:hint="eastAsia" w:asciiTheme="minorEastAsia" w:hAnsiTheme="minorEastAsia" w:eastAsiaTheme="minorEastAsia"/>
          <w:snapToGrid w:val="0"/>
          <w:sz w:val="24"/>
          <w:szCs w:val="24"/>
        </w:rPr>
      </w:pPr>
    </w:p>
    <w:p w14:paraId="67D127FC">
      <w:pPr>
        <w:adjustRightInd w:val="0"/>
        <w:snapToGrid w:val="0"/>
        <w:spacing w:line="360" w:lineRule="auto"/>
        <w:rPr>
          <w:rFonts w:hint="eastAsia" w:asciiTheme="minorEastAsia" w:hAnsiTheme="minorEastAsia" w:eastAsiaTheme="minorEastAsia"/>
          <w:snapToGrid w:val="0"/>
          <w:sz w:val="24"/>
          <w:szCs w:val="24"/>
        </w:rPr>
      </w:pPr>
    </w:p>
    <w:p w14:paraId="66562C73">
      <w:pPr>
        <w:adjustRightInd w:val="0"/>
        <w:snapToGrid w:val="0"/>
        <w:spacing w:line="360" w:lineRule="auto"/>
        <w:rPr>
          <w:rFonts w:hint="eastAsia" w:asciiTheme="minorEastAsia" w:hAnsiTheme="minorEastAsia" w:eastAsiaTheme="minorEastAsia"/>
          <w:snapToGrid w:val="0"/>
          <w:sz w:val="24"/>
          <w:szCs w:val="24"/>
        </w:rPr>
      </w:pPr>
    </w:p>
    <w:p w14:paraId="54CE3663">
      <w:pPr>
        <w:adjustRightInd w:val="0"/>
        <w:snapToGrid w:val="0"/>
        <w:spacing w:line="360" w:lineRule="auto"/>
        <w:rPr>
          <w:rFonts w:hint="eastAsia" w:asciiTheme="minorEastAsia" w:hAnsiTheme="minorEastAsia" w:eastAsiaTheme="minorEastAsia"/>
          <w:snapToGrid w:val="0"/>
          <w:sz w:val="24"/>
          <w:szCs w:val="24"/>
        </w:rPr>
      </w:pPr>
    </w:p>
    <w:p w14:paraId="602898FD">
      <w:pPr>
        <w:adjustRightInd w:val="0"/>
        <w:snapToGrid w:val="0"/>
        <w:spacing w:line="360" w:lineRule="auto"/>
        <w:rPr>
          <w:rFonts w:hint="eastAsia" w:asciiTheme="minorEastAsia" w:hAnsiTheme="minorEastAsia" w:eastAsiaTheme="minorEastAsia"/>
          <w:snapToGrid w:val="0"/>
          <w:sz w:val="24"/>
          <w:szCs w:val="24"/>
        </w:rPr>
      </w:pPr>
    </w:p>
    <w:p w14:paraId="2D284B51">
      <w:pPr>
        <w:adjustRightInd w:val="0"/>
        <w:snapToGrid w:val="0"/>
        <w:spacing w:line="360" w:lineRule="auto"/>
        <w:rPr>
          <w:rFonts w:hint="eastAsia" w:asciiTheme="minorEastAsia" w:hAnsiTheme="minorEastAsia" w:eastAsiaTheme="minorEastAsia"/>
          <w:snapToGrid w:val="0"/>
          <w:sz w:val="24"/>
          <w:szCs w:val="24"/>
        </w:rPr>
      </w:pPr>
    </w:p>
    <w:p w14:paraId="11523BB0">
      <w:pPr>
        <w:adjustRightInd w:val="0"/>
        <w:snapToGrid w:val="0"/>
        <w:spacing w:line="360" w:lineRule="auto"/>
        <w:rPr>
          <w:rFonts w:hint="eastAsia" w:asciiTheme="minorEastAsia" w:hAnsiTheme="minorEastAsia" w:eastAsiaTheme="minorEastAsia"/>
          <w:snapToGrid w:val="0"/>
          <w:sz w:val="24"/>
          <w:szCs w:val="24"/>
        </w:rPr>
      </w:pPr>
    </w:p>
    <w:p w14:paraId="422EAC83">
      <w:pPr>
        <w:adjustRightInd w:val="0"/>
        <w:snapToGrid w:val="0"/>
        <w:spacing w:line="360" w:lineRule="auto"/>
        <w:rPr>
          <w:rFonts w:hint="eastAsia" w:asciiTheme="minorEastAsia" w:hAnsiTheme="minorEastAsia" w:eastAsiaTheme="minorEastAsia"/>
          <w:snapToGrid w:val="0"/>
          <w:sz w:val="24"/>
          <w:szCs w:val="24"/>
        </w:rPr>
      </w:pPr>
    </w:p>
    <w:p w14:paraId="44E7914D">
      <w:pPr>
        <w:adjustRightInd w:val="0"/>
        <w:snapToGrid w:val="0"/>
        <w:spacing w:line="360" w:lineRule="auto"/>
        <w:rPr>
          <w:rFonts w:hint="eastAsia" w:asciiTheme="minorEastAsia" w:hAnsiTheme="minorEastAsia" w:eastAsiaTheme="minorEastAsia"/>
          <w:snapToGrid w:val="0"/>
          <w:sz w:val="24"/>
          <w:szCs w:val="24"/>
        </w:rPr>
      </w:pPr>
    </w:p>
    <w:p w14:paraId="222A6DBD">
      <w:pPr>
        <w:adjustRightInd w:val="0"/>
        <w:snapToGrid w:val="0"/>
        <w:spacing w:line="360" w:lineRule="auto"/>
        <w:rPr>
          <w:rFonts w:hint="eastAsia" w:asciiTheme="minorEastAsia" w:hAnsiTheme="minorEastAsia" w:eastAsiaTheme="minorEastAsia"/>
          <w:snapToGrid w:val="0"/>
          <w:sz w:val="24"/>
          <w:szCs w:val="24"/>
        </w:rPr>
      </w:pPr>
    </w:p>
    <w:p w14:paraId="3E26D85E">
      <w:pPr>
        <w:adjustRightInd w:val="0"/>
        <w:snapToGrid w:val="0"/>
        <w:spacing w:line="360" w:lineRule="auto"/>
        <w:rPr>
          <w:rFonts w:hint="eastAsia"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附件2：设备专用耗材及配件价格</w:t>
      </w:r>
    </w:p>
    <w:p w14:paraId="4E02D19C">
      <w:pPr>
        <w:adjustRightInd w:val="0"/>
        <w:snapToGrid w:val="0"/>
        <w:spacing w:line="360" w:lineRule="auto"/>
        <w:rPr>
          <w:rFonts w:hint="eastAsia" w:asciiTheme="minorEastAsia" w:hAnsiTheme="minorEastAsia" w:eastAsiaTheme="minorEastAsia"/>
          <w:snapToGrid w:val="0"/>
          <w:sz w:val="20"/>
          <w:szCs w:val="20"/>
        </w:rPr>
      </w:pPr>
    </w:p>
    <w:p w14:paraId="5C805D6B">
      <w:pPr>
        <w:adjustRightInd w:val="0"/>
        <w:snapToGrid w:val="0"/>
        <w:spacing w:line="360" w:lineRule="auto"/>
        <w:rPr>
          <w:rFonts w:hint="eastAsia" w:asciiTheme="minorEastAsia" w:hAnsiTheme="minorEastAsia" w:eastAsiaTheme="minorEastAsia"/>
          <w:snapToGrid w:val="0"/>
          <w:sz w:val="20"/>
          <w:szCs w:val="20"/>
        </w:rPr>
      </w:pPr>
    </w:p>
    <w:p w14:paraId="6347CDE5">
      <w:pPr>
        <w:adjustRightInd w:val="0"/>
        <w:snapToGrid w:val="0"/>
        <w:spacing w:line="360" w:lineRule="auto"/>
        <w:rPr>
          <w:rFonts w:hint="eastAsia" w:asciiTheme="minorEastAsia" w:hAnsiTheme="minorEastAsia" w:eastAsiaTheme="minorEastAsia"/>
          <w:snapToGrid w:val="0"/>
          <w:sz w:val="20"/>
          <w:szCs w:val="20"/>
        </w:rPr>
      </w:pPr>
    </w:p>
    <w:p w14:paraId="7FCDB0A2">
      <w:pPr>
        <w:adjustRightInd w:val="0"/>
        <w:snapToGrid w:val="0"/>
        <w:spacing w:line="360" w:lineRule="auto"/>
        <w:rPr>
          <w:rFonts w:hint="eastAsia" w:asciiTheme="minorEastAsia" w:hAnsiTheme="minorEastAsia" w:eastAsiaTheme="minorEastAsia"/>
          <w:snapToGrid w:val="0"/>
          <w:sz w:val="20"/>
          <w:szCs w:val="20"/>
        </w:rPr>
      </w:pPr>
    </w:p>
    <w:p w14:paraId="04519DA2">
      <w:pPr>
        <w:adjustRightInd w:val="0"/>
        <w:snapToGrid w:val="0"/>
        <w:spacing w:line="360" w:lineRule="auto"/>
        <w:rPr>
          <w:rFonts w:hint="eastAsia" w:asciiTheme="minorEastAsia" w:hAnsiTheme="minorEastAsia" w:eastAsiaTheme="minorEastAsia"/>
          <w:snapToGrid w:val="0"/>
          <w:sz w:val="20"/>
          <w:szCs w:val="20"/>
        </w:rPr>
      </w:pPr>
    </w:p>
    <w:p w14:paraId="4B2E5160">
      <w:pPr>
        <w:adjustRightInd w:val="0"/>
        <w:snapToGrid w:val="0"/>
        <w:spacing w:line="360" w:lineRule="auto"/>
        <w:rPr>
          <w:rFonts w:hint="eastAsia" w:asciiTheme="minorEastAsia" w:hAnsiTheme="minorEastAsia" w:eastAsiaTheme="minorEastAsia"/>
          <w:snapToGrid w:val="0"/>
          <w:sz w:val="20"/>
          <w:szCs w:val="20"/>
        </w:rPr>
      </w:pPr>
    </w:p>
    <w:p w14:paraId="765ECB54">
      <w:pPr>
        <w:adjustRightInd w:val="0"/>
        <w:snapToGrid w:val="0"/>
        <w:spacing w:line="360" w:lineRule="auto"/>
        <w:rPr>
          <w:rFonts w:hint="eastAsia" w:asciiTheme="minorEastAsia" w:hAnsiTheme="minorEastAsia" w:eastAsiaTheme="minorEastAsia"/>
          <w:snapToGrid w:val="0"/>
          <w:sz w:val="20"/>
          <w:szCs w:val="20"/>
        </w:rPr>
      </w:pPr>
      <w:r>
        <w:rPr>
          <w:rFonts w:hint="eastAsia" w:asciiTheme="minorEastAsia" w:hAnsiTheme="minorEastAsia" w:eastAsiaTheme="minorEastAsia"/>
          <w:snapToGrid w:val="0"/>
          <w:sz w:val="20"/>
          <w:szCs w:val="20"/>
        </w:rPr>
        <w:t xml:space="preserve"> </w:t>
      </w:r>
    </w:p>
    <w:p w14:paraId="34DC613B">
      <w:pPr>
        <w:adjustRightInd w:val="0"/>
        <w:snapToGrid w:val="0"/>
        <w:spacing w:line="360" w:lineRule="auto"/>
        <w:rPr>
          <w:rFonts w:asciiTheme="minorEastAsia" w:hAnsiTheme="minorEastAsia" w:eastAsiaTheme="minorEastAsia"/>
          <w:snapToGrid w:val="0"/>
          <w:sz w:val="20"/>
          <w:szCs w:val="20"/>
        </w:rPr>
      </w:pPr>
    </w:p>
    <w:p w14:paraId="5F9187CD">
      <w:pPr>
        <w:pStyle w:val="9"/>
        <w:rPr>
          <w:rFonts w:hint="eastAsia"/>
          <w:lang w:val="en-US" w:eastAsia="zh-Hans"/>
        </w:rPr>
      </w:pPr>
    </w:p>
    <w:p w14:paraId="747EF1FD">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B73029"/>
    <w:multiLevelType w:val="singleLevel"/>
    <w:tmpl w:val="ABB73029"/>
    <w:lvl w:ilvl="0" w:tentative="0">
      <w:start w:val="1"/>
      <w:numFmt w:val="decimal"/>
      <w:suff w:val="nothing"/>
      <w:lvlText w:val="%1．"/>
      <w:lvlJc w:val="left"/>
      <w:pPr>
        <w:ind w:left="0" w:firstLine="400"/>
      </w:pPr>
      <w:rPr>
        <w:rFonts w:hint="default"/>
      </w:rPr>
    </w:lvl>
  </w:abstractNum>
  <w:abstractNum w:abstractNumId="1">
    <w:nsid w:val="C74E34FB"/>
    <w:multiLevelType w:val="singleLevel"/>
    <w:tmpl w:val="C74E34FB"/>
    <w:lvl w:ilvl="0" w:tentative="0">
      <w:start w:val="1"/>
      <w:numFmt w:val="decimal"/>
      <w:suff w:val="nothing"/>
      <w:lvlText w:val="%1．"/>
      <w:lvlJc w:val="left"/>
      <w:pPr>
        <w:ind w:left="0" w:firstLine="400"/>
      </w:pPr>
      <w:rPr>
        <w:rFonts w:hint="default"/>
      </w:rPr>
    </w:lvl>
  </w:abstractNum>
  <w:abstractNum w:abstractNumId="2">
    <w:nsid w:val="C971E2C7"/>
    <w:multiLevelType w:val="singleLevel"/>
    <w:tmpl w:val="C971E2C7"/>
    <w:lvl w:ilvl="0" w:tentative="0">
      <w:start w:val="1"/>
      <w:numFmt w:val="decimal"/>
      <w:suff w:val="nothing"/>
      <w:lvlText w:val="%1．"/>
      <w:lvlJc w:val="left"/>
      <w:pPr>
        <w:ind w:left="0" w:firstLine="400"/>
      </w:pPr>
      <w:rPr>
        <w:rFonts w:hint="default"/>
      </w:rPr>
    </w:lvl>
  </w:abstractNum>
  <w:abstractNum w:abstractNumId="3">
    <w:nsid w:val="0ABF3437"/>
    <w:multiLevelType w:val="singleLevel"/>
    <w:tmpl w:val="0ABF3437"/>
    <w:lvl w:ilvl="0" w:tentative="0">
      <w:start w:val="1"/>
      <w:numFmt w:val="decimal"/>
      <w:suff w:val="nothing"/>
      <w:lvlText w:val="%1．"/>
      <w:lvlJc w:val="left"/>
      <w:pPr>
        <w:ind w:left="0" w:firstLine="400"/>
      </w:pPr>
      <w:rPr>
        <w:rFonts w:hint="default"/>
      </w:rPr>
    </w:lvl>
  </w:abstractNum>
  <w:abstractNum w:abstractNumId="4">
    <w:nsid w:val="2DD87405"/>
    <w:multiLevelType w:val="singleLevel"/>
    <w:tmpl w:val="2DD87405"/>
    <w:lvl w:ilvl="0" w:tentative="0">
      <w:start w:val="1"/>
      <w:numFmt w:val="decimal"/>
      <w:suff w:val="nothing"/>
      <w:lvlText w:val="%1．"/>
      <w:lvlJc w:val="left"/>
      <w:pPr>
        <w:ind w:left="0" w:firstLine="400"/>
      </w:pPr>
      <w:rPr>
        <w:rFonts w:hint="default"/>
      </w:rPr>
    </w:lvl>
  </w:abstractNum>
  <w:abstractNum w:abstractNumId="5">
    <w:nsid w:val="46557798"/>
    <w:multiLevelType w:val="singleLevel"/>
    <w:tmpl w:val="46557798"/>
    <w:lvl w:ilvl="0" w:tentative="0">
      <w:start w:val="1"/>
      <w:numFmt w:val="decimal"/>
      <w:suff w:val="nothing"/>
      <w:lvlText w:val="%1．"/>
      <w:lvlJc w:val="left"/>
      <w:pPr>
        <w:ind w:left="0" w:firstLine="400"/>
      </w:pPr>
      <w:rPr>
        <w:rFonts w:hint="default"/>
      </w:rPr>
    </w:lvl>
  </w:abstractNum>
  <w:abstractNum w:abstractNumId="6">
    <w:nsid w:val="62D5CB84"/>
    <w:multiLevelType w:val="singleLevel"/>
    <w:tmpl w:val="62D5CB84"/>
    <w:lvl w:ilvl="0" w:tentative="0">
      <w:start w:val="1"/>
      <w:numFmt w:val="decimal"/>
      <w:suff w:val="nothing"/>
      <w:lvlText w:val="%1．"/>
      <w:lvlJc w:val="left"/>
      <w:pPr>
        <w:ind w:left="0" w:firstLine="400"/>
      </w:pPr>
      <w:rPr>
        <w:rFonts w:hint="default"/>
      </w:rPr>
    </w:lvl>
  </w:abstractNum>
  <w:abstractNum w:abstractNumId="7">
    <w:nsid w:val="6B9AC774"/>
    <w:multiLevelType w:val="singleLevel"/>
    <w:tmpl w:val="6B9AC774"/>
    <w:lvl w:ilvl="0" w:tentative="0">
      <w:start w:val="1"/>
      <w:numFmt w:val="decimal"/>
      <w:suff w:val="nothing"/>
      <w:lvlText w:val="%1．"/>
      <w:lvlJc w:val="left"/>
      <w:pPr>
        <w:ind w:left="0" w:firstLine="400"/>
      </w:pPr>
      <w:rPr>
        <w:rFonts w:hint="default"/>
      </w:rPr>
    </w:lvl>
  </w:abstractNum>
  <w:num w:numId="1">
    <w:abstractNumId w:val="7"/>
  </w:num>
  <w:num w:numId="2">
    <w:abstractNumId w:val="2"/>
  </w:num>
  <w:num w:numId="3">
    <w:abstractNumId w:val="5"/>
  </w:num>
  <w:num w:numId="4">
    <w:abstractNumId w:val="6"/>
  </w:num>
  <w:num w:numId="5">
    <w:abstractNumId w:val="0"/>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7A5CD7"/>
    <w:rsid w:val="20E34258"/>
    <w:rsid w:val="27061E94"/>
    <w:rsid w:val="4DCC40AD"/>
    <w:rsid w:val="50937738"/>
    <w:rsid w:val="6C3F087D"/>
    <w:rsid w:val="709943CD"/>
    <w:rsid w:val="7AC97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unhideWhenUsed/>
    <w:qFormat/>
    <w:uiPriority w:val="99"/>
    <w:pPr>
      <w:tabs>
        <w:tab w:val="center" w:pos="4153"/>
        <w:tab w:val="right" w:pos="8306"/>
      </w:tabs>
      <w:snapToGrid w:val="0"/>
      <w:spacing w:line="240" w:lineRule="atLeast"/>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
    <w:name w:val="Normal_38"/>
    <w:autoRedefine/>
    <w:qFormat/>
    <w:uiPriority w:val="0"/>
    <w:pPr>
      <w:spacing w:before="120" w:after="240"/>
      <w:jc w:val="both"/>
    </w:pPr>
    <w:rPr>
      <w:rFonts w:ascii="Calibri" w:hAnsi="Calibri" w:eastAsia="Calibri" w:cs="Times New Roman"/>
      <w:sz w:val="22"/>
      <w:szCs w:val="22"/>
      <w:lang w:val="ru-RU" w:eastAsia="en-US"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3228</Words>
  <Characters>3288</Characters>
  <Lines>0</Lines>
  <Paragraphs>0</Paragraphs>
  <TotalTime>0</TotalTime>
  <ScaleCrop>false</ScaleCrop>
  <LinksUpToDate>false</LinksUpToDate>
  <CharactersWithSpaces>3689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2026-06-15T00:41:00Z</dcterms:created>
  <dc:creator>Administrator</dc:creator>
  <cp:lastModifiedBy>L</cp:lastModifiedBy>
  <dcterms:modified xsi:type="dcterms:W3CDTF">2026-08-10T08:02:09Z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eyJoZGlkIjoiMmNiODI4YTExOGQ3MDMxNzk5NDU0OWRlODMyNGE3ZDIiLCJ1c2VySWQiOiI0NDIwOTI0MjIifQ==</vt:lpwstr>
  </property>
  <property fmtid="{D5CDD505-2E9C-101B-9397-08002B2CF9AE}" pid="4" name="ICV">
    <vt:lpwstr>A5A02C1C7AAD4BFC85D05F5D8EA59C3D_12</vt:lpwstr>
  </property>
</Properties>
</file>