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版本号：SYCG-CS-2602220260628001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东郊中学教学设施设备采购项目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SYCG-CS-26022</w:t>
      </w:r>
      <w:r>
        <w:br/>
      </w:r>
      <w:r>
        <w:br/>
      </w:r>
      <w:r>
        <w:br/>
      </w:r>
    </w:p>
    <w:p>
      <w:pPr>
        <w:pStyle w:val="null3"/>
        <w:jc w:val="center"/>
        <w:outlineLvl w:val="2"/>
      </w:pPr>
      <w:r>
        <w:rPr>
          <w:rFonts w:ascii="仿宋_GB2312" w:hAnsi="仿宋_GB2312" w:cs="仿宋_GB2312" w:eastAsia="仿宋_GB2312"/>
          <w:sz w:val="28"/>
          <w:b/>
        </w:rPr>
        <w:t>三原县东郊中学</w:t>
      </w:r>
    </w:p>
    <w:p>
      <w:pPr>
        <w:pStyle w:val="null3"/>
        <w:jc w:val="center"/>
        <w:outlineLvl w:val="2"/>
      </w:pPr>
      <w:r>
        <w:rPr>
          <w:rFonts w:ascii="仿宋_GB2312" w:hAnsi="仿宋_GB2312" w:cs="仿宋_GB2312" w:eastAsia="仿宋_GB2312"/>
          <w:sz w:val="28"/>
          <w:b/>
        </w:rPr>
        <w:t>三原县政府采购中心</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2026年06月28日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三原县政府采购中心</w:t>
      </w:r>
      <w:r>
        <w:rPr>
          <w:rFonts w:ascii="仿宋_GB2312" w:hAnsi="仿宋_GB2312" w:cs="仿宋_GB2312" w:eastAsia="仿宋_GB2312"/>
        </w:rPr>
        <w:t>（以下简称“代理机构”）受</w:t>
      </w:r>
      <w:r>
        <w:rPr>
          <w:rFonts w:ascii="仿宋_GB2312" w:hAnsi="仿宋_GB2312" w:cs="仿宋_GB2312" w:eastAsia="仿宋_GB2312"/>
        </w:rPr>
        <w:t>三原县东郊中学</w:t>
      </w:r>
      <w:r>
        <w:rPr>
          <w:rFonts w:ascii="仿宋_GB2312" w:hAnsi="仿宋_GB2312" w:cs="仿宋_GB2312" w:eastAsia="仿宋_GB2312"/>
        </w:rPr>
        <w:t>委托，拟对</w:t>
      </w:r>
      <w:r>
        <w:rPr>
          <w:rFonts w:ascii="仿宋_GB2312" w:hAnsi="仿宋_GB2312" w:cs="仿宋_GB2312" w:eastAsia="仿宋_GB2312"/>
        </w:rPr>
        <w:t>东郊中学教学设施设备采购项目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SYCG-CS-26022</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东郊中学教学设施设备采购项目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为进一步改善我校师生的学习环境，保障师生的身体健康与学习效率。</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采购包1（三原县东郊中学教学设施设备采购项目）：属于专门面向中小企业采购。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1、营业执照及主体资格：提供法定代表人授权委托书及委托代理人有效身份证原件，法定代表人直接参加开标会议，需提供法定代表人身份证明及其有效的身份证原件；</w:t>
      </w:r>
    </w:p>
    <w:p>
      <w:pPr>
        <w:pStyle w:val="null3"/>
      </w:pPr>
      <w:r>
        <w:rPr>
          <w:rFonts w:ascii="仿宋_GB2312" w:hAnsi="仿宋_GB2312" w:cs="仿宋_GB2312" w:eastAsia="仿宋_GB2312"/>
        </w:rPr>
        <w:t>2、财务状况报告：提供2024年度或2025年度经审计的财务报告（包括“四表一注”，即资产负债表、利润表、现金流量表、所有者权益变动表及其附注，成立时间至提交投标文件截止时间不足一年的可提供成立后任意时段的资产负债表），或其开标前六个月内银行出具的资信证明。（以上两种形式的资料提供任何一种即可）</w:t>
      </w:r>
    </w:p>
    <w:p>
      <w:pPr>
        <w:pStyle w:val="null3"/>
      </w:pPr>
      <w:r>
        <w:rPr>
          <w:rFonts w:ascii="仿宋_GB2312" w:hAnsi="仿宋_GB2312" w:cs="仿宋_GB2312" w:eastAsia="仿宋_GB2312"/>
        </w:rPr>
        <w:t>3、税收缴纳证明：提供开标截止时间前6个月内任意已缴纳1个月的纳税证明或完税证明（时间以税款所属日期为准、税种须包含增值税或企业所得税），依法免税的单位应提供相关证明材料。</w:t>
      </w:r>
    </w:p>
    <w:p>
      <w:pPr>
        <w:pStyle w:val="null3"/>
      </w:pPr>
      <w:r>
        <w:rPr>
          <w:rFonts w:ascii="仿宋_GB2312" w:hAnsi="仿宋_GB2312" w:cs="仿宋_GB2312" w:eastAsia="仿宋_GB2312"/>
        </w:rPr>
        <w:t>4、社会保障资金缴纳证明：提供开标截止时间前6个月内任意已缴纳1个月的社会保障资金缴存单据或社保机构开具的社会保险参保缴费情况证明，依法不需要缴纳社会保障资金的单位应提供相关证明材料。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信用：供应商不得为“信用中国”网站（www.creditchina.gov.cn）中被列入“重大税收违法失信主体”的供应商,不得为“中国执行信息公开网”网站（zxgk.court.gov.cn/））中被列入“失信被执行人”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6、声明：提供具有履行本合同所必需的设备和专业技术能力的声明</w:t>
      </w:r>
    </w:p>
    <w:p>
      <w:pPr>
        <w:pStyle w:val="null3"/>
      </w:pPr>
      <w:r>
        <w:rPr>
          <w:rFonts w:ascii="仿宋_GB2312" w:hAnsi="仿宋_GB2312" w:cs="仿宋_GB2312" w:eastAsia="仿宋_GB2312"/>
        </w:rPr>
        <w:t>7、重大违法声明：供应商参加采购活动近3年内经营活动中没有重大违法记录声明，以及未被列入失信被执行人、重大税收违法案件当事人名单、政府采购严重违法失信行为记录名单的书面声明；</w:t>
      </w:r>
    </w:p>
    <w:p>
      <w:pPr>
        <w:pStyle w:val="null3"/>
      </w:pPr>
      <w:r>
        <w:rPr>
          <w:rFonts w:ascii="仿宋_GB2312" w:hAnsi="仿宋_GB2312" w:cs="仿宋_GB2312" w:eastAsia="仿宋_GB2312"/>
        </w:rPr>
        <w:t>8、非联合体：供应商负责人不得为同一人或者存在控股、管理关系</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 xml:space="preserve"> 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三原县东郊中学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三原县城关街道东三路北段</w:t>
      </w:r>
    </w:p>
    <w:p>
      <w:pPr>
        <w:pStyle w:val="null3"/>
      </w:pPr>
      <w:r>
        <w:rPr>
          <w:rFonts w:ascii="仿宋_GB2312" w:hAnsi="仿宋_GB2312" w:cs="仿宋_GB2312" w:eastAsia="仿宋_GB2312"/>
        </w:rPr>
        <w:t xml:space="preserve"> 邮编： </w:t>
      </w:r>
      <w:r>
        <w:rPr>
          <w:rFonts w:ascii="仿宋_GB2312" w:hAnsi="仿宋_GB2312" w:cs="仿宋_GB2312" w:eastAsia="仿宋_GB2312"/>
        </w:rPr>
        <w:t>713800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三原县东郊中学经办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13892003393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三原县政府采购中心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三原县政府街7号三原县财政局</w:t>
      </w:r>
    </w:p>
    <w:p>
      <w:pPr>
        <w:pStyle w:val="null3"/>
      </w:pPr>
      <w:r>
        <w:rPr>
          <w:rFonts w:ascii="仿宋_GB2312" w:hAnsi="仿宋_GB2312" w:cs="仿宋_GB2312" w:eastAsia="仿宋_GB2312"/>
        </w:rPr>
        <w:t xml:space="preserve"> 邮编： </w:t>
      </w:r>
      <w:r>
        <w:rPr>
          <w:rFonts w:ascii="仿宋_GB2312" w:hAnsi="仿宋_GB2312" w:cs="仿宋_GB2312" w:eastAsia="仿宋_GB2312"/>
        </w:rPr>
        <w:t>713800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029-32269233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三原县政府采购管理股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席先生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029-32268653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采购包1：1,915,000.00元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所有木质家具</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w:t>
            </w:r>
          </w:p>
          <w:p>
            <w:pPr>
              <w:pStyle w:val="null3"/>
            </w:pPr>
            <w:r>
              <w:rPr>
                <w:rFonts w:ascii="仿宋_GB2312" w:hAnsi="仿宋_GB2312" w:cs="仿宋_GB2312" w:eastAsia="仿宋_GB2312"/>
              </w:rPr>
              <w:t xml:space="preserve">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本项目不收取代理服务费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三原县东郊中学</w:t>
      </w:r>
      <w:r>
        <w:rPr>
          <w:rFonts w:ascii="仿宋_GB2312" w:hAnsi="仿宋_GB2312" w:cs="仿宋_GB2312" w:eastAsia="仿宋_GB2312"/>
        </w:rPr>
        <w:t>和</w:t>
      </w:r>
      <w:r>
        <w:rPr>
          <w:rFonts w:ascii="仿宋_GB2312" w:hAnsi="仿宋_GB2312" w:cs="仿宋_GB2312" w:eastAsia="仿宋_GB2312"/>
        </w:rPr>
        <w:t>三原县政府采购中心</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三原县东郊中学</w:t>
      </w:r>
      <w:r>
        <w:rPr>
          <w:rFonts w:ascii="仿宋_GB2312" w:hAnsi="仿宋_GB2312" w:cs="仿宋_GB2312" w:eastAsia="仿宋_GB2312"/>
        </w:rPr>
        <w:t>负责解释。除上述磋商文件内容，其他内容由</w:t>
      </w:r>
      <w:r>
        <w:rPr>
          <w:rFonts w:ascii="仿宋_GB2312" w:hAnsi="仿宋_GB2312" w:cs="仿宋_GB2312" w:eastAsia="仿宋_GB2312"/>
        </w:rPr>
        <w:t>三原县政府采购中心</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三原县东郊中学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三原县政府采购中心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2.3.2磋商文件的澄清和修改</w:t>
      </w:r>
    </w:p>
    <w:p>
      <w:pPr>
        <w:pStyle w:val="null3"/>
        <w:ind w:firstLine="480"/>
      </w:pPr>
      <w:r>
        <w:rPr>
          <w:rFonts w:ascii="仿宋_GB2312" w:hAnsi="仿宋_GB2312" w:cs="仿宋_GB2312" w:eastAsia="仿宋_GB2312"/>
        </w:rPr>
        <w:t xml:space="preserve"> 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归甲方所有</w:t>
      </w:r>
    </w:p>
    <w:p>
      <w:pPr>
        <w:pStyle w:val="null3"/>
        <w:ind w:firstLine="480"/>
      </w:pPr>
      <w:r>
        <w:rPr>
          <w:rFonts w:ascii="仿宋_GB2312" w:hAnsi="仿宋_GB2312" w:cs="仿宋_GB2312" w:eastAsia="仿宋_GB2312"/>
        </w:rPr>
        <w:t xml:space="preserve"> 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 xml:space="preserve"> 一、供应商应当在提交响应文件截止时间前，通过项目电子化交易系统完成首次响应文件提交。</w:t>
      </w:r>
    </w:p>
    <w:p>
      <w:pPr>
        <w:pStyle w:val="null3"/>
        <w:ind w:firstLine="480"/>
      </w:pPr>
      <w:r>
        <w:rPr>
          <w:rFonts w:ascii="仿宋_GB2312" w:hAnsi="仿宋_GB2312" w:cs="仿宋_GB2312" w:eastAsia="仿宋_GB2312"/>
        </w:rPr>
        <w:t xml:space="preserve"> 二、在提交响应文件截止时间后，代理机构不再接受供应商提交响应文件。供应商应充分考虑影响响应文件提交的各种因素，确保在提交响应文件截止时间前完成提交。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1、项目实施完成后，乙方进行自检并形成自检报告，如出现问题限期整改。 自检通过后，乙方提出验收申请，使用单位组织相关人员进行最终验收； 2、甲方接到乙方的验收通知后，甲方验收组应对所有设施设备的规格、材料、 产品合格证、运行情况等逐项进行验收，其中一项不合格不能通过验收； 3、所采购的所有设备自通过验收之日起进入质保期。</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 xml:space="preserve"> 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 xml:space="preserve"> （三）不同供应商的响应文件载明的项目管理成员或者联系人员为同一人；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 xml:space="preserve"> 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 xml:space="preserve"> （四）与供应商的法定代表人或者负责人有夫妻、直系血亲、三代以内旁系血亲或者近姻亲关系；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三原县政府采购中心</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三原县政府采购中心</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三原县政府采购中心</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联系人：王先生</w:t>
      </w:r>
    </w:p>
    <w:p>
      <w:pPr>
        <w:pStyle w:val="null3"/>
      </w:pPr>
      <w:r>
        <w:rPr>
          <w:rFonts w:ascii="仿宋_GB2312" w:hAnsi="仿宋_GB2312" w:cs="仿宋_GB2312" w:eastAsia="仿宋_GB2312"/>
        </w:rPr>
        <w:t>联系电话： 029-32269233</w:t>
      </w:r>
    </w:p>
    <w:p>
      <w:pPr>
        <w:pStyle w:val="null3"/>
      </w:pPr>
      <w:r>
        <w:rPr>
          <w:rFonts w:ascii="仿宋_GB2312" w:hAnsi="仿宋_GB2312" w:cs="仿宋_GB2312" w:eastAsia="仿宋_GB2312"/>
        </w:rPr>
        <w:t>地址：三原县政府街7号三原县财政局</w:t>
      </w:r>
    </w:p>
    <w:p>
      <w:pPr>
        <w:pStyle w:val="null3"/>
      </w:pPr>
      <w:r>
        <w:rPr>
          <w:rFonts w:ascii="仿宋_GB2312" w:hAnsi="仿宋_GB2312" w:cs="仿宋_GB2312" w:eastAsia="仿宋_GB2312"/>
        </w:rPr>
        <w:t>邮编：713800</w:t>
      </w:r>
    </w:p>
    <w:p>
      <w:pPr>
        <w:pStyle w:val="null3"/>
        <w:ind w:firstLine="480"/>
      </w:pPr>
      <w:r>
        <w:rPr>
          <w:rFonts w:ascii="仿宋_GB2312" w:hAnsi="仿宋_GB2312" w:cs="仿宋_GB2312" w:eastAsia="仿宋_GB2312"/>
        </w:rPr>
        <w:t xml:space="preserve"> 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为进一步改善我校师生的学习环境，保障师生的身体健康与学习效率。</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1,915,000.00</w:t>
      </w:r>
    </w:p>
    <w:p>
      <w:pPr>
        <w:pStyle w:val="null3"/>
      </w:pPr>
      <w:r>
        <w:rPr>
          <w:rFonts w:ascii="仿宋_GB2312" w:hAnsi="仿宋_GB2312" w:cs="仿宋_GB2312" w:eastAsia="仿宋_GB2312"/>
        </w:rPr>
        <w:t>采购包最高限价（元）: 1,915,000.00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三原县东郊中学教学设施设备采购项目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1,915,000.00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采购包1：</w:t>
      </w:r>
    </w:p>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标的名称：三原县东郊中学教学设施设备采购项目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产品参数详见附件</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50日历天</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三原县东郊中学</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预付款，合同生效备案完毕、乙方开具合规等额增值税发票后，达到付款条件起7个工作日内，支付合同总金额的30.0%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其他，验收合格后，达到付款条件起10个工作日内，支付合同总金额的60.0%</w:t>
      </w:r>
    </w:p>
    <w:p>
      <w:pPr>
        <w:pStyle w:val="null3"/>
        <w:ind w:firstLine="1200"/>
      </w:pPr>
      <w:r>
        <w:rPr>
          <w:rFonts w:ascii="仿宋_GB2312" w:hAnsi="仿宋_GB2312" w:cs="仿宋_GB2312" w:eastAsia="仿宋_GB2312"/>
        </w:rPr>
        <w:t>3、</w:t>
      </w:r>
      <w:r>
        <w:rPr>
          <w:rFonts w:ascii="仿宋_GB2312" w:hAnsi="仿宋_GB2312" w:cs="仿宋_GB2312" w:eastAsia="仿宋_GB2312"/>
        </w:rPr>
        <w:t>其他，正常运转，满一年后，达到付款条件起30个工作日内，支付合同总金额的10.0%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项目按照计划工期完成后，经甲方组织验收并达到合格（符合国际执行的标准和相关规定）</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保修期为1年，保修期间乙方应在接到甲方维修通知后10日内派人维修，否则甲方可委托其他单位或人员维修，因乙方原因造成的返修费用，由乙方承担，因乙方之外原因返修的经济支出由甲方承担。</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本合同在履行过程中发生的与本合同有关的任何争议，有甲、乙双方友好协商解决，协商不成的，由仲裁机构裁决。</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参数响应表.docx 供应商应提交的相关资格证明材料 方案.docx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供应商应提交的相关资格证明材料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营业执照及主体资格</w:t>
            </w:r>
          </w:p>
        </w:tc>
        <w:tc>
          <w:tcPr>
            <w:tcW w:type="dxa" w:w="3322"/>
          </w:tcPr>
          <w:p>
            <w:pPr>
              <w:pStyle w:val="null3"/>
            </w:pPr>
            <w:r>
              <w:rPr>
                <w:rFonts w:ascii="仿宋_GB2312" w:hAnsi="仿宋_GB2312" w:cs="仿宋_GB2312" w:eastAsia="仿宋_GB2312"/>
              </w:rPr>
              <w:t>提供法定代表人授权委托书及委托代理人有效身份证原件，法定代表人直接参加开标会议，需提供法定代表人身份证明及其有效的身份证原件；</w:t>
            </w:r>
          </w:p>
        </w:tc>
        <w:tc>
          <w:tcPr>
            <w:tcW w:type="dxa" w:w="1661"/>
          </w:tcPr>
          <w:p>
            <w:pPr>
              <w:pStyle w:val="null3"/>
            </w:pPr>
            <w:r>
              <w:rPr>
                <w:rFonts w:ascii="仿宋_GB2312" w:hAnsi="仿宋_GB2312" w:cs="仿宋_GB2312" w:eastAsia="仿宋_GB2312"/>
              </w:rPr>
              <w:t>响应文件封面 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或2025年度经审计的财务报告（包括“四表一注”，即资产负债表、利润表、现金流量表、所有者权益变动表及其附注，成立时间至提交投标文件截止时间不足一年的可提供成立后任意时段的资产负债表），或其开标前六个月内银行出具的资信证明。（以上两种形式的资料提供任何一种即可）</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提供开标截止时间前6个月内任意已缴纳1个月的纳税证明或完税证明（时间以税款所属日期为准、税种须包含增值税或企业所得税），依法免税的单位应提供相关证明材料。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提供开标截止时间前6个月内任意已缴纳1个月的社会保障资金缴存单据或社保机构开具的社会保险参保缴费情况证明，依法不需要缴纳社会保障资金的单位应提供相关证明材料。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信用</w:t>
            </w:r>
          </w:p>
        </w:tc>
        <w:tc>
          <w:tcPr>
            <w:tcW w:type="dxa" w:w="3322"/>
          </w:tcPr>
          <w:p>
            <w:pPr>
              <w:pStyle w:val="null3"/>
            </w:pPr>
            <w:r>
              <w:rPr>
                <w:rFonts w:ascii="仿宋_GB2312" w:hAnsi="仿宋_GB2312" w:cs="仿宋_GB2312" w:eastAsia="仿宋_GB2312"/>
              </w:rPr>
              <w:t>供应商不得为“信用中国”网站（www.creditchina.gov.cn）中被列入“重大税收违法失信主体”的供应商,不得为“中国执行信息公开网”网站（zxgk.court.gov.cn/））中被列入“失信被执行人”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声明</w:t>
            </w:r>
          </w:p>
        </w:tc>
        <w:tc>
          <w:tcPr>
            <w:tcW w:type="dxa" w:w="3322"/>
          </w:tcPr>
          <w:p>
            <w:pPr>
              <w:pStyle w:val="null3"/>
            </w:pPr>
            <w:r>
              <w:rPr>
                <w:rFonts w:ascii="仿宋_GB2312" w:hAnsi="仿宋_GB2312" w:cs="仿宋_GB2312" w:eastAsia="仿宋_GB2312"/>
              </w:rPr>
              <w:t>提供具有履行本合同所必需的设备和专业技术能力的声明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重大违法声明</w:t>
            </w:r>
          </w:p>
        </w:tc>
        <w:tc>
          <w:tcPr>
            <w:tcW w:type="dxa" w:w="3322"/>
          </w:tcPr>
          <w:p>
            <w:pPr>
              <w:pStyle w:val="null3"/>
            </w:pPr>
            <w:r>
              <w:rPr>
                <w:rFonts w:ascii="仿宋_GB2312" w:hAnsi="仿宋_GB2312" w:cs="仿宋_GB2312" w:eastAsia="仿宋_GB2312"/>
              </w:rPr>
              <w:t>供应商参加采购活动近3年内经营活动中没有重大违法记录声明，以及未被列入失信被执行人、重大税收违法案件当事人名单、政府采购严重违法失信行为记录名单的书面声明；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非联合体</w:t>
            </w:r>
          </w:p>
        </w:tc>
        <w:tc>
          <w:tcPr>
            <w:tcW w:type="dxa" w:w="3322"/>
          </w:tcPr>
          <w:p>
            <w:pPr>
              <w:pStyle w:val="null3"/>
            </w:pPr>
            <w:r>
              <w:rPr>
                <w:rFonts w:ascii="仿宋_GB2312" w:hAnsi="仿宋_GB2312" w:cs="仿宋_GB2312" w:eastAsia="仿宋_GB2312"/>
              </w:rPr>
              <w:t>供应商负责人不得为同一人或者存在控股、管理关系</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 xml:space="preserve"> 二、评审工作由代理机构组织，具体评审事务由依法组建的磋商小组负责。</w:t>
      </w:r>
    </w:p>
    <w:p>
      <w:pPr>
        <w:pStyle w:val="null3"/>
        <w:ind w:firstLine="480"/>
      </w:pPr>
      <w:r>
        <w:rPr>
          <w:rFonts w:ascii="仿宋_GB2312" w:hAnsi="仿宋_GB2312" w:cs="仿宋_GB2312" w:eastAsia="仿宋_GB2312"/>
        </w:rPr>
        <w:t xml:space="preserve"> 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 xml:space="preserve"> 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（三）根据需要要求供应商对响应文件中含义不明确、同类问题表述不一致或者有明显文字和计算错误的内容等作出必要的澄清、说明或者更正；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（六）向采购人、代理机构、财政部门或者其他监督部门报告非法干预评审工作的行为；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6.3.1审查磋商文件和停止评审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 xml:space="preserve"> （二）磋商文件明显以不合理条件对供应商实行差别待遇或者歧视待遇的；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响应主体</w:t>
            </w:r>
          </w:p>
        </w:tc>
        <w:tc>
          <w:tcPr>
            <w:tcW w:type="dxa" w:w="3322"/>
          </w:tcPr>
          <w:p>
            <w:pPr>
              <w:pStyle w:val="null3"/>
            </w:pPr>
            <w:r>
              <w:rPr>
                <w:rFonts w:ascii="仿宋_GB2312" w:hAnsi="仿宋_GB2312" w:cs="仿宋_GB2312" w:eastAsia="仿宋_GB2312"/>
              </w:rPr>
              <w:t>与营业执照一致</w:t>
            </w:r>
          </w:p>
        </w:tc>
        <w:tc>
          <w:tcPr>
            <w:tcW w:type="dxa" w:w="1661"/>
          </w:tcPr>
          <w:p>
            <w:pPr>
              <w:pStyle w:val="null3"/>
            </w:pPr>
            <w:r>
              <w:rPr>
                <w:rFonts w:ascii="仿宋_GB2312" w:hAnsi="仿宋_GB2312" w:cs="仿宋_GB2312" w:eastAsia="仿宋_GB2312"/>
              </w:rPr>
              <w:t>响应文件封面 参数响应表.docx 产品技术参数表 中小企业声明函 残疾人福利性单位声明函 商务应答表 供应商应提交的相关资格证明材料 标的清单 方案.docx 报价表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有效性</w:t>
            </w:r>
          </w:p>
        </w:tc>
        <w:tc>
          <w:tcPr>
            <w:tcW w:type="dxa" w:w="3322"/>
          </w:tcPr>
          <w:p>
            <w:pPr>
              <w:pStyle w:val="null3"/>
            </w:pPr>
            <w:r>
              <w:rPr>
                <w:rFonts w:ascii="仿宋_GB2312" w:hAnsi="仿宋_GB2312" w:cs="仿宋_GB2312" w:eastAsia="仿宋_GB2312"/>
              </w:rPr>
              <w:t>针对同一项目提交两份或多份内容不同的响应文件，未书面声明哪一份是有效的或出现选择性报价的</w:t>
            </w:r>
          </w:p>
        </w:tc>
        <w:tc>
          <w:tcPr>
            <w:tcW w:type="dxa" w:w="1661"/>
          </w:tcPr>
          <w:p>
            <w:pPr>
              <w:pStyle w:val="null3"/>
            </w:pPr>
            <w:r>
              <w:rPr>
                <w:rFonts w:ascii="仿宋_GB2312" w:hAnsi="仿宋_GB2312" w:cs="仿宋_GB2312" w:eastAsia="仿宋_GB2312"/>
              </w:rPr>
              <w:t>响应文件封面 参数响应表.docx 产品技术参数表 中小企业声明函 残疾人福利性单位声明函 商务应答表 供应商应提交的相关资格证明材料 标的清单 方案.docx 报价表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报价不超过采购预算/限价</w:t>
            </w:r>
          </w:p>
        </w:tc>
        <w:tc>
          <w:tcPr>
            <w:tcW w:type="dxa" w:w="1661"/>
          </w:tcPr>
          <w:p>
            <w:pPr>
              <w:pStyle w:val="null3"/>
            </w:pPr>
            <w:r>
              <w:rPr>
                <w:rFonts w:ascii="仿宋_GB2312" w:hAnsi="仿宋_GB2312" w:cs="仿宋_GB2312" w:eastAsia="仿宋_GB2312"/>
              </w:rPr>
              <w:t>响应文件封面 参数响应表.docx 产品技术参数表 中小企业声明函 残疾人福利性单位声明函 商务应答表 供应商应提交的相关资格证明材料 标的清单 方案.docx 报价表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有效期</w:t>
            </w:r>
          </w:p>
        </w:tc>
        <w:tc>
          <w:tcPr>
            <w:tcW w:type="dxa" w:w="3322"/>
          </w:tcPr>
          <w:p>
            <w:pPr>
              <w:pStyle w:val="null3"/>
            </w:pPr>
            <w:r>
              <w:rPr>
                <w:rFonts w:ascii="仿宋_GB2312" w:hAnsi="仿宋_GB2312" w:cs="仿宋_GB2312" w:eastAsia="仿宋_GB2312"/>
              </w:rPr>
              <w:t>有效期不符合招标文件的要求</w:t>
            </w:r>
          </w:p>
        </w:tc>
        <w:tc>
          <w:tcPr>
            <w:tcW w:type="dxa" w:w="1661"/>
          </w:tcPr>
          <w:p>
            <w:pPr>
              <w:pStyle w:val="null3"/>
            </w:pPr>
            <w:r>
              <w:rPr>
                <w:rFonts w:ascii="仿宋_GB2312" w:hAnsi="仿宋_GB2312" w:cs="仿宋_GB2312" w:eastAsia="仿宋_GB2312"/>
              </w:rPr>
              <w:t>响应文件封面 参数响应表.docx 产品技术参数表 中小企业声明函 残疾人福利性单位声明函 商务应答表 供应商应提交的相关资格证明材料 标的清单 方案.docx 报价表 响应函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法律、法规规定的其他情形</w:t>
            </w:r>
          </w:p>
        </w:tc>
        <w:tc>
          <w:tcPr>
            <w:tcW w:type="dxa" w:w="1661"/>
          </w:tcPr>
          <w:p>
            <w:pPr>
              <w:pStyle w:val="null3"/>
            </w:pPr>
            <w:r>
              <w:rPr>
                <w:rFonts w:ascii="仿宋_GB2312" w:hAnsi="仿宋_GB2312" w:cs="仿宋_GB2312" w:eastAsia="仿宋_GB2312"/>
              </w:rPr>
              <w:t>响应文件封面 参数响应表.docx 产品技术参数表 中小企业声明函 残疾人福利性单位声明函 商务应答表 供应商应提交的相关资格证明材料 标的清单 方案.docx 报价表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 xml:space="preserve"> 一、磋商小组按照磋商文件的规定与邀请参加磋商的供应商分别进行磋商，磋商顺序由磋商小组确定。磋商过程中，磋商小组可以根据磋商情况调整磋商轮次。</w:t>
      </w:r>
    </w:p>
    <w:p>
      <w:pPr>
        <w:pStyle w:val="null3"/>
        <w:ind w:firstLine="480"/>
      </w:pPr>
      <w:r>
        <w:rPr>
          <w:rFonts w:ascii="仿宋_GB2312" w:hAnsi="仿宋_GB2312" w:cs="仿宋_GB2312" w:eastAsia="仿宋_GB2312"/>
        </w:rPr>
        <w:t xml:space="preserve"> 二、磋商小组所有成员集中与单一供应商对技术、服务、合同条款等内容分别进行一轮或多轮的磋商。在磋商中，磋商的任何一方不得透露与磋商有关的其他供应商的技术资料、价格和其他信息。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 xml:space="preserve"> 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 xml:space="preserve"> 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 xml:space="preserve"> （一）供应商响应文件中不响应磋商文件规定的技术参数指标和商务应答；</w:t>
      </w:r>
    </w:p>
    <w:p>
      <w:pPr>
        <w:pStyle w:val="null3"/>
        <w:ind w:firstLine="480"/>
      </w:pPr>
      <w:r>
        <w:rPr>
          <w:rFonts w:ascii="仿宋_GB2312" w:hAnsi="仿宋_GB2312" w:cs="仿宋_GB2312" w:eastAsia="仿宋_GB2312"/>
        </w:rPr>
        <w:t xml:space="preserve"> （二）供应商响应文件中未提供的证明其是否符合磋商文件资格、符合性规定要求的相关材料；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 xml:space="preserve"> 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 xml:space="preserve"> 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 xml:space="preserve"> （四）评审情况记录和说明，包括对供应商响应文件审查情况、磋商情况、报价情况等；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技术参数响应</w:t>
            </w:r>
          </w:p>
        </w:tc>
        <w:tc>
          <w:tcPr>
            <w:tcW w:type="dxa" w:w="2492"/>
          </w:tcPr>
          <w:p>
            <w:pPr>
              <w:pStyle w:val="null3"/>
            </w:pPr>
            <w:r>
              <w:rPr>
                <w:rFonts w:ascii="仿宋_GB2312" w:hAnsi="仿宋_GB2312" w:cs="仿宋_GB2312" w:eastAsia="仿宋_GB2312"/>
              </w:rPr>
              <w:t>根据投标人的“技术参数与性能指标”进行评审，满分31.5分： 1、重要技术参数评审评分（共15条，满分15分） 带“▲”号的条款为重要参数，重要技术参数全部满足招标文件要求的得满分15分，每出现1项重要技术参数不满足的扣1.0分； 2、一般技术参数评审评分（共165条，满分16.5分） 技术参数中非“▲”“★”号的条款为一般参数，一般技术参数全部满足招标文件要求的为满分16.5分，每出现1项一般技术参数不满足的扣0.1分，扣完为止。 投标人除如实填写技术规格偏离表外，投标文件中必须提供最新技术支持资料支持技术规格偏离表应答（包括投标产品检测（检验）报告或厂家的技术白皮书，不接受投标人自行印刷、打印或者手写的技术支持资料。采购需求有检测(检验)要求的以采购需求的要求为准，检测报告响应不可多份组合响应，送样名称若与要求不一致，则由评审委员会认定是否认可。凡不符合上述要求的，视为无效技术支持资料）。</w:t>
            </w:r>
          </w:p>
        </w:tc>
        <w:tc>
          <w:tcPr>
            <w:tcW w:type="dxa" w:w="831"/>
          </w:tcPr>
          <w:p>
            <w:pPr>
              <w:pStyle w:val="null3"/>
              <w:jc w:val="right"/>
            </w:pPr>
            <w:r>
              <w:rPr>
                <w:rFonts w:ascii="仿宋_GB2312" w:hAnsi="仿宋_GB2312" w:cs="仿宋_GB2312" w:eastAsia="仿宋_GB2312"/>
              </w:rPr>
              <w:t>31.5000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方案.docx</w:t>
            </w:r>
          </w:p>
          <w:p>
            <w:pPr>
              <w:pStyle w:val="null3"/>
            </w:pPr>
            <w:r>
              <w:rPr>
                <w:rFonts w:ascii="仿宋_GB2312" w:hAnsi="仿宋_GB2312" w:cs="仿宋_GB2312" w:eastAsia="仿宋_GB2312"/>
              </w:rPr>
              <w:t>参数响应表.docx</w:t>
            </w:r>
          </w:p>
        </w:tc>
      </w:tr>
      <w:tr>
        <w:tc>
          <w:tcPr>
            <w:tcW w:type="dxa" w:w="831"/>
            <w:vMerge/>
          </w:tcPr>
          <w:p/>
        </w:tc>
        <w:tc>
          <w:tcPr>
            <w:tcW w:type="dxa" w:w="1661"/>
          </w:tcPr>
          <w:p>
            <w:pPr>
              <w:pStyle w:val="null3"/>
            </w:pPr>
            <w:r>
              <w:rPr>
                <w:rFonts w:ascii="仿宋_GB2312" w:hAnsi="仿宋_GB2312" w:cs="仿宋_GB2312" w:eastAsia="仿宋_GB2312"/>
              </w:rPr>
              <w:t>环境标志认证证书</w:t>
            </w:r>
          </w:p>
        </w:tc>
        <w:tc>
          <w:tcPr>
            <w:tcW w:type="dxa" w:w="2492"/>
          </w:tcPr>
          <w:p>
            <w:pPr>
              <w:pStyle w:val="null3"/>
            </w:pPr>
            <w:r>
              <w:rPr>
                <w:rFonts w:ascii="仿宋_GB2312" w:hAnsi="仿宋_GB2312" w:cs="仿宋_GB2312" w:eastAsia="仿宋_GB2312"/>
              </w:rPr>
              <w:t>投标人或所投产品生产制造商持有有效期内中国环境标志产品认证证书（十环认证），证书认证范围包含实木 / 人造板 / 钢木家具、课桌椅、讲台、钢制文件柜。 投标文件中提供证书清晰扫描件并加盖投标人公章，证书状态可在全国认证认可信息公共服务平台（cx.cnca.cn）核验。 满足全部要求得1.5分，不满足不得分。</w:t>
            </w:r>
          </w:p>
        </w:tc>
        <w:tc>
          <w:tcPr>
            <w:tcW w:type="dxa" w:w="831"/>
          </w:tcPr>
          <w:p>
            <w:pPr>
              <w:pStyle w:val="null3"/>
              <w:jc w:val="right"/>
            </w:pPr>
            <w:r>
              <w:rPr>
                <w:rFonts w:ascii="仿宋_GB2312" w:hAnsi="仿宋_GB2312" w:cs="仿宋_GB2312" w:eastAsia="仿宋_GB2312"/>
              </w:rPr>
              <w:t>1.5000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方案.docx</w:t>
            </w:r>
          </w:p>
          <w:p>
            <w:pPr>
              <w:pStyle w:val="null3"/>
            </w:pPr>
            <w:r>
              <w:rPr>
                <w:rFonts w:ascii="仿宋_GB2312" w:hAnsi="仿宋_GB2312" w:cs="仿宋_GB2312" w:eastAsia="仿宋_GB2312"/>
              </w:rPr>
              <w:t>参数响应表.docx</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培训服务</w:t>
            </w:r>
          </w:p>
        </w:tc>
        <w:tc>
          <w:tcPr>
            <w:tcW w:type="dxa" w:w="2492"/>
          </w:tcPr>
          <w:p>
            <w:pPr>
              <w:pStyle w:val="null3"/>
            </w:pPr>
            <w:r>
              <w:rPr>
                <w:rFonts w:ascii="仿宋_GB2312" w:hAnsi="仿宋_GB2312" w:cs="仿宋_GB2312" w:eastAsia="仿宋_GB2312"/>
              </w:rPr>
              <w:t>供应商针对本项目提出培训服务，包含但不限于①日常运维与故障处置培训、②资料交付与后续辅导等，内容完整、详细、合理、可操作性强，符合项目要求。每项满分1分，缺项不得分 , 每项内容存在缺陷，扣0.2分。缺陷是指内容不合理、虽有内容但 不完善、内容表述前后不一致、套用其他项目方案或与项目需求不匹 配及其他不利于项目实施的任意一种情形。</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方案.docx</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供货方案</w:t>
            </w:r>
          </w:p>
        </w:tc>
        <w:tc>
          <w:tcPr>
            <w:tcW w:type="dxa" w:w="2492"/>
          </w:tcPr>
          <w:p>
            <w:pPr>
              <w:pStyle w:val="null3"/>
            </w:pPr>
            <w:r>
              <w:rPr>
                <w:rFonts w:ascii="仿宋_GB2312" w:hAnsi="仿宋_GB2312" w:cs="仿宋_GB2312" w:eastAsia="仿宋_GB2312"/>
              </w:rPr>
              <w:t>供应商针对本项目提出供货方案，包含但不限于①供货组织统筹②订单排产与货源保障、③分批备货与检验、④配送交付与现场清点等，内容完整、详细、合理、可操作性强，符合项目要求。每项满分1分，缺项不得分 , 每项内容存在缺陷，扣0.2分。缺陷是指内容不合理、虽有内容但 不完善、内容表述前后不一致、套用其他项目方案或与项目需求不匹 配及其他不利于项目实施的任意一种情形。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方案.docx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供应商针对本项目提出实施方案，包含但不限于①供货方案、②安装与调试、③维修保养的培训服务、④应急预案等，内容完整、详细、合理、可操作性强，符合项目要求。每项满分1分，缺项不得分 , 每项内容存在缺陷，扣0.2分。缺陷是指内容不合理、虽有内容但不完善、内容表述前后不一致、套用其他项目方案或与项目需求不匹 配及其他不利于项目实施的任意一种情形。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供应商针对本项目提出售后服务方案，包含但不限于①备品备件及耗材保障方案及承诺、②质保期间的响应保障方案、③相关服务承诺等，内容完整、详细、合理、可操作性强，符合项目要求。每项满分1分，缺项不得分 , 每项内容存在缺陷，扣0.2分。缺陷是指内容不合理、虽有内容但 不完善、内容表述前后不一致、套用其他项目方案或与项目需求不匹配及其他不利于项目实施的任意一种情形。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生产实力</w:t>
            </w:r>
          </w:p>
        </w:tc>
        <w:tc>
          <w:tcPr>
            <w:tcW w:type="dxa" w:w="2492"/>
          </w:tcPr>
          <w:p>
            <w:pPr>
              <w:pStyle w:val="null3"/>
            </w:pPr>
            <w:r>
              <w:rPr>
                <w:rFonts w:ascii="仿宋_GB2312" w:hAnsi="仿宋_GB2312" w:cs="仿宋_GB2312" w:eastAsia="仿宋_GB2312"/>
              </w:rPr>
              <w:t>所投产品生产厂家具有以下设备： 生产加工及环保设备实力（总分 15 分） 投标人或所投产品制造商自有、租赁、集团共用或签订 1 年及以上稳定外协协议的加工、环保设备均可计分，同功能高端替代设备同等认可，分项独立计分，缺项仅不得该项对应分值，不倒扣其他设备分数。 1.核心钣金设备（共 7 台：激光切割机、数控折弯机、全自动机器人焊机、数控剪板机、开卷校平生产线、智能柔性折弯中心机、数控转塔冲床），单台计0.75 分，全部配齐满分 5.25 分； 2.管材成型设备（共 3 台：全自动单机头切管机、全自动滚动切管机、冷弯成型机），单台计0.75 分，全部配齐满分 2.25 分； 3.喷涂环保设备（共 6 台：喷漆设备、喷涂设备、除尘器、焊烟净化器、PP 酸洗塔、催化氧化系统），单台计1.25 分，全部配齐满分 7.5 分； 三项合计总分 15 分。 评审材料要求 1. 仅简单注明设备用途即可； 2. 材料加盖投标人公章，满足其一即可： 自有设备：设备实景照片+ 购机发票 / 资产台账； 租赁 / 共享 / 外协：合同 + 付款凭证，外协需附合作厂家设备资料； 3. 材料虚假或缺失有效证明，对应设备不得分。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方案.docx</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样品</w:t>
            </w:r>
          </w:p>
        </w:tc>
        <w:tc>
          <w:tcPr>
            <w:tcW w:type="dxa" w:w="2492"/>
          </w:tcPr>
          <w:p>
            <w:pPr>
              <w:pStyle w:val="null3"/>
            </w:pPr>
            <w:r>
              <w:rPr>
                <w:rFonts w:ascii="仿宋_GB2312" w:hAnsi="仿宋_GB2312" w:cs="仿宋_GB2312" w:eastAsia="仿宋_GB2312"/>
              </w:rPr>
              <w:t>投标人须严格按照招标文件规定的技术规格、材质要求及工艺标准，提供以下实物小样，评标委员会将从材质性能、加工工艺、外观质量、实用功能、人体工学及触感体验等方面进行综合评审： 课桌椅：（桌面板、抽屉钢板、桌腿、椅背）； 员工椅：（气压棒、网布、椅背含腰部承托）。 （1）、提供的小样种类齐全、规格正确。材质优质，工艺精湛（无划痕、毛刺、脱焊、色差等缺陷），造型美观大方，触感舒适，结构设计科学合理，功能完善（如腰部承托贴合、升降顺畅），空间布局及人机工程学表现优异，具有突出的实用性和创新性，完全符合或优于招标文件技术要求，得7分； （2）、提供的小样种类齐全。材质及工艺一般，无明显外观缺陷，但细节处理（如封边、焊接、喷涂）精细度不足；造型、触感及美观性尚可；功能设计基本满足使用需求，但在人体工学、空间利用或实用性上表现平平，符合招标文件基本要求，得4分； （3）、提供的小样种类基本齐全。材质质感较差，工艺粗糙（存在明显毛刺、缝隙、变形、涂层不均等问题），造型简陋，触感生硬或有异味，结构设计不合理，功能缺失或存在使用不便之处，实用性较差，勉强符合招标品类要求，得1分； （4）、未按要求提供小样，或少提供、多提供、错提供小样；小样材质、规格、工艺不符合招标文件实质性要求；存在明显设计缺陷、安全隐患或劣质仿冒痕迹的得0分。 （递交时间与地点:投标文件截止时间前，送达三原县政府街7号三原县财政局政府采购中心，未中标供应商样品将退还，中标供应商样品由采购人留存，作为合同验收依据）</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方案.docx</w:t>
            </w:r>
          </w:p>
          <w:p>
            <w:pPr>
              <w:pStyle w:val="null3"/>
            </w:pPr>
            <w:r>
              <w:rPr>
                <w:rFonts w:ascii="仿宋_GB2312" w:hAnsi="仿宋_GB2312" w:cs="仿宋_GB2312" w:eastAsia="仿宋_GB2312"/>
              </w:rPr>
              <w:t>参数响应表.docx</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提供供应商近三年内（自投标截止之日起算）至今类似项目业绩，每提供1个有效业绩得1分，满分2分。（附 完整合同复印件并加盖供应商公章，未提供或提供不完整或不清晰均不得分。）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方案.docx</w:t>
            </w:r>
          </w:p>
          <w:p>
            <w:pPr>
              <w:pStyle w:val="null3"/>
            </w:pPr>
            <w:r>
              <w:rPr>
                <w:rFonts w:ascii="仿宋_GB2312" w:hAnsi="仿宋_GB2312" w:cs="仿宋_GB2312" w:eastAsia="仿宋_GB2312"/>
              </w:rPr>
              <w:t>参数响应表.docx</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参数响应表.docx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1、经初审合格的磋商响应文件，其磋商报价为有效磋商报价。 2、满足磋商文件实质性要求且最终报价最低的供应商的价格为磋商基准价，其价格分为满分30分。 3、磋商报价得分=（磋商基准价/最终磋商报价）×30。 4、磋商报价不完整的，不进入磋商基准价的计算，本项得0分。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详见附件：方案.docx</w:t>
      </w:r>
    </w:p>
    <w:p>
      <w:pPr>
        <w:pStyle w:val="null3"/>
        <w:ind w:firstLine="960"/>
      </w:pPr>
      <w:r>
        <w:rPr>
          <w:rFonts w:ascii="仿宋_GB2312" w:hAnsi="仿宋_GB2312" w:cs="仿宋_GB2312" w:eastAsia="仿宋_GB2312"/>
        </w:rPr>
        <w:t>详见附件：参数响应表.docx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详见附件：政府采购货物买卖合同（试行）.docx.docx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