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版本号：JC2026-CG0502(33)20260901001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西安经济技术开发区土地储备中心JK(WB)24-(55)-85项目考古发掘劳务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JC2026-CG0502(33)</w:t>
      </w:r>
      <w:r>
        <w:br/>
      </w:r>
      <w:r>
        <w:br/>
      </w:r>
      <w:r>
        <w:br/>
      </w:r>
    </w:p>
    <w:p>
      <w:pPr>
        <w:pStyle w:val="null3"/>
        <w:jc w:val="center"/>
        <w:outlineLvl w:val="2"/>
      </w:pPr>
      <w:r>
        <w:rPr>
          <w:rFonts w:ascii="仿宋_GB2312" w:hAnsi="仿宋_GB2312" w:cs="仿宋_GB2312" w:eastAsia="仿宋_GB2312"/>
          <w:sz w:val="28"/>
          <w:b/>
        </w:rPr>
        <w:t>西安经济技术开发区渭北新城发展建设管理中心</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委托，拟对</w:t>
      </w:r>
      <w:r>
        <w:rPr>
          <w:rFonts w:ascii="仿宋_GB2312" w:hAnsi="仿宋_GB2312" w:cs="仿宋_GB2312" w:eastAsia="仿宋_GB2312"/>
        </w:rPr>
        <w:t>西安经济技术开发区土地储备中心JK(WB)24-(55)-85项目考古发掘劳务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JC2026-CG0502(33)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西安经济技术开发区土地储备中心JK(WB)24-(55)-85项目考古发掘劳务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经济技术开发区渭北新城，渭水八路以南、秦王西路以东、渭水七路以北，采购内容为对项目用地内发现的古墓葬，灰坑，古代道路，配合考古单位进行发掘和清理工作，确保地下文化遗产安全，推动项目建设顺利进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采购包1（西安经济技术开发区土地储备中心JK(WB)24-(55)-85项目考古发掘劳务）：属于专门面向中小企业采购。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财务状况报告：供应商具有良好的商业信誉和健全的财务会计制度：提供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磋商全过程：法定代表人亲自参加磋商的，须出具法定代表人（单位负责人）身份证明及身份证，法定代表人委托代理人参加磋商的，须出具法定代表人（单位负责人）授权委托书及身份证；</w:t>
      </w:r>
    </w:p>
    <w:p>
      <w:pPr>
        <w:pStyle w:val="null3"/>
      </w:pPr>
      <w:r>
        <w:rPr>
          <w:rFonts w:ascii="仿宋_GB2312" w:hAnsi="仿宋_GB2312" w:cs="仿宋_GB2312" w:eastAsia="仿宋_GB2312"/>
        </w:rPr>
        <w:t>8、供应商信用信息：供应商不得为“信用中国”网站（www.creditchina.gov.cn）中被列入“重大税收违法失信主体”及“严重失信主体名单”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9、非联合体磋商：本项目不接受联合体磋商。单位负责人为同一人或者存在直接控股、管理关系的不同单位不得同时参加。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西安经济技术开发区渭北新城发展建设管理中心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西安市经开区渭北新城秦王一路渭北国际商务中心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029-83999121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宋依依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029-88228971/18629197467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成交通知书》时，一次性向招标代理机构支付。2.收费依据：以成交价作为基数，按照原《国家计委关于印发&lt;招标代理服务收费管理暂行办法&gt;的通知》（计价格[2002]1980号）和《国家发展改革委办公厅关于招标代理服务收费有关问题的通知》（发改价格[2003]857号）文件的规定标准收取（按照标准计算代理服务费不足6000元时，按6000元收取）。3.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开展该项工作的全部原始资料、中间过渡及最终成果所有权属于采购人。未经采购人书面授权许可，成交（中标）供应商不得擅自将原始资料、中间过渡和最终成果复制自留或提供给其他任何单位和个人使用，为自己或其他任何单位和个人谋取利益。本次成果所有权、使用权和著作权均属于采购人。成交（中标）供应商应确保提供服务过程中不会侵犯任何第三方的知识产权，否则承担由此产生的一切法律和经济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现行规范及行业标准；（2）验收依据：采购人根据采购文件、响应文件、合同文本及附件内容等进行验收；（3）验收合格后，填写验收单，并向采购人提交所有资料，以便使用单位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联系人：宋依依</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FF"/>
        </w:rPr>
        <w:t>本项目位于西安经济技术开发区渭北新城，渭水八路以南、秦王西路以东、渭水七路以北，采购内容</w:t>
      </w:r>
      <w:r>
        <w:rPr>
          <w:rFonts w:ascii="仿宋_GB2312" w:hAnsi="仿宋_GB2312" w:cs="仿宋_GB2312" w:eastAsia="仿宋_GB2312"/>
          <w:sz w:val="21"/>
          <w:color w:val="0000FF"/>
        </w:rPr>
        <w:t>为</w:t>
      </w:r>
      <w:r>
        <w:rPr>
          <w:rFonts w:ascii="仿宋_GB2312" w:hAnsi="仿宋_GB2312" w:cs="仿宋_GB2312" w:eastAsia="仿宋_GB2312"/>
          <w:sz w:val="21"/>
          <w:color w:val="0000FF"/>
        </w:rPr>
        <w:t>对项目用地内发现的古墓葬，灰坑，</w:t>
      </w:r>
      <w:r>
        <w:rPr>
          <w:rFonts w:ascii="仿宋_GB2312" w:hAnsi="仿宋_GB2312" w:cs="仿宋_GB2312" w:eastAsia="仿宋_GB2312"/>
          <w:sz w:val="21"/>
          <w:color w:val="0000FF"/>
        </w:rPr>
        <w:t>古代道路</w:t>
      </w:r>
      <w:r>
        <w:rPr>
          <w:rFonts w:ascii="仿宋_GB2312" w:hAnsi="仿宋_GB2312" w:cs="仿宋_GB2312" w:eastAsia="仿宋_GB2312"/>
          <w:sz w:val="21"/>
          <w:color w:val="0000FF"/>
        </w:rPr>
        <w:t>，配合考古单位进行发掘和清理工作，确保地下文化遗产安全，推动项目建设顺利进行</w:t>
      </w:r>
      <w:r>
        <w:rPr>
          <w:rFonts w:ascii="仿宋_GB2312" w:hAnsi="仿宋_GB2312" w:cs="仿宋_GB2312" w:eastAsia="仿宋_GB2312"/>
          <w:sz w:val="21"/>
          <w:color w:val="0000FF"/>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245,000.00</w:t>
      </w:r>
    </w:p>
    <w:p>
      <w:pPr>
        <w:pStyle w:val="null3"/>
      </w:pPr>
      <w:r>
        <w:rPr>
          <w:rFonts w:ascii="仿宋_GB2312" w:hAnsi="仿宋_GB2312" w:cs="仿宋_GB2312" w:eastAsia="仿宋_GB2312"/>
        </w:rPr>
        <w:t>采购包最高限价（元）: 245,000.00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西安经济技术开发区土地储备中心JK(WB)24-(55)-85项目考古发掘劳务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标的名称：西安经济技术开发区土地储备中心JK(WB)24-(55)-85项目考古发掘劳务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FF"/>
              </w:rPr>
              <w:t>1、服务内容</w:t>
            </w:r>
          </w:p>
          <w:p>
            <w:pPr>
              <w:pStyle w:val="null3"/>
            </w:pPr>
            <w:r>
              <w:rPr>
                <w:rFonts w:ascii="仿宋_GB2312" w:hAnsi="仿宋_GB2312" w:cs="仿宋_GB2312" w:eastAsia="仿宋_GB2312"/>
                <w:color w:val="0000FF"/>
              </w:rPr>
              <w:t>本项目服务内容为对项目用地内发现的古墓葬，灰坑，古代道路，配合考古单位完成遗存勘探、发掘、清理、记录、规整等全流程工作，细致排查场地内各类地下文化遗存，完整留存考古资料，妥善保护各类古代遗迹遗物，全方位保障区域地下历史文化遗产的完整性与安全性。</w:t>
            </w:r>
          </w:p>
          <w:p>
            <w:pPr>
              <w:pStyle w:val="null3"/>
            </w:pPr>
            <w:r>
              <w:rPr>
                <w:rFonts w:ascii="仿宋_GB2312" w:hAnsi="仿宋_GB2312" w:cs="仿宋_GB2312" w:eastAsia="仿宋_GB2312"/>
                <w:color w:val="0000FF"/>
              </w:rPr>
              <w:t>2、服务要求</w:t>
            </w:r>
          </w:p>
          <w:p>
            <w:pPr>
              <w:pStyle w:val="null3"/>
            </w:pPr>
            <w:r>
              <w:rPr>
                <w:rFonts w:ascii="仿宋_GB2312" w:hAnsi="仿宋_GB2312" w:cs="仿宋_GB2312" w:eastAsia="仿宋_GB2312"/>
                <w:color w:val="0000FF"/>
              </w:rPr>
              <w:t>（1）考古发掘进场前，采购人负责清除现场植被，青苗补偿等，以便发掘工作施工前放线。供应商做好现场绿网覆盖等环境保护措施，以满足政府环境保护要求，排除可能干扰发掘工作的环境因素，以保证考古发掘工作的顺利进行。</w:t>
            </w:r>
          </w:p>
          <w:p>
            <w:pPr>
              <w:pStyle w:val="null3"/>
            </w:pPr>
            <w:r>
              <w:rPr>
                <w:rFonts w:ascii="仿宋_GB2312" w:hAnsi="仿宋_GB2312" w:cs="仿宋_GB2312" w:eastAsia="仿宋_GB2312"/>
                <w:color w:val="0000FF"/>
              </w:rPr>
              <w:t>（2）采购人协调当地各种关系，排除可能干扰发掘工作的各项人为因素，以保证考古发掘工作的顺利进行。供应商协助发掘技术单位对接相关部门现场检查、验收等工作。</w:t>
            </w:r>
          </w:p>
          <w:p>
            <w:pPr>
              <w:pStyle w:val="null3"/>
            </w:pPr>
            <w:r>
              <w:rPr>
                <w:rFonts w:ascii="仿宋_GB2312" w:hAnsi="仿宋_GB2312" w:cs="仿宋_GB2312" w:eastAsia="仿宋_GB2312"/>
                <w:color w:val="0000FF"/>
              </w:rPr>
              <w:t>（3）在文物发掘保护技术单位的指导下，供应商为考古发掘提供文物发掘保护、看护、配合发掘清理中的民工劳务工作。承担考古发掘所需的土方开挖和运输工程。作业过程中必须严格执行《中华人民共和国民法典》、《中华人民共和国文物保护法》以及国家文物局《田野考古工作规程》等有关法规，确保施工过程中古墓葬及地下文物不受破坏。科学发掘，精确记录，确保发掘质量。根据现场考古发掘的需要配备足够的民工、机械及现场管理人员，所有人员必须听从考古发掘现场负责人员的指挥，以满足现场文物发掘所需土方开挖、运输等工作。土方开挖运输后堆放场地需满足采购人要求。</w:t>
            </w:r>
          </w:p>
          <w:p>
            <w:pPr>
              <w:pStyle w:val="null3"/>
            </w:pPr>
            <w:r>
              <w:rPr>
                <w:rFonts w:ascii="仿宋_GB2312" w:hAnsi="仿宋_GB2312" w:cs="仿宋_GB2312" w:eastAsia="仿宋_GB2312"/>
                <w:color w:val="0000FF"/>
              </w:rPr>
              <w:t>（4）按照国家及行业对文物发掘现场的相关法律法规、行业规定，且在文物挖掘保护技术单位的指导下，承担考古发掘所需的支护加固工作。做好发掘过程中必须的支护加固等工作，对考古发掘单位提出的问题和建议应及时整改到位，确保安全施工。</w:t>
            </w:r>
          </w:p>
          <w:p>
            <w:pPr>
              <w:pStyle w:val="null3"/>
            </w:pPr>
            <w:r>
              <w:rPr>
                <w:rFonts w:ascii="仿宋_GB2312" w:hAnsi="仿宋_GB2312" w:cs="仿宋_GB2312" w:eastAsia="仿宋_GB2312"/>
                <w:color w:val="0000FF"/>
              </w:rPr>
              <w:t>（5）供应商为考古发掘提供文物发掘保护、看护、配合发掘清理中的民工劳务工作。做好现场文物保护，并全权负责管理好文物挖掘清理保护过程中使用的机械、车辆及其他工器具以及人员，包括施工现场和生活场所等凡是中标单位人员活动的地方。规范人员及民工的生活、工作、言行，其人身安全和财务安全等均由中标单位自行负责。配合采购人及考古发掘单位出具考古发掘所需所有资料。</w:t>
            </w:r>
          </w:p>
          <w:p>
            <w:pPr>
              <w:pStyle w:val="null3"/>
            </w:pPr>
            <w:r>
              <w:rPr>
                <w:rFonts w:ascii="仿宋_GB2312" w:hAnsi="仿宋_GB2312" w:cs="仿宋_GB2312" w:eastAsia="仿宋_GB2312"/>
                <w:color w:val="0000FF"/>
              </w:rPr>
              <w:t>（6）作业全过程须落实文物专项保护措施，对现场遗迹、出土文物、考古标本实行全程看护、隔离防护、专人值守。严禁作业人员私自触碰、挪动、损毁文物遗存，做好出土文物临时存放、防盗、防潮、防尘、防破坏工作，全程保障地下遗存及出土文物绝对安全。</w:t>
            </w:r>
          </w:p>
          <w:p>
            <w:pPr>
              <w:pStyle w:val="null3"/>
            </w:pPr>
            <w:r>
              <w:rPr>
                <w:rFonts w:ascii="仿宋_GB2312" w:hAnsi="仿宋_GB2312" w:cs="仿宋_GB2312" w:eastAsia="仿宋_GB2312"/>
                <w:color w:val="0000FF"/>
              </w:rPr>
              <w:t>（7）供应商须严格遵照本项目整体工期计划，制定科学合理的施工进度管控措施。根据考古发掘作业进度动态调配人员、机械，合理排布施工工序，杜绝怠工、误工、停工现象。遇特殊天气、现场突发情况需及时调整施工计划，在保障安全和质量的前提下，确保项目按期完工。</w:t>
            </w:r>
          </w:p>
          <w:p>
            <w:pPr>
              <w:pStyle w:val="null3"/>
            </w:pPr>
            <w:r>
              <w:rPr>
                <w:rFonts w:ascii="仿宋_GB2312" w:hAnsi="仿宋_GB2312" w:cs="仿宋_GB2312" w:eastAsia="仿宋_GB2312"/>
                <w:color w:val="0000FF"/>
              </w:rPr>
              <w:t>3、安全要求</w:t>
            </w:r>
          </w:p>
          <w:p>
            <w:pPr>
              <w:pStyle w:val="null3"/>
            </w:pPr>
            <w:r>
              <w:rPr>
                <w:rFonts w:ascii="仿宋_GB2312" w:hAnsi="仿宋_GB2312" w:cs="仿宋_GB2312" w:eastAsia="仿宋_GB2312"/>
                <w:color w:val="0000FF"/>
              </w:rPr>
              <w:t xml:space="preserve">（1）供应商应对自身安全负责，要遵守国家的相关安全规定，供应商应严格执行《考古工地安全施工规范》的相关要求，遵守考古工地的安全规定，确保考古工地的施工安全、人员安全和文物安全。  </w:t>
            </w:r>
          </w:p>
          <w:p>
            <w:pPr>
              <w:pStyle w:val="null3"/>
            </w:pPr>
            <w:r>
              <w:rPr>
                <w:rFonts w:ascii="仿宋_GB2312" w:hAnsi="仿宋_GB2312" w:cs="仿宋_GB2312" w:eastAsia="仿宋_GB2312"/>
                <w:color w:val="0000FF"/>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color w:val="0000FF"/>
              </w:rPr>
              <w:t>（3）供应商在考古发掘工作中对发现的古遗址、古墓葬等地下文物古迹负有看管保护的责任，并对相关信息负有保密的责任。</w:t>
            </w:r>
          </w:p>
          <w:p>
            <w:pPr>
              <w:pStyle w:val="null3"/>
            </w:pPr>
            <w:r>
              <w:rPr>
                <w:rFonts w:ascii="仿宋_GB2312" w:hAnsi="仿宋_GB2312" w:cs="仿宋_GB2312" w:eastAsia="仿宋_GB2312"/>
                <w:color w:val="0000FF"/>
              </w:rPr>
              <w:t>（4）供应商考古驻地的所有工作人员、财物、设备、设施以及暂存文物标本的文物库房等的安全保卫工作由供应商全权负责。驻地暂存文物和标本的临时文物库房，必须符合有关存放文物的安全要求。</w:t>
            </w:r>
          </w:p>
          <w:p>
            <w:pPr>
              <w:pStyle w:val="null3"/>
            </w:pPr>
            <w:r>
              <w:rPr>
                <w:rFonts w:ascii="仿宋_GB2312" w:hAnsi="仿宋_GB2312" w:cs="仿宋_GB2312" w:eastAsia="仿宋_GB2312"/>
                <w:color w:val="0000FF"/>
              </w:rPr>
              <w:t>4、技术标准</w:t>
            </w:r>
          </w:p>
          <w:p>
            <w:pPr>
              <w:pStyle w:val="null3"/>
            </w:pPr>
            <w:r>
              <w:rPr>
                <w:rFonts w:ascii="仿宋_GB2312" w:hAnsi="仿宋_GB2312" w:cs="仿宋_GB2312" w:eastAsia="仿宋_GB2312"/>
                <w:color w:val="0000FF"/>
              </w:rPr>
              <w:t>（1）《中华人民共和国文物保护法》；</w:t>
            </w:r>
          </w:p>
          <w:p>
            <w:pPr>
              <w:pStyle w:val="null3"/>
            </w:pPr>
            <w:r>
              <w:rPr>
                <w:rFonts w:ascii="仿宋_GB2312" w:hAnsi="仿宋_GB2312" w:cs="仿宋_GB2312" w:eastAsia="仿宋_GB2312"/>
                <w:color w:val="0000FF"/>
              </w:rPr>
              <w:t>（2）《中华人民共和国文物保护法实施条例》；</w:t>
            </w:r>
          </w:p>
          <w:p>
            <w:pPr>
              <w:pStyle w:val="null3"/>
            </w:pPr>
            <w:r>
              <w:rPr>
                <w:rFonts w:ascii="仿宋_GB2312" w:hAnsi="仿宋_GB2312" w:cs="仿宋_GB2312" w:eastAsia="仿宋_GB2312"/>
                <w:color w:val="0000FF"/>
              </w:rPr>
              <w:t>（3）《陕西省文物保护条例》；</w:t>
            </w:r>
          </w:p>
          <w:p>
            <w:pPr>
              <w:pStyle w:val="null3"/>
            </w:pPr>
            <w:r>
              <w:rPr>
                <w:rFonts w:ascii="仿宋_GB2312" w:hAnsi="仿宋_GB2312" w:cs="仿宋_GB2312" w:eastAsia="仿宋_GB2312"/>
                <w:color w:val="0000FF"/>
              </w:rPr>
              <w:t>（4）国家文物局颁布的《田野考古工作规程》；</w:t>
            </w:r>
          </w:p>
          <w:p>
            <w:pPr>
              <w:pStyle w:val="null3"/>
            </w:pPr>
            <w:r>
              <w:rPr>
                <w:rFonts w:ascii="仿宋_GB2312" w:hAnsi="仿宋_GB2312" w:cs="仿宋_GB2312" w:eastAsia="仿宋_GB2312"/>
                <w:color w:val="0000FF"/>
              </w:rPr>
              <w:t>（5）国家文物局【90】248号文件；</w:t>
            </w:r>
          </w:p>
          <w:p>
            <w:pPr>
              <w:pStyle w:val="null3"/>
            </w:pPr>
            <w:r>
              <w:rPr>
                <w:rFonts w:ascii="仿宋_GB2312" w:hAnsi="仿宋_GB2312" w:cs="仿宋_GB2312" w:eastAsia="仿宋_GB2312"/>
                <w:color w:val="0000FF"/>
              </w:rPr>
              <w:t>（6）陕文物发【2014】147号文件。</w:t>
            </w:r>
          </w:p>
          <w:p>
            <w:pPr>
              <w:pStyle w:val="null3"/>
            </w:pPr>
            <w:r>
              <w:rPr>
                <w:rFonts w:ascii="仿宋_GB2312" w:hAnsi="仿宋_GB2312" w:cs="仿宋_GB2312" w:eastAsia="仿宋_GB2312"/>
                <w:color w:val="0000FF"/>
              </w:rPr>
              <w:t>（7）国家和陕西省现行相关法律、法规、标准和规范。</w:t>
            </w:r>
          </w:p>
          <w:p>
            <w:pPr>
              <w:pStyle w:val="null3"/>
            </w:pPr>
            <w:r>
              <w:rPr>
                <w:rFonts w:ascii="仿宋_GB2312" w:hAnsi="仿宋_GB2312" w:cs="仿宋_GB2312" w:eastAsia="仿宋_GB2312"/>
                <w:color w:val="0000FF"/>
              </w:rPr>
              <w:t>备注：凡涉及的相关规范，如有最新颁布的按最新的文件执行。</w:t>
            </w:r>
          </w:p>
          <w:p>
            <w:pPr>
              <w:pStyle w:val="null3"/>
            </w:pPr>
            <w:r>
              <w:rPr>
                <w:rFonts w:ascii="仿宋_GB2312" w:hAnsi="仿宋_GB2312" w:cs="仿宋_GB2312" w:eastAsia="仿宋_GB2312"/>
                <w:color w:val="0000FF"/>
              </w:rPr>
              <w:t>5、提交资料</w:t>
            </w:r>
          </w:p>
          <w:p>
            <w:pPr>
              <w:pStyle w:val="null3"/>
            </w:pPr>
            <w:r>
              <w:rPr>
                <w:rFonts w:ascii="仿宋_GB2312" w:hAnsi="仿宋_GB2312" w:cs="仿宋_GB2312" w:eastAsia="仿宋_GB2312"/>
                <w:color w:val="0000FF"/>
              </w:rPr>
              <w:t>（1）考古发掘劳务工作完成后，供应商应向采购人提交《考古发掘工作报告》陆份。</w:t>
            </w:r>
          </w:p>
          <w:p>
            <w:pPr>
              <w:pStyle w:val="null3"/>
            </w:pPr>
            <w:r>
              <w:rPr>
                <w:rFonts w:ascii="仿宋_GB2312" w:hAnsi="仿宋_GB2312" w:cs="仿宋_GB2312" w:eastAsia="仿宋_GB2312"/>
                <w:color w:val="0000FF"/>
              </w:rPr>
              <w:t>（2）根据项目需要提供的其他资料。</w:t>
            </w:r>
          </w:p>
          <w:p>
            <w:pPr>
              <w:pStyle w:val="null3"/>
            </w:pPr>
            <w:r>
              <w:rPr>
                <w:rFonts w:ascii="仿宋_GB2312" w:hAnsi="仿宋_GB2312" w:cs="仿宋_GB2312" w:eastAsia="仿宋_GB2312"/>
                <w:color w:val="0000FF"/>
              </w:rPr>
              <w:t>6、其他未尽事宜按采购人及上级部门要求执行。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商务要求</w:t>
            </w:r>
          </w:p>
          <w:p>
            <w:pPr>
              <w:pStyle w:val="null3"/>
            </w:pPr>
            <w:r>
              <w:rPr>
                <w:rFonts w:ascii="仿宋_GB2312" w:hAnsi="仿宋_GB2312" w:cs="仿宋_GB2312" w:eastAsia="仿宋_GB2312"/>
              </w:rPr>
              <w:t>1、服务期：45日历天。</w:t>
            </w:r>
          </w:p>
          <w:p>
            <w:pPr>
              <w:pStyle w:val="null3"/>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3、付款方式：（1）验收合格后，一次性支付合同总金额的100.00%；（2）付款时供应商提供等额发票申请款项。</w:t>
            </w:r>
          </w:p>
          <w:p>
            <w:pPr>
              <w:pStyle w:val="null3"/>
            </w:pPr>
            <w:r>
              <w:rPr>
                <w:rFonts w:ascii="仿宋_GB2312" w:hAnsi="仿宋_GB2312" w:cs="仿宋_GB2312" w:eastAsia="仿宋_GB2312"/>
              </w:rPr>
              <w:t>4、验收标准：（1）符合国家现行规范及行业标准；（2）验收依据：采购人根据采购文件、响应文件、合同文本及附件内容等进行验收。</w:t>
            </w:r>
          </w:p>
          <w:p>
            <w:pPr>
              <w:pStyle w:val="null3"/>
            </w:pPr>
            <w:r>
              <w:rPr>
                <w:rFonts w:ascii="仿宋_GB2312" w:hAnsi="仿宋_GB2312" w:cs="仿宋_GB2312" w:eastAsia="仿宋_GB2312"/>
              </w:rPr>
              <w:t>5、违约责任：（1）依据《中华人民共和国民法典》、《中华人民共和国政府采购法》的相关条款和本项目服务合同的约定执行。（2）成交供应商未按合同要求履约，不符合磋商技术要求，成交供应商必须无条件更换人员或设备，提高技术，完善质量，否则，采购人有权终止合同，并对成交供应商的违约行为进行追究。</w:t>
            </w:r>
          </w:p>
          <w:p>
            <w:pPr>
              <w:pStyle w:val="null3"/>
            </w:pPr>
            <w:r>
              <w:rPr>
                <w:rFonts w:ascii="仿宋_GB2312" w:hAnsi="仿宋_GB2312" w:cs="仿宋_GB2312" w:eastAsia="仿宋_GB2312"/>
                <w:b/>
              </w:rPr>
              <w:t>备注：商务要求为实质性条款，不允许负偏离。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验收标准：（1）符合国家现行规范及行业标准；（2）验收依据：采购人根据采购文件、响应文件、合同文本及附件内容等进行验收。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项目服务合同的约定执行。（2）成交供应商未按合同要求履约，不符合磋商技术要求，成交供应商必须无条件更换人员或设备，提高技术，完善质量，否则，采购人有权终止合同，并对成交供应商的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次招标最高限价：单价最高限价：511元/m2；供应商应按单价进行报价，投标报价（单价及总价）超出最高限价的，作为不实质性响应磋商文件，按无效磋商处理。二、其他要求：1、供应商的磋商报价应是为完成本项目磋商文件中所提出的服务范围及要求的全部工作内容的价格体现，包括供应商完成本项目所需的直接费、间接费、利润、税金及其它相关的一切费用。包括但不限于：支护加固费、施工费、措施费、人工费、设备费、管理费、检测费（如有）、利润和税金等全部费用。在提供服务的过程中的任何遗漏，均由成交供应商提供，采购人将不再支付任何费用。2、项目类型：服务。3、本项目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法定代表人亲自参加磋商的，须出具法定代表人（单位负责人）身份证明及身份证，法定代表人委托代理人参加磋商的，须出具法定代表人（单位负责人）授权委托书及身份证；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严重失信主体名单”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授权委托书\法定代表人（单位负责人）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只能有⼀个有效报价，且未超过磋商文件规定的最高限价。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服务期、质量标准</w:t>
            </w:r>
          </w:p>
        </w:tc>
        <w:tc>
          <w:tcPr>
            <w:tcW w:type="dxa" w:w="3322"/>
          </w:tcPr>
          <w:p>
            <w:pPr>
              <w:pStyle w:val="null3"/>
            </w:pPr>
            <w:r>
              <w:rPr>
                <w:rFonts w:ascii="仿宋_GB2312" w:hAnsi="仿宋_GB2312" w:cs="仿宋_GB2312" w:eastAsia="仿宋_GB2312"/>
              </w:rPr>
              <w:t>满足竞争性磋商文件的要求。</w:t>
            </w:r>
          </w:p>
        </w:tc>
        <w:tc>
          <w:tcPr>
            <w:tcW w:type="dxa" w:w="1661"/>
          </w:tcPr>
          <w:p>
            <w:pPr>
              <w:pStyle w:val="null3"/>
            </w:pPr>
            <w:r>
              <w:rPr>
                <w:rFonts w:ascii="仿宋_GB2312" w:hAnsi="仿宋_GB2312" w:cs="仿宋_GB2312" w:eastAsia="仿宋_GB2312"/>
              </w:rPr>
              <w:t>商务要求偏离表 合同条款响应表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技术要求偏离表 合同条款响应表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一、评审内容：供应商针对本项目提出总体实施方案，方案内容包含：①对本项目的认识与理解；②前期准备工作；③勘探发掘实施方案；④遗迹清理实施方案；⑤文物提取实施方案。 二、评审标准：1.完整性：内容完整、全面，对评审内容中的要求有详细描述及说明；2.可实施性：切合本项目实际情况，实施步骤清晰、合理；3.针对性：方案能够紧扣项目实际情况，内容科学合理。 三、赋分标准：评审内容每完全满足一个评审标准得0.5分，每小项满分1.5分，共5小项，满分7.5分。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管理制度及安全保障措施</w:t>
            </w:r>
          </w:p>
        </w:tc>
        <w:tc>
          <w:tcPr>
            <w:tcW w:type="dxa" w:w="2492"/>
          </w:tcPr>
          <w:p>
            <w:pPr>
              <w:pStyle w:val="null3"/>
            </w:pPr>
            <w:r>
              <w:rPr>
                <w:rFonts w:ascii="仿宋_GB2312" w:hAnsi="仿宋_GB2312" w:cs="仿宋_GB2312" w:eastAsia="仿宋_GB2312"/>
              </w:rPr>
              <w:t>一、评审内容：供应商针对本项目服务要求提供管理制度及安全保障措施，内容包含：①现场管理及组织措施；②工期管控制度及措施；③文物安全保障措施；④安全作业管理措施；⑤现场文明作业管理（扬尘治理、裸土覆网、场地保洁、渣土管控等）措施；⑥人员安全保障方案。 二、评审标准： 1.完整性：内容完整、全面，对评审内容中的要求有详细描述及说明；2.可实施性：切合本项目实际情况，实施步骤清晰、合理；3.针对性：内容能够紧扣项目实际情况，内容科学合理。 三、赋分标准：评审内容每完全满足一个评审标准得0.5分，每小项满分1.5分，共6小项，满分9分。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应急预案及重、难点分析</w:t>
            </w:r>
          </w:p>
        </w:tc>
        <w:tc>
          <w:tcPr>
            <w:tcW w:type="dxa" w:w="2492"/>
          </w:tcPr>
          <w:p>
            <w:pPr>
              <w:pStyle w:val="null3"/>
            </w:pPr>
            <w:r>
              <w:rPr>
                <w:rFonts w:ascii="仿宋_GB2312" w:hAnsi="仿宋_GB2312" w:cs="仿宋_GB2312" w:eastAsia="仿宋_GB2312"/>
              </w:rPr>
              <w:t>一、评审内容：供应商针对本项目提供应急预案及重、难点分析，内容包含：①应急组织机构及岗位职责；②应急响应流程；③突发情况的应急预案；④应急物资、人员、后勤保障措施；⑤项目实施重、难点分析及针对性解决方案。 二、评审标准：1.完整性：内容完整、全面，对评审内容中的要求有详细描述及说明；2.可实施性：切合本项目实际情况，实施步骤清晰、合理；3.针对性：内容能够紧扣项目实际情况，内容科学合理。 三、赋分标准：评审内容每完全满足一个评审标准得0.5分，每小项满分1.5分，共5小项，满分7.5分。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保密措施、服务承诺及合理化建议</w:t>
            </w:r>
          </w:p>
        </w:tc>
        <w:tc>
          <w:tcPr>
            <w:tcW w:type="dxa" w:w="2492"/>
          </w:tcPr>
          <w:p>
            <w:pPr>
              <w:pStyle w:val="null3"/>
            </w:pPr>
            <w:r>
              <w:rPr>
                <w:rFonts w:ascii="仿宋_GB2312" w:hAnsi="仿宋_GB2312" w:cs="仿宋_GB2312" w:eastAsia="仿宋_GB2312"/>
              </w:rPr>
              <w:t>一、评审内容：供应商针对于本项目提出的保密措施、服务承诺及合理化建议，内容包含：①保密管理制度；②保密保障措施；③考古发掘工作符合国家相关政策、行业技术标准的专项承诺；④廉洁从业承诺；⑤后续服务承诺；⑥合理化建议。 二、评审标准：1.完整性：方案内容完整、全面，对评审内容中的要求有详细描述及说明；2.可实施性：切合本项目实际情况，实施步骤清晰、合理；3.针对性：方案能够紧扣项目实际情况，内容科学合理。 三、赋分标准：评审内容每完全满足一个评审标准得0.5分，每小项满分1.5分，共6小项，满分9分。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针对本项目提供的管理机构，内容包含：①项目管理机构人员配备计划；②管理机构岗位职责；③人员管理制度；④项目管理机构人员配备工作经验等（可提供相关人员资格证书、职称、业绩或说明等）。 二、评审标准：1.完整性：内容完整、全面，对评审内容中的要求有详细描述及说明；2.可实施性：切合本项目实际情况，实施步骤清晰、合理；3.针对性：内容能够紧扣项目实际情况，内容科学合理。 三、赋分标准：评审内容每完全满足一个评审标准得0.5分，每小项满分1.5分，共4小项，满分6分。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 拟派本项目负责人： （1）具备考古、文物保护等相关专业大专学历得1分，本科及以上学历得2分。提供有效学历证书复印件或扫描件，未提供不得分。 （2）提供2022年1月1日（以中标通知书或合同时间为准）至今作为项目负责人完成过的类似项目业绩，每提供一项业绩得2.5分，满分10分。 备注：提供合同及该人员在本业绩项目中担任项目负责人的相关证明材料的复印件或扫描件，若合同内已注明项目负责人的，可直接作为其业绩证明。</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拟投入设施设备及工器具</w:t>
            </w:r>
          </w:p>
        </w:tc>
        <w:tc>
          <w:tcPr>
            <w:tcW w:type="dxa" w:w="2492"/>
          </w:tcPr>
          <w:p>
            <w:pPr>
              <w:pStyle w:val="null3"/>
            </w:pPr>
            <w:r>
              <w:rPr>
                <w:rFonts w:ascii="仿宋_GB2312" w:hAnsi="仿宋_GB2312" w:cs="仿宋_GB2312" w:eastAsia="仿宋_GB2312"/>
              </w:rPr>
              <w:t>供应商针对本项目拟投入以下设施设备及工器具：①测绘设备RTK；②无人机；③发电机；④电脑；⑤照相机或摄像机；⑥GPS；⑦铁锹。以上设施设备、工器具配置齐全得7分，不满足不得分；每增加一种其他设备或工器具（以上除外）得1分，最多加10分。此项满分17分。 备注：需提供合法有效的设备、器具购置证明或租赁证明，未提供不得分。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提供2022年1月1日（以合同时间为准）至今供应商承接过的类似考古发掘劳务服务项目业绩，每提供一项业绩得3分，满分12分。以供应商响应文件中所提供的合同复印件或扫描件为准。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磋商文件要求且最后报价最低的供应商的价格为磋商基准价，其价格得分为满分。其他供应商的价格得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