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版本号：ZCBN-西安市-2026-0086920260616001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新中国五大画派巡回交流展览（广州站）服务项目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ZCBN-西安市-2026-00869</w:t>
      </w:r>
      <w:r>
        <w:br/>
      </w:r>
      <w:r>
        <w:br/>
      </w:r>
      <w:r>
        <w:br/>
      </w:r>
    </w:p>
    <w:p>
      <w:pPr>
        <w:pStyle w:val="null3"/>
        <w:jc w:val="center"/>
        <w:outlineLvl w:val="2"/>
      </w:pPr>
      <w:r>
        <w:rPr>
          <w:rFonts w:ascii="仿宋_GB2312" w:hAnsi="仿宋_GB2312" w:cs="仿宋_GB2312" w:eastAsia="仿宋_GB2312"/>
          <w:sz w:val="28"/>
          <w:b/>
        </w:rPr>
        <w:t>西安中国画院</w:t>
      </w:r>
    </w:p>
    <w:p>
      <w:pPr>
        <w:pStyle w:val="null3"/>
        <w:jc w:val="center"/>
        <w:outlineLvl w:val="2"/>
      </w:pPr>
      <w:r>
        <w:rPr>
          <w:rFonts w:ascii="仿宋_GB2312" w:hAnsi="仿宋_GB2312" w:cs="仿宋_GB2312" w:eastAsia="仿宋_GB2312"/>
          <w:sz w:val="28"/>
          <w:b/>
        </w:rPr>
        <w:t>陕西嘉悦晟禾工程咨询有限公司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陕西嘉悦晟禾工程咨询有限公司</w:t>
      </w:r>
      <w:r>
        <w:rPr>
          <w:rFonts w:ascii="仿宋_GB2312" w:hAnsi="仿宋_GB2312" w:cs="仿宋_GB2312" w:eastAsia="仿宋_GB2312"/>
        </w:rPr>
        <w:t>（以下简称“代理机构”）受</w:t>
      </w:r>
      <w:r>
        <w:rPr>
          <w:rFonts w:ascii="仿宋_GB2312" w:hAnsi="仿宋_GB2312" w:cs="仿宋_GB2312" w:eastAsia="仿宋_GB2312"/>
        </w:rPr>
        <w:t>西安中国画院</w:t>
      </w:r>
      <w:r>
        <w:rPr>
          <w:rFonts w:ascii="仿宋_GB2312" w:hAnsi="仿宋_GB2312" w:cs="仿宋_GB2312" w:eastAsia="仿宋_GB2312"/>
        </w:rPr>
        <w:t>委托，拟对</w:t>
      </w:r>
      <w:r>
        <w:rPr>
          <w:rFonts w:ascii="仿宋_GB2312" w:hAnsi="仿宋_GB2312" w:cs="仿宋_GB2312" w:eastAsia="仿宋_GB2312"/>
        </w:rPr>
        <w:t>新中国五大画派巡回交流展览（广州站）服务项目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ZCBN-西安市-2026-00869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新中国五大画派巡回交流展览（广州站）服务项目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重温长安画派的光辉历程，进一步促进新中国成立以来形成的五大画派（包括但不限于长安画派、京津画派、海上画派、岭南画派、金陵画派）之间的艺术交流与融合，取长补短，共同探索中国五大画派在新时代的传承与发展之路，旨在重点提升“长安画派”在全国的知名度与影响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采购包1（五大画派巡回交流展览）：属于专门面向小微企业采购。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1、主体资格：具有独立承担民事责任能力的法人、其他组织或自然人，并出具合法有效的营业执照等国家规定的相关证明，自然人参与的提供其身份证明（提供复印件加盖公章）；</w:t>
      </w:r>
    </w:p>
    <w:p>
      <w:pPr>
        <w:pStyle w:val="null3"/>
      </w:pPr>
      <w:r>
        <w:rPr>
          <w:rFonts w:ascii="仿宋_GB2312" w:hAnsi="仿宋_GB2312" w:cs="仿宋_GB2312" w:eastAsia="仿宋_GB2312"/>
        </w:rPr>
        <w:t>2、投标代表资格：供应商应授权合法的人员参加采购活动全过程，其中法定代表人直接参加磋商的，须出具法定代表人身份证扫描件，并与营业执照上信息一致；法定代表人授权代表参加磋商的，须出具法定代表人授权书及被授权代表身份证扫描件；</w:t>
      </w:r>
    </w:p>
    <w:p>
      <w:pPr>
        <w:pStyle w:val="null3"/>
      </w:pPr>
      <w:r>
        <w:rPr>
          <w:rFonts w:ascii="仿宋_GB2312" w:hAnsi="仿宋_GB2312" w:cs="仿宋_GB2312" w:eastAsia="仿宋_GB2312"/>
        </w:rPr>
        <w:t>3、财务状况资料：提供2025年度经审计的财务报告（成立时间至提交磋商响应文件递交截止时间不足一年的可提供成立后任意时段的资产负债表），或其基本存款账户开户银行出具的资信证明（附开户许可证或开户备案证明）；</w:t>
      </w:r>
    </w:p>
    <w:p>
      <w:pPr>
        <w:pStyle w:val="null3"/>
      </w:pPr>
      <w:r>
        <w:rPr>
          <w:rFonts w:ascii="仿宋_GB2312" w:hAnsi="仿宋_GB2312" w:cs="仿宋_GB2312" w:eastAsia="仿宋_GB2312"/>
        </w:rPr>
        <w:t>4、税收缴纳证明：提供磋商前一年内已缴纳的至少一个月的纳税证明或完税证明（任意税种），依法免税的单位应提供相关证明材料；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社会保障资金缴纳证明：提供磋商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6、没有重大违法记录书面声明：参加政府采购活动近三年内，在经营活动中没有重大违法记录书面声明（加盖公章）；</w:t>
      </w:r>
    </w:p>
    <w:p>
      <w:pPr>
        <w:pStyle w:val="null3"/>
      </w:pPr>
      <w:r>
        <w:rPr>
          <w:rFonts w:ascii="仿宋_GB2312" w:hAnsi="仿宋_GB2312" w:cs="仿宋_GB2312" w:eastAsia="仿宋_GB2312"/>
        </w:rPr>
        <w:t>7、信誉：供应商不得为“信用中国”网站（www.creditchina.gov.cn）中列入严重失信主体名单，供应商不得为“中国执行信息公开网”（http://zxgk.court.gov.cn/shixin/） 中列入严重失信被执行人，供应商不得为政府采购严重违法失信行为记录名单的供应商，（提供查询结果网页截图，代理机构工作人员在现场复核）；</w:t>
      </w:r>
    </w:p>
    <w:p>
      <w:pPr>
        <w:pStyle w:val="null3"/>
      </w:pPr>
      <w:r>
        <w:rPr>
          <w:rFonts w:ascii="仿宋_GB2312" w:hAnsi="仿宋_GB2312" w:cs="仿宋_GB2312" w:eastAsia="仿宋_GB2312"/>
        </w:rPr>
        <w:t>8、控股管理关系：单位负责人为同一人或者存在直接控股、管理关系的供应商，不得参加同一合同下的政府采购活动。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西安中国画院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含光路南段14号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029-88219613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陕西嘉悦晟禾工程咨询有限公司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陕西省咸阳市高新技术产业开发区咸平路与香柏路交叉口西南角高新公园里16号楼二单元 502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15389350626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代理服务费收费标准：参照关于《招标代理服务收费管理暂行办法》（计价格[2002]1980号）和《关于招标代理服务收费有关问题的通知》（发改办价格[2003]857 号）的规定标准下浮30%收取，按照中标金额差额累进法计算。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西安中国画院</w:t>
      </w:r>
      <w:r>
        <w:rPr>
          <w:rFonts w:ascii="仿宋_GB2312" w:hAnsi="仿宋_GB2312" w:cs="仿宋_GB2312" w:eastAsia="仿宋_GB2312"/>
        </w:rPr>
        <w:t>和</w:t>
      </w:r>
      <w:r>
        <w:rPr>
          <w:rFonts w:ascii="仿宋_GB2312" w:hAnsi="仿宋_GB2312" w:cs="仿宋_GB2312" w:eastAsia="仿宋_GB2312"/>
        </w:rPr>
        <w:t>陕西嘉悦晟禾工程咨询有限公司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西安中国画院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陕西嘉悦晟禾工程咨询有限公司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西安中国画院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陕西嘉悦晟禾工程咨询有限公司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陕西嘉悦晟禾工程咨询有限公司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陕西嘉悦晟禾工程咨询有限公司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陕西嘉悦晟禾工程咨询有限公司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联系人：高金丹</w:t>
      </w:r>
    </w:p>
    <w:p>
      <w:pPr>
        <w:pStyle w:val="null3"/>
      </w:pPr>
      <w:r>
        <w:rPr>
          <w:rFonts w:ascii="仿宋_GB2312" w:hAnsi="仿宋_GB2312" w:cs="仿宋_GB2312" w:eastAsia="仿宋_GB2312"/>
        </w:rPr>
        <w:t>联系电话：15389350626</w:t>
      </w:r>
    </w:p>
    <w:p>
      <w:pPr>
        <w:pStyle w:val="null3"/>
      </w:pPr>
      <w:r>
        <w:rPr>
          <w:rFonts w:ascii="仿宋_GB2312" w:hAnsi="仿宋_GB2312" w:cs="仿宋_GB2312" w:eastAsia="仿宋_GB2312"/>
        </w:rPr>
        <w:t>地址：陕西省咸阳市高新技术产业开发区咸平路与香柏路交叉口西南角高新公园里16号楼二单元 502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重温长安画派的光辉历程，进一步促进新中国成立以来形成的五大画派（包括但不限于长安画派、京津画派、海上画派、岭南画派、金陵画派）之间的艺术交流与融合，取长补短，共同探索中国五大画派在新时代的传承与发展之路，旨在重点提升“长安画派”在全国的知名度与影响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新中国五大画派巡回交流展览（广州站）服务项目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标的名称：新中国五大画派巡回交流展览（广州站）服务项目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新中国五大画派巡回交流展览（广州站）</w:t>
            </w:r>
          </w:p>
          <w:p>
            <w:pPr>
              <w:pStyle w:val="null3"/>
              <w:jc w:val="center"/>
            </w:pPr>
            <w:r>
              <w:rPr>
                <w:rFonts w:ascii="仿宋_GB2312" w:hAnsi="仿宋_GB2312" w:cs="仿宋_GB2312" w:eastAsia="仿宋_GB2312"/>
                <w:sz w:val="21"/>
                <w:b/>
              </w:rPr>
              <w:t>采购内容及要求</w:t>
            </w:r>
          </w:p>
          <w:p>
            <w:pPr>
              <w:pStyle w:val="null3"/>
              <w:ind w:firstLine="480"/>
              <w:jc w:val="both"/>
            </w:pPr>
            <w:r>
              <w:rPr>
                <w:rFonts w:ascii="仿宋_GB2312" w:hAnsi="仿宋_GB2312" w:cs="仿宋_GB2312" w:eastAsia="仿宋_GB2312"/>
                <w:sz w:val="21"/>
              </w:rPr>
              <w:t>为深入贯彻落实党的二十届三中全会精神，践行总书记的文化思想、文化发展理念和在文艺工作座谈会上的重要讲话精神，进一步落实《中共中央关于繁荣发展社会主义文艺的意见》要求，落实省、市党代会精神，做大做强“长安画派”文化品牌，我院拟举办新中国五大画派巡回交流展览（广州站）项目。</w:t>
            </w:r>
          </w:p>
          <w:p>
            <w:pPr>
              <w:pStyle w:val="null3"/>
              <w:ind w:firstLine="482"/>
              <w:jc w:val="both"/>
            </w:pPr>
            <w:r>
              <w:rPr>
                <w:rFonts w:ascii="仿宋_GB2312" w:hAnsi="仿宋_GB2312" w:cs="仿宋_GB2312" w:eastAsia="仿宋_GB2312"/>
                <w:sz w:val="21"/>
                <w:b/>
              </w:rPr>
              <w:t>一、项目简介</w:t>
            </w:r>
          </w:p>
          <w:p>
            <w:pPr>
              <w:pStyle w:val="null3"/>
              <w:ind w:firstLine="480"/>
              <w:jc w:val="both"/>
            </w:pPr>
            <w:r>
              <w:rPr>
                <w:rFonts w:ascii="仿宋_GB2312" w:hAnsi="仿宋_GB2312" w:cs="仿宋_GB2312" w:eastAsia="仿宋_GB2312"/>
                <w:sz w:val="21"/>
              </w:rPr>
              <w:t>该项目旨在通过重温长安画派的光辉历程，进一步促进新中国成立以来形成的五大画派（包括但不限于长安画派、京津画派、海上画派、岭南画派、金陵画派）之间的艺术交流与融合，取长补短，共同探索中国五大画派在新时代的传承与发展之路，旨在重点提升“长安画派”在全国的知名度与影响力。</w:t>
            </w:r>
          </w:p>
          <w:p>
            <w:pPr>
              <w:pStyle w:val="null3"/>
              <w:jc w:val="both"/>
            </w:pPr>
            <w:r>
              <w:rPr>
                <w:rFonts w:ascii="仿宋_GB2312" w:hAnsi="仿宋_GB2312" w:cs="仿宋_GB2312" w:eastAsia="仿宋_GB2312"/>
                <w:sz w:val="21"/>
              </w:rPr>
              <w:t xml:space="preserve">   项目计划自2026年起，以广州为起点，依次在上海、南京、北京等城市举办巡回展览，最终回归西安进行总结与回顾。每站展览均将邀请当地画派及艺术家共同参与，形成深度交流与互动。每站展览期间，将举办学术研讨会、艺术家对话等活动，邀请专家学者及艺术家就中国画艺术的传承与创新、各画派之间的异同与联系等议题进行深入探讨与交流。</w:t>
            </w:r>
          </w:p>
          <w:p>
            <w:pPr>
              <w:pStyle w:val="null3"/>
              <w:numPr>
                <w:ilvl w:val="0"/>
                <w:numId w:val="1"/>
              </w:numPr>
              <w:jc w:val="both"/>
            </w:pPr>
            <w:r>
              <w:rPr>
                <w:rFonts w:ascii="仿宋_GB2312" w:hAnsi="仿宋_GB2312" w:cs="仿宋_GB2312" w:eastAsia="仿宋_GB2312"/>
                <w:sz w:val="21"/>
                <w:b/>
              </w:rPr>
              <w:t>组织架构</w:t>
            </w:r>
          </w:p>
          <w:p>
            <w:pPr>
              <w:pStyle w:val="null3"/>
              <w:ind w:firstLine="480"/>
              <w:jc w:val="both"/>
            </w:pPr>
            <w:r>
              <w:rPr>
                <w:rFonts w:ascii="仿宋_GB2312" w:hAnsi="仿宋_GB2312" w:cs="仿宋_GB2312" w:eastAsia="仿宋_GB2312"/>
                <w:sz w:val="21"/>
              </w:rPr>
              <w:t>主办单位：西安市文化和旅游局</w:t>
            </w:r>
          </w:p>
          <w:p>
            <w:pPr>
              <w:pStyle w:val="null3"/>
              <w:ind w:firstLine="480"/>
              <w:jc w:val="both"/>
            </w:pPr>
            <w:r>
              <w:rPr>
                <w:rFonts w:ascii="仿宋_GB2312" w:hAnsi="仿宋_GB2312" w:cs="仿宋_GB2312" w:eastAsia="仿宋_GB2312"/>
                <w:sz w:val="21"/>
              </w:rPr>
              <w:t>学术指导单位：文化和旅游部艺术发展中心、陕西省美术家协会</w:t>
            </w:r>
          </w:p>
          <w:p>
            <w:pPr>
              <w:pStyle w:val="null3"/>
              <w:ind w:firstLine="480"/>
              <w:jc w:val="both"/>
            </w:pPr>
            <w:r>
              <w:rPr>
                <w:rFonts w:ascii="仿宋_GB2312" w:hAnsi="仿宋_GB2312" w:cs="仿宋_GB2312" w:eastAsia="仿宋_GB2312"/>
                <w:sz w:val="21"/>
              </w:rPr>
              <w:t>承办单位：西安中国画院</w:t>
            </w:r>
          </w:p>
          <w:p>
            <w:pPr>
              <w:pStyle w:val="null3"/>
              <w:numPr>
                <w:ilvl w:val="0"/>
                <w:numId w:val="1"/>
              </w:numPr>
              <w:jc w:val="both"/>
            </w:pPr>
            <w:r>
              <w:rPr>
                <w:rFonts w:ascii="仿宋_GB2312" w:hAnsi="仿宋_GB2312" w:cs="仿宋_GB2312" w:eastAsia="仿宋_GB2312"/>
                <w:sz w:val="21"/>
                <w:b/>
              </w:rPr>
              <w:t>项目内容</w:t>
            </w:r>
          </w:p>
          <w:p>
            <w:pPr>
              <w:pStyle w:val="null3"/>
              <w:ind w:firstLine="480"/>
              <w:jc w:val="left"/>
            </w:pPr>
            <w:r>
              <w:rPr>
                <w:rFonts w:ascii="仿宋_GB2312" w:hAnsi="仿宋_GB2312" w:cs="仿宋_GB2312" w:eastAsia="仿宋_GB2312"/>
                <w:sz w:val="21"/>
              </w:rPr>
              <w:t>1.“双城辉映——广州与西安画院艺术交流展”</w:t>
            </w:r>
          </w:p>
          <w:p>
            <w:pPr>
              <w:pStyle w:val="null3"/>
              <w:ind w:firstLine="480"/>
              <w:jc w:val="left"/>
            </w:pPr>
            <w:r>
              <w:rPr>
                <w:rFonts w:ascii="仿宋_GB2312" w:hAnsi="仿宋_GB2312" w:cs="仿宋_GB2312" w:eastAsia="仿宋_GB2312"/>
                <w:sz w:val="21"/>
              </w:rPr>
              <w:t>以“传承经典、创新当代”为核心，聚焦广州与西安两地画院的艺术积淀与时代探索，通过长安画派与岭南画派的对话，展现西北雄浑气象与岭南灵动风情的碰撞融合，推动两地艺术资源互鉴与文化品牌共塑。</w:t>
            </w:r>
          </w:p>
          <w:p>
            <w:pPr>
              <w:pStyle w:val="null3"/>
              <w:ind w:firstLine="480"/>
              <w:jc w:val="both"/>
            </w:pPr>
            <w:r>
              <w:rPr>
                <w:rFonts w:ascii="仿宋_GB2312" w:hAnsi="仿宋_GB2312" w:cs="仿宋_GB2312" w:eastAsia="仿宋_GB2312"/>
                <w:sz w:val="21"/>
              </w:rPr>
              <w:t>2.展区设置与作品规划</w:t>
            </w:r>
          </w:p>
          <w:p>
            <w:pPr>
              <w:pStyle w:val="null3"/>
              <w:ind w:firstLine="480"/>
              <w:jc w:val="both"/>
            </w:pPr>
            <w:r>
              <w:rPr>
                <w:rFonts w:ascii="仿宋_GB2312" w:hAnsi="仿宋_GB2312" w:cs="仿宋_GB2312" w:eastAsia="仿宋_GB2312"/>
                <w:sz w:val="21"/>
              </w:rPr>
              <w:t>1）双城主题展区</w:t>
            </w:r>
          </w:p>
          <w:p>
            <w:pPr>
              <w:pStyle w:val="null3"/>
              <w:ind w:firstLine="480"/>
              <w:jc w:val="both"/>
            </w:pPr>
            <w:r>
              <w:rPr>
                <w:rFonts w:ascii="仿宋_GB2312" w:hAnsi="仿宋_GB2312" w:cs="仿宋_GB2312" w:eastAsia="仿宋_GB2312"/>
                <w:sz w:val="21"/>
              </w:rPr>
              <w:t>“长安风韵——西安中国画院专题展”：精选西安中国画院收藏的长安画坛主题性美术精品，呈现长安画派“一手伸向传统，一手伸向生活”的艺术主张，展现西北山川的雄浑意境与人文精神。</w:t>
            </w:r>
          </w:p>
          <w:p>
            <w:pPr>
              <w:pStyle w:val="null3"/>
              <w:ind w:firstLine="480"/>
              <w:jc w:val="both"/>
            </w:pPr>
            <w:r>
              <w:rPr>
                <w:rFonts w:ascii="仿宋_GB2312" w:hAnsi="仿宋_GB2312" w:cs="仿宋_GB2312" w:eastAsia="仿宋_GB2312"/>
                <w:sz w:val="21"/>
              </w:rPr>
              <w:t>“岭南风情——广州画院专题展”：呈现广州画院艺术家的跨界实践，包括工笔重彩与抽象元素结合的实验性作品、反映粤港澳大湾区建设的现实题材创作，凸显岭南画派“与时俱进”的活力。</w:t>
            </w:r>
          </w:p>
          <w:p>
            <w:pPr>
              <w:pStyle w:val="null3"/>
              <w:ind w:firstLine="480"/>
              <w:jc w:val="both"/>
            </w:pPr>
            <w:r>
              <w:rPr>
                <w:rFonts w:ascii="仿宋_GB2312" w:hAnsi="仿宋_GB2312" w:cs="仿宋_GB2312" w:eastAsia="仿宋_GB2312"/>
                <w:sz w:val="21"/>
              </w:rPr>
              <w:t>2）双城对话特别展区</w:t>
            </w:r>
          </w:p>
          <w:p>
            <w:pPr>
              <w:pStyle w:val="null3"/>
              <w:ind w:firstLine="480"/>
              <w:jc w:val="both"/>
            </w:pPr>
            <w:r>
              <w:rPr>
                <w:rFonts w:ascii="仿宋_GB2312" w:hAnsi="仿宋_GB2312" w:cs="仿宋_GB2312" w:eastAsia="仿宋_GB2312"/>
                <w:sz w:val="21"/>
              </w:rPr>
              <w:t>笔墨交融”联合创作区：邀请两地画院各5位艺术家提前合作创作1幅主题作品（如《秦岭与南岭对话》《黄河与珠江共鸣》），以“同题创作”形式展现不同地域文化背景下的艺术碰撞，作品风格兼顾长安画派的厚重与岭南画派的明快。</w:t>
            </w:r>
          </w:p>
          <w:p>
            <w:pPr>
              <w:pStyle w:val="null3"/>
              <w:ind w:firstLine="480"/>
              <w:jc w:val="both"/>
            </w:pPr>
            <w:r>
              <w:rPr>
                <w:rFonts w:ascii="仿宋_GB2312" w:hAnsi="仿宋_GB2312" w:cs="仿宋_GB2312" w:eastAsia="仿宋_GB2312"/>
                <w:sz w:val="21"/>
              </w:rPr>
              <w:t>“数字艺术互动区”：利用AR技术将两地经典画作转化为动态场景（如长安画派作品中的黄土高原随观众互动“生长”出绿植，岭南画派的花鸟画“飞出”画面），增强观众对两地艺术特色的沉浸式体验。</w:t>
            </w:r>
          </w:p>
          <w:p>
            <w:pPr>
              <w:pStyle w:val="null3"/>
              <w:ind w:firstLine="480"/>
              <w:jc w:val="both"/>
            </w:pPr>
            <w:r>
              <w:rPr>
                <w:rFonts w:ascii="仿宋_GB2312" w:hAnsi="仿宋_GB2312" w:cs="仿宋_GB2312" w:eastAsia="仿宋_GB2312"/>
                <w:sz w:val="21"/>
              </w:rPr>
              <w:t>3.配套活动</w:t>
            </w:r>
          </w:p>
          <w:p>
            <w:pPr>
              <w:pStyle w:val="null3"/>
              <w:ind w:firstLine="480"/>
              <w:jc w:val="both"/>
            </w:pPr>
            <w:r>
              <w:rPr>
                <w:rFonts w:ascii="仿宋_GB2312" w:hAnsi="仿宋_GB2312" w:cs="仿宋_GB2312" w:eastAsia="仿宋_GB2312"/>
                <w:sz w:val="21"/>
              </w:rPr>
              <w:t>（1）学术研讨会：“双城画脉的传承与创新”</w:t>
            </w:r>
          </w:p>
          <w:p>
            <w:pPr>
              <w:pStyle w:val="null3"/>
              <w:ind w:firstLine="480"/>
              <w:jc w:val="both"/>
            </w:pPr>
            <w:r>
              <w:rPr>
                <w:rFonts w:ascii="仿宋_GB2312" w:hAnsi="仿宋_GB2312" w:cs="仿宋_GB2312" w:eastAsia="仿宋_GB2312"/>
                <w:sz w:val="21"/>
              </w:rPr>
              <w:t>邀请广州画院、西安中国画院院长及两地美术理论学者（共15人），围绕“长安画派与岭南画派的地域基因比较”“当代城市题材创作的异同”等议题展开对话，形成《双城艺术交流白皮书》。</w:t>
            </w:r>
          </w:p>
          <w:p>
            <w:pPr>
              <w:pStyle w:val="null3"/>
              <w:ind w:firstLine="480"/>
              <w:jc w:val="both"/>
            </w:pPr>
            <w:r>
              <w:rPr>
                <w:rFonts w:ascii="仿宋_GB2312" w:hAnsi="仿宋_GB2312" w:cs="仿宋_GB2312" w:eastAsia="仿宋_GB2312"/>
                <w:sz w:val="21"/>
              </w:rPr>
              <w:t>（2）艺术家现场创作与公众导赏</w:t>
            </w:r>
          </w:p>
          <w:p>
            <w:pPr>
              <w:pStyle w:val="null3"/>
              <w:ind w:firstLine="480"/>
              <w:jc w:val="both"/>
            </w:pPr>
            <w:r>
              <w:rPr>
                <w:rFonts w:ascii="仿宋_GB2312" w:hAnsi="仿宋_GB2312" w:cs="仿宋_GB2312" w:eastAsia="仿宋_GB2312"/>
                <w:sz w:val="21"/>
              </w:rPr>
              <w:t>每日安排1位西安艺术家与1位广州艺术家进行“同台创作”，现场示范两地代表性技法（如长安画派的泼墨山水、岭南画派的撞水撞粉法），并开放观众提问互动。</w:t>
            </w:r>
          </w:p>
          <w:p>
            <w:pPr>
              <w:pStyle w:val="null3"/>
              <w:ind w:firstLine="480"/>
              <w:jc w:val="both"/>
            </w:pPr>
            <w:r>
              <w:rPr>
                <w:rFonts w:ascii="仿宋_GB2312" w:hAnsi="仿宋_GB2312" w:cs="仿宋_GB2312" w:eastAsia="仿宋_GB2312"/>
                <w:sz w:val="21"/>
              </w:rPr>
              <w:t>推出“艺术家导赏日”，由两地参展艺术家亲自讲解经典作品背后的创作故事，增强公众对作品的理解与共鸣。</w:t>
            </w:r>
          </w:p>
          <w:p>
            <w:pPr>
              <w:pStyle w:val="null3"/>
              <w:ind w:firstLine="480"/>
              <w:jc w:val="both"/>
            </w:pPr>
            <w:r>
              <w:rPr>
                <w:rFonts w:ascii="仿宋_GB2312" w:hAnsi="仿宋_GB2312" w:cs="仿宋_GB2312" w:eastAsia="仿宋_GB2312"/>
                <w:sz w:val="21"/>
              </w:rPr>
              <w:t>（3）青少年艺术工作坊</w:t>
            </w:r>
          </w:p>
          <w:p>
            <w:pPr>
              <w:pStyle w:val="null3"/>
              <w:ind w:firstLine="480"/>
              <w:jc w:val="both"/>
            </w:pPr>
            <w:r>
              <w:rPr>
                <w:rFonts w:ascii="仿宋_GB2312" w:hAnsi="仿宋_GB2312" w:cs="仿宋_GB2312" w:eastAsia="仿宋_GB2312"/>
                <w:sz w:val="21"/>
              </w:rPr>
              <w:t>针对广州本地青少年设置“双城画笔”体验活动，提供长安画派的黄土色系与岭南画派的青绿颜料，引导参与者结合两地艺术元素创作主题画作，优秀作品将在展览尾声设置“青少年特展区”展出。</w:t>
            </w:r>
          </w:p>
          <w:p>
            <w:pPr>
              <w:pStyle w:val="null3"/>
              <w:numPr>
                <w:ilvl w:val="0"/>
                <w:numId w:val="1"/>
              </w:numPr>
              <w:jc w:val="both"/>
            </w:pPr>
            <w:r>
              <w:rPr>
                <w:rFonts w:ascii="仿宋_GB2312" w:hAnsi="仿宋_GB2312" w:cs="仿宋_GB2312" w:eastAsia="仿宋_GB2312"/>
                <w:sz w:val="21"/>
                <w:b/>
              </w:rPr>
              <w:t>实施进度</w:t>
            </w:r>
          </w:p>
          <w:p>
            <w:pPr>
              <w:pStyle w:val="null3"/>
              <w:ind w:firstLine="480"/>
              <w:jc w:val="both"/>
            </w:pPr>
            <w:r>
              <w:rPr>
                <w:rFonts w:ascii="仿宋_GB2312" w:hAnsi="仿宋_GB2312" w:cs="仿宋_GB2312" w:eastAsia="仿宋_GB2312"/>
                <w:sz w:val="21"/>
              </w:rPr>
              <w:t>完成两地画院参展作品筛选、装裱及运输筹备，确认广州美术馆场地租赁与展区设计，制作展览主题海报及宣传物料。</w:t>
            </w:r>
          </w:p>
          <w:p>
            <w:pPr>
              <w:pStyle w:val="null3"/>
              <w:ind w:firstLine="480"/>
              <w:jc w:val="both"/>
            </w:pPr>
            <w:r>
              <w:rPr>
                <w:rFonts w:ascii="仿宋_GB2312" w:hAnsi="仿宋_GB2312" w:cs="仿宋_GB2312" w:eastAsia="仿宋_GB2312"/>
                <w:sz w:val="21"/>
              </w:rPr>
              <w:t>启动多渠道宣传（纸媒专题、短视频拍摄、社交媒体预热），筹备“双城画脉的传承与创新”学术研讨会，完成作品运输及布展流程制定。</w:t>
            </w:r>
          </w:p>
          <w:p>
            <w:pPr>
              <w:pStyle w:val="null3"/>
              <w:ind w:firstLine="480"/>
              <w:jc w:val="both"/>
            </w:pPr>
            <w:r>
              <w:rPr>
                <w:rFonts w:ascii="仿宋_GB2312" w:hAnsi="仿宋_GB2312" w:cs="仿宋_GB2312" w:eastAsia="仿宋_GB2312"/>
                <w:sz w:val="21"/>
              </w:rPr>
              <w:t>1-2日布展（含VR互动区搭建）；3-10日开展（含开幕式、研讨会、艺术家导赏及青少年工作坊）；10日晚撤展并安排作品返程。</w:t>
            </w:r>
          </w:p>
          <w:p>
            <w:pPr>
              <w:pStyle w:val="null3"/>
              <w:ind w:firstLine="480"/>
              <w:jc w:val="both"/>
            </w:pPr>
            <w:r>
              <w:rPr>
                <w:rFonts w:ascii="仿宋_GB2312" w:hAnsi="仿宋_GB2312" w:cs="仿宋_GB2312" w:eastAsia="仿宋_GB2312"/>
                <w:sz w:val="21"/>
              </w:rPr>
              <w:t>整理展览纪实影像、学术研讨会成果，发布专题片及总结报告，签订西安-广州画院长期交流协议。</w:t>
            </w:r>
          </w:p>
          <w:p>
            <w:pPr>
              <w:pStyle w:val="null3"/>
              <w:numPr>
                <w:ilvl w:val="0"/>
                <w:numId w:val="1"/>
              </w:numPr>
              <w:jc w:val="both"/>
            </w:pPr>
            <w:r>
              <w:rPr>
                <w:rFonts w:ascii="仿宋_GB2312" w:hAnsi="仿宋_GB2312" w:cs="仿宋_GB2312" w:eastAsia="仿宋_GB2312"/>
                <w:sz w:val="21"/>
                <w:b/>
              </w:rPr>
              <w:t>预期效益</w:t>
            </w:r>
          </w:p>
          <w:p>
            <w:pPr>
              <w:pStyle w:val="null3"/>
              <w:ind w:firstLine="480"/>
              <w:jc w:val="both"/>
            </w:pPr>
            <w:r>
              <w:rPr>
                <w:rFonts w:ascii="仿宋_GB2312" w:hAnsi="仿宋_GB2312" w:cs="仿宋_GB2312" w:eastAsia="仿宋_GB2312"/>
                <w:sz w:val="21"/>
              </w:rPr>
              <w:t>文化效益：促进五大画派艺术的传承与发展，提升“长安画派”及中国绘画艺术的国际影响力。</w:t>
            </w:r>
          </w:p>
          <w:p>
            <w:pPr>
              <w:pStyle w:val="null3"/>
              <w:ind w:firstLine="480"/>
              <w:jc w:val="both"/>
            </w:pPr>
            <w:r>
              <w:rPr>
                <w:rFonts w:ascii="仿宋_GB2312" w:hAnsi="仿宋_GB2312" w:cs="仿宋_GB2312" w:eastAsia="仿宋_GB2312"/>
                <w:sz w:val="21"/>
              </w:rPr>
              <w:t>社会效益：增强公众对传统文化的认同感和自豪感，丰富人民群众的精神文化生活。</w:t>
            </w:r>
          </w:p>
          <w:p>
            <w:pPr>
              <w:pStyle w:val="null3"/>
              <w:ind w:firstLine="480"/>
              <w:jc w:val="both"/>
            </w:pPr>
            <w:r>
              <w:rPr>
                <w:rFonts w:ascii="仿宋_GB2312" w:hAnsi="仿宋_GB2312" w:cs="仿宋_GB2312" w:eastAsia="仿宋_GB2312"/>
                <w:sz w:val="21"/>
              </w:rPr>
              <w:t>经济效益：带动相关文化产业的发展，如艺术品交易、旅游观光等，为地方经济注入新活力。</w:t>
            </w:r>
          </w:p>
          <w:p>
            <w:pPr>
              <w:pStyle w:val="null3"/>
              <w:ind w:firstLine="480"/>
              <w:jc w:val="both"/>
            </w:pPr>
            <w:r>
              <w:rPr>
                <w:rFonts w:ascii="仿宋_GB2312" w:hAnsi="仿宋_GB2312" w:cs="仿宋_GB2312" w:eastAsia="仿宋_GB2312"/>
                <w:sz w:val="21"/>
              </w:rPr>
              <w:t>学术效益：推动中国画艺术研究的深入，促进学术成果的交流与转化。</w:t>
            </w:r>
          </w:p>
          <w:p>
            <w:pPr>
              <w:pStyle w:val="null3"/>
              <w:numPr>
                <w:ilvl w:val="0"/>
                <w:numId w:val="1"/>
              </w:numPr>
              <w:jc w:val="both"/>
            </w:pPr>
            <w:r>
              <w:rPr>
                <w:rFonts w:ascii="仿宋_GB2312" w:hAnsi="仿宋_GB2312" w:cs="仿宋_GB2312" w:eastAsia="仿宋_GB2312"/>
                <w:sz w:val="21"/>
                <w:b/>
              </w:rPr>
              <w:t>宣传推广</w:t>
            </w:r>
          </w:p>
          <w:p>
            <w:pPr>
              <w:pStyle w:val="null3"/>
              <w:ind w:firstLine="643"/>
              <w:jc w:val="both"/>
            </w:pPr>
            <w:r>
              <w:rPr>
                <w:rFonts w:ascii="仿宋_GB2312" w:hAnsi="仿宋_GB2312" w:cs="仿宋_GB2312" w:eastAsia="仿宋_GB2312"/>
                <w:sz w:val="21"/>
                <w:b/>
              </w:rPr>
              <w:t>1.媒体合作</w:t>
            </w:r>
            <w:r>
              <w:rPr>
                <w:rFonts w:ascii="仿宋_GB2312" w:hAnsi="仿宋_GB2312" w:cs="仿宋_GB2312" w:eastAsia="仿宋_GB2312"/>
                <w:sz w:val="21"/>
              </w:rPr>
              <w:t>：与主流媒体、艺术类媒体及网络新媒体建立合作关系，如新华网、人民网、光明网、学习强国、中国文化报、中国美术报、文化艺术报、西安日报、西安发布、西安文旅之声、西安中国画院公众号等，发布活动预告、现场报道及后续跟进。</w:t>
            </w:r>
          </w:p>
          <w:p>
            <w:pPr>
              <w:pStyle w:val="null3"/>
              <w:ind w:firstLine="482"/>
              <w:jc w:val="both"/>
            </w:pPr>
            <w:r>
              <w:rPr>
                <w:rFonts w:ascii="仿宋_GB2312" w:hAnsi="仿宋_GB2312" w:cs="仿宋_GB2312" w:eastAsia="仿宋_GB2312"/>
                <w:sz w:val="21"/>
                <w:b/>
              </w:rPr>
              <w:t>2.社交媒体营销</w:t>
            </w:r>
            <w:r>
              <w:rPr>
                <w:rFonts w:ascii="仿宋_GB2312" w:hAnsi="仿宋_GB2312" w:cs="仿宋_GB2312" w:eastAsia="仿宋_GB2312"/>
                <w:sz w:val="21"/>
              </w:rPr>
              <w:t>：利用微博、微信、抖音等社交平台，发布创意海报、短视频、直播预告等内容，吸引年轻受众关注。</w:t>
            </w:r>
          </w:p>
          <w:p>
            <w:pPr>
              <w:pStyle w:val="null3"/>
              <w:ind w:firstLine="482"/>
              <w:jc w:val="both"/>
            </w:pPr>
            <w:r>
              <w:rPr>
                <w:rFonts w:ascii="仿宋_GB2312" w:hAnsi="仿宋_GB2312" w:cs="仿宋_GB2312" w:eastAsia="仿宋_GB2312"/>
                <w:sz w:val="21"/>
                <w:b/>
              </w:rPr>
              <w:t>3.口碑传播</w:t>
            </w:r>
            <w:r>
              <w:rPr>
                <w:rFonts w:ascii="仿宋_GB2312" w:hAnsi="仿宋_GB2312" w:cs="仿宋_GB2312" w:eastAsia="仿宋_GB2312"/>
                <w:sz w:val="21"/>
              </w:rPr>
              <w:t>：邀请文化界、艺术界知名人士参与并分享活动信息，借助其影响力进行口碑传播。</w:t>
            </w:r>
          </w:p>
          <w:p>
            <w:pPr>
              <w:pStyle w:val="null3"/>
              <w:numPr>
                <w:ilvl w:val="0"/>
                <w:numId w:val="1"/>
              </w:numPr>
              <w:jc w:val="both"/>
            </w:pPr>
            <w:r>
              <w:rPr>
                <w:rFonts w:ascii="仿宋_GB2312" w:hAnsi="仿宋_GB2312" w:cs="仿宋_GB2312" w:eastAsia="仿宋_GB2312"/>
                <w:sz w:val="21"/>
                <w:b/>
              </w:rPr>
              <w:t>项目</w:t>
            </w:r>
            <w:r>
              <w:rPr>
                <w:rFonts w:ascii="仿宋_GB2312" w:hAnsi="仿宋_GB2312" w:cs="仿宋_GB2312" w:eastAsia="仿宋_GB2312"/>
                <w:sz w:val="21"/>
                <w:b/>
              </w:rPr>
              <w:t>内容</w:t>
            </w:r>
          </w:p>
          <w:p>
            <w:pPr>
              <w:pStyle w:val="null3"/>
              <w:ind w:firstLine="480"/>
              <w:jc w:val="both"/>
            </w:pPr>
            <w:r>
              <w:rPr>
                <w:rFonts w:ascii="仿宋_GB2312" w:hAnsi="仿宋_GB2312" w:cs="仿宋_GB2312" w:eastAsia="仿宋_GB2312"/>
                <w:sz w:val="21"/>
              </w:rPr>
              <w:t>1.场地租赁：计划租赁广州</w:t>
            </w:r>
            <w:r>
              <w:rPr>
                <w:rFonts w:ascii="仿宋_GB2312" w:hAnsi="仿宋_GB2312" w:cs="仿宋_GB2312" w:eastAsia="仿宋_GB2312"/>
                <w:sz w:val="21"/>
              </w:rPr>
              <w:t>专业机构的</w:t>
            </w:r>
            <w:r>
              <w:rPr>
                <w:rFonts w:ascii="仿宋_GB2312" w:hAnsi="仿宋_GB2312" w:cs="仿宋_GB2312" w:eastAsia="仿宋_GB2312"/>
                <w:sz w:val="21"/>
              </w:rPr>
              <w:t>美术馆</w:t>
            </w:r>
            <w:r>
              <w:rPr>
                <w:rFonts w:ascii="仿宋_GB2312" w:hAnsi="仿宋_GB2312" w:cs="仿宋_GB2312" w:eastAsia="仿宋_GB2312"/>
                <w:sz w:val="21"/>
              </w:rPr>
              <w:t>10</w:t>
            </w:r>
            <w:r>
              <w:rPr>
                <w:rFonts w:ascii="仿宋_GB2312" w:hAnsi="仿宋_GB2312" w:cs="仿宋_GB2312" w:eastAsia="仿宋_GB2312"/>
                <w:sz w:val="21"/>
              </w:rPr>
              <w:t>天，</w:t>
            </w:r>
            <w:r>
              <w:rPr>
                <w:rFonts w:ascii="仿宋_GB2312" w:hAnsi="仿宋_GB2312" w:cs="仿宋_GB2312" w:eastAsia="仿宋_GB2312"/>
                <w:sz w:val="21"/>
              </w:rPr>
              <w:t>经协商场租免费；展场安保、水电、物业费；展场涂料喷绘、施工等</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2.展前准备</w:t>
            </w:r>
            <w:r>
              <w:rPr>
                <w:rFonts w:ascii="仿宋_GB2312" w:hAnsi="仿宋_GB2312" w:cs="仿宋_GB2312" w:eastAsia="仿宋_GB2312"/>
                <w:sz w:val="21"/>
              </w:rPr>
              <w:t>及参加活动</w:t>
            </w:r>
            <w:r>
              <w:rPr>
                <w:rFonts w:ascii="仿宋_GB2312" w:hAnsi="仿宋_GB2312" w:cs="仿宋_GB2312" w:eastAsia="仿宋_GB2312"/>
                <w:sz w:val="21"/>
              </w:rPr>
              <w:t>：</w:t>
            </w:r>
            <w:r>
              <w:rPr>
                <w:rFonts w:ascii="仿宋_GB2312" w:hAnsi="仿宋_GB2312" w:cs="仿宋_GB2312" w:eastAsia="仿宋_GB2312"/>
                <w:sz w:val="21"/>
              </w:rPr>
              <w:t>展前对接、场地测量；布展；开幕式舞台搭建、音响、灯光租赁；整体UI设计、喷绘、物料制作；撤展及包画材料。</w:t>
            </w:r>
          </w:p>
          <w:p>
            <w:pPr>
              <w:pStyle w:val="null3"/>
              <w:ind w:firstLine="480"/>
              <w:jc w:val="both"/>
            </w:pPr>
            <w:r>
              <w:rPr>
                <w:rFonts w:ascii="仿宋_GB2312" w:hAnsi="仿宋_GB2312" w:cs="仿宋_GB2312" w:eastAsia="仿宋_GB2312"/>
                <w:sz w:val="21"/>
              </w:rPr>
              <w:t>3.交流采风：赴广东美协、广东省美术馆、广州美术学院、广州画院、岭南画派纪念馆等地学术交流、采风。</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.作品装框装裱。</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.作品</w:t>
            </w:r>
            <w:r>
              <w:rPr>
                <w:rFonts w:ascii="仿宋_GB2312" w:hAnsi="仿宋_GB2312" w:cs="仿宋_GB2312" w:eastAsia="仿宋_GB2312"/>
                <w:sz w:val="21"/>
              </w:rPr>
              <w:t>装箱、</w:t>
            </w:r>
            <w:r>
              <w:rPr>
                <w:rFonts w:ascii="仿宋_GB2312" w:hAnsi="仿宋_GB2312" w:cs="仿宋_GB2312" w:eastAsia="仿宋_GB2312"/>
                <w:sz w:val="21"/>
              </w:rPr>
              <w:t>运输及保险。</w:t>
            </w:r>
          </w:p>
          <w:p>
            <w:pPr>
              <w:pStyle w:val="null3"/>
              <w:ind w:firstLine="480"/>
              <w:jc w:val="both"/>
            </w:pPr>
            <w:r>
              <w:rPr>
                <w:rFonts w:ascii="仿宋_GB2312" w:hAnsi="仿宋_GB2312" w:cs="仿宋_GB2312" w:eastAsia="仿宋_GB2312"/>
                <w:sz w:val="21"/>
              </w:rPr>
              <w:t>6</w:t>
            </w:r>
            <w:r>
              <w:rPr>
                <w:rFonts w:ascii="仿宋_GB2312" w:hAnsi="仿宋_GB2312" w:cs="仿宋_GB2312" w:eastAsia="仿宋_GB2312"/>
                <w:sz w:val="21"/>
              </w:rPr>
              <w:t>.作品高清照片拍摄。</w:t>
            </w:r>
          </w:p>
          <w:p>
            <w:pPr>
              <w:pStyle w:val="null3"/>
              <w:ind w:firstLine="480"/>
              <w:jc w:val="both"/>
            </w:pPr>
            <w:r>
              <w:rPr>
                <w:rFonts w:ascii="仿宋_GB2312" w:hAnsi="仿宋_GB2312" w:cs="仿宋_GB2312" w:eastAsia="仿宋_GB2312"/>
                <w:sz w:val="21"/>
              </w:rPr>
              <w:t>7</w:t>
            </w:r>
            <w:r>
              <w:rPr>
                <w:rFonts w:ascii="仿宋_GB2312" w:hAnsi="仿宋_GB2312" w:cs="仿宋_GB2312" w:eastAsia="仿宋_GB2312"/>
                <w:sz w:val="21"/>
              </w:rPr>
              <w:t>.学术</w:t>
            </w:r>
            <w:r>
              <w:rPr>
                <w:rFonts w:ascii="仿宋_GB2312" w:hAnsi="仿宋_GB2312" w:cs="仿宋_GB2312" w:eastAsia="仿宋_GB2312"/>
                <w:sz w:val="21"/>
              </w:rPr>
              <w:t>座谈</w:t>
            </w:r>
            <w:r>
              <w:rPr>
                <w:rFonts w:ascii="仿宋_GB2312" w:hAnsi="仿宋_GB2312" w:cs="仿宋_GB2312" w:eastAsia="仿宋_GB2312"/>
                <w:sz w:val="21"/>
              </w:rPr>
              <w:t>会：开幕式及研讨会现场布置；邀请国内知名专家（高级职称）不少于</w:t>
            </w:r>
            <w:r>
              <w:rPr>
                <w:rFonts w:ascii="仿宋_GB2312" w:hAnsi="仿宋_GB2312" w:cs="仿宋_GB2312" w:eastAsia="仿宋_GB2312"/>
                <w:sz w:val="21"/>
              </w:rPr>
              <w:t>12</w:t>
            </w:r>
            <w:r>
              <w:rPr>
                <w:rFonts w:ascii="仿宋_GB2312" w:hAnsi="仿宋_GB2312" w:cs="仿宋_GB2312" w:eastAsia="仿宋_GB2312"/>
                <w:sz w:val="21"/>
              </w:rPr>
              <w:t>人参加学术研讨会，</w:t>
            </w:r>
            <w:r>
              <w:rPr>
                <w:rFonts w:ascii="仿宋_GB2312" w:hAnsi="仿宋_GB2312" w:cs="仿宋_GB2312" w:eastAsia="仿宋_GB2312"/>
                <w:sz w:val="21"/>
              </w:rPr>
              <w:t>7位副高</w:t>
            </w:r>
            <w:r>
              <w:rPr>
                <w:rFonts w:ascii="仿宋_GB2312" w:hAnsi="仿宋_GB2312" w:cs="仿宋_GB2312" w:eastAsia="仿宋_GB2312"/>
                <w:sz w:val="21"/>
              </w:rPr>
              <w:t>，</w:t>
            </w:r>
            <w:r>
              <w:rPr>
                <w:rFonts w:ascii="仿宋_GB2312" w:hAnsi="仿宋_GB2312" w:cs="仿宋_GB2312" w:eastAsia="仿宋_GB2312"/>
                <w:sz w:val="21"/>
              </w:rPr>
              <w:t>5位正高职称</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8</w:t>
            </w:r>
            <w:r>
              <w:rPr>
                <w:rFonts w:ascii="仿宋_GB2312" w:hAnsi="仿宋_GB2312" w:cs="仿宋_GB2312" w:eastAsia="仿宋_GB2312"/>
                <w:sz w:val="21"/>
              </w:rPr>
              <w:t>.宣传：各大网站及微信公众号宣传</w:t>
            </w:r>
            <w:r>
              <w:rPr>
                <w:rFonts w:ascii="仿宋_GB2312" w:hAnsi="仿宋_GB2312" w:cs="仿宋_GB2312" w:eastAsia="仿宋_GB2312"/>
                <w:sz w:val="21"/>
              </w:rPr>
              <w:t>；</w:t>
            </w:r>
            <w:r>
              <w:rPr>
                <w:rFonts w:ascii="仿宋_GB2312" w:hAnsi="仿宋_GB2312" w:cs="仿宋_GB2312" w:eastAsia="仿宋_GB2312"/>
                <w:sz w:val="21"/>
              </w:rPr>
              <w:t>纸媒中国美术报等</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9</w:t>
            </w:r>
            <w:r>
              <w:rPr>
                <w:rFonts w:ascii="仿宋_GB2312" w:hAnsi="仿宋_GB2312" w:cs="仿宋_GB2312" w:eastAsia="仿宋_GB2312"/>
                <w:sz w:val="21"/>
              </w:rPr>
              <w:t>.专题片拍摄制作费：拍摄制作活动专题片、纪录片不少于2个，每个时长</w:t>
            </w:r>
            <w:r>
              <w:rPr>
                <w:rFonts w:ascii="仿宋_GB2312" w:hAnsi="仿宋_GB2312" w:cs="仿宋_GB2312" w:eastAsia="仿宋_GB2312"/>
                <w:sz w:val="21"/>
              </w:rPr>
              <w:t>10</w:t>
            </w:r>
            <w:r>
              <w:rPr>
                <w:rFonts w:ascii="仿宋_GB2312" w:hAnsi="仿宋_GB2312" w:cs="仿宋_GB2312" w:eastAsia="仿宋_GB2312"/>
                <w:sz w:val="21"/>
              </w:rPr>
              <w:t>分钟以内。</w:t>
            </w:r>
          </w:p>
          <w:p>
            <w:pPr>
              <w:pStyle w:val="null3"/>
              <w:ind w:firstLine="480"/>
              <w:jc w:val="both"/>
            </w:pPr>
            <w:r>
              <w:rPr>
                <w:rFonts w:ascii="仿宋_GB2312" w:hAnsi="仿宋_GB2312" w:cs="仿宋_GB2312" w:eastAsia="仿宋_GB2312"/>
                <w:sz w:val="21"/>
              </w:rPr>
              <w:t>10.画册印刷：设计、制作、印刷“丝路文脉·长安新篇”西安美术创作精品集1000册。</w:t>
            </w:r>
          </w:p>
          <w:p>
            <w:pPr>
              <w:pStyle w:val="null3"/>
              <w:jc w:val="both"/>
            </w:pPr>
            <w:r>
              <w:rPr>
                <w:rFonts w:ascii="仿宋_GB2312" w:hAnsi="仿宋_GB2312" w:cs="仿宋_GB2312" w:eastAsia="仿宋_GB2312"/>
                <w:sz w:val="21"/>
              </w:rPr>
              <w:t>附采购项目清单：</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类别</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单项</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单价（元）</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单价合计（元）</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场地租赁</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展场安保、水电、物业</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30000.00</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展场涂料喷绘、施工</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30000.00</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展前准备</w:t>
                  </w:r>
                  <w:r>
                    <w:rPr>
                      <w:rFonts w:ascii="仿宋_GB2312" w:hAnsi="仿宋_GB2312" w:cs="仿宋_GB2312" w:eastAsia="仿宋_GB2312"/>
                      <w:sz w:val="21"/>
                    </w:rPr>
                    <w:t>及参加活动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展前对接、场地测量</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23000.00</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布展</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开幕式舞台搭建、音响、灯光租赁</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50000.00</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整体UI设计、喷绘、物料制作</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100000.00</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撤展及包画材料</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25000.00</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交流采风</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50000.00</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作品装框装裱</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装裱</w:t>
                  </w:r>
                  <w:r>
                    <w:rPr>
                      <w:rFonts w:ascii="仿宋_GB2312" w:hAnsi="仿宋_GB2312" w:cs="仿宋_GB2312" w:eastAsia="仿宋_GB2312"/>
                      <w:sz w:val="21"/>
                    </w:rPr>
                    <w:t>:</w:t>
                  </w:r>
                  <w:r>
                    <w:rPr>
                      <w:rFonts w:ascii="仿宋_GB2312" w:hAnsi="仿宋_GB2312" w:cs="仿宋_GB2312" w:eastAsia="仿宋_GB2312"/>
                      <w:sz w:val="21"/>
                    </w:rPr>
                    <w:t>100幅</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80000.00</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装框</w:t>
                  </w:r>
                  <w:r>
                    <w:rPr>
                      <w:rFonts w:ascii="仿宋_GB2312" w:hAnsi="仿宋_GB2312" w:cs="仿宋_GB2312" w:eastAsia="仿宋_GB2312"/>
                      <w:sz w:val="21"/>
                    </w:rPr>
                    <w:t>:</w:t>
                  </w:r>
                  <w:r>
                    <w:rPr>
                      <w:rFonts w:ascii="仿宋_GB2312" w:hAnsi="仿宋_GB2312" w:cs="仿宋_GB2312" w:eastAsia="仿宋_GB2312"/>
                      <w:sz w:val="21"/>
                    </w:rPr>
                    <w:t>100幅</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170000.00</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作品</w:t>
                  </w:r>
                  <w:r>
                    <w:rPr>
                      <w:rFonts w:ascii="仿宋_GB2312" w:hAnsi="仿宋_GB2312" w:cs="仿宋_GB2312" w:eastAsia="仿宋_GB2312"/>
                      <w:sz w:val="21"/>
                    </w:rPr>
                    <w:t>装箱、</w:t>
                  </w:r>
                  <w:r>
                    <w:rPr>
                      <w:rFonts w:ascii="仿宋_GB2312" w:hAnsi="仿宋_GB2312" w:cs="仿宋_GB2312" w:eastAsia="仿宋_GB2312"/>
                      <w:sz w:val="21"/>
                    </w:rPr>
                    <w:t>运输及保险</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70000.00</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作品高清照片拍摄</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100幅</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7000.00</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学术</w:t>
                  </w:r>
                  <w:r>
                    <w:rPr>
                      <w:rFonts w:ascii="仿宋_GB2312" w:hAnsi="仿宋_GB2312" w:cs="仿宋_GB2312" w:eastAsia="仿宋_GB2312"/>
                      <w:sz w:val="21"/>
                    </w:rPr>
                    <w:t>座谈</w:t>
                  </w:r>
                  <w:r>
                    <w:rPr>
                      <w:rFonts w:ascii="仿宋_GB2312" w:hAnsi="仿宋_GB2312" w:cs="仿宋_GB2312" w:eastAsia="仿宋_GB2312"/>
                      <w:sz w:val="21"/>
                    </w:rPr>
                    <w:t>会</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开幕式及研讨会现场布置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邀请国内知名专家（高级职称）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15000.00</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宣传</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各大网站及微信公众号宣传</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30000.00</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纸媒中国美术报等</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专题片拍摄制作</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少于2个，每个时长</w:t>
                  </w:r>
                  <w:r>
                    <w:rPr>
                      <w:rFonts w:ascii="仿宋_GB2312" w:hAnsi="仿宋_GB2312" w:cs="仿宋_GB2312" w:eastAsia="仿宋_GB2312"/>
                      <w:sz w:val="21"/>
                    </w:rPr>
                    <w:t>10</w:t>
                  </w:r>
                  <w:r>
                    <w:rPr>
                      <w:rFonts w:ascii="仿宋_GB2312" w:hAnsi="仿宋_GB2312" w:cs="仿宋_GB2312" w:eastAsia="仿宋_GB2312"/>
                      <w:sz w:val="21"/>
                    </w:rPr>
                    <w:t>分钟以内</w:t>
                  </w:r>
                  <w:r>
                    <w:rPr>
                      <w:rFonts w:ascii="仿宋_GB2312" w:hAnsi="仿宋_GB2312" w:cs="仿宋_GB2312" w:eastAsia="仿宋_GB2312"/>
                      <w:sz w:val="21"/>
                    </w:rPr>
                    <w:t>,</w:t>
                  </w:r>
                  <w:r>
                    <w:rPr>
                      <w:rFonts w:ascii="仿宋_GB2312" w:hAnsi="仿宋_GB2312" w:cs="仿宋_GB2312" w:eastAsia="仿宋_GB2312"/>
                      <w:sz w:val="21"/>
                    </w:rPr>
                    <w:t>不高于</w:t>
                  </w:r>
                  <w:r>
                    <w:rPr>
                      <w:rFonts w:ascii="仿宋_GB2312" w:hAnsi="仿宋_GB2312" w:cs="仿宋_GB2312" w:eastAsia="仿宋_GB2312"/>
                      <w:sz w:val="21"/>
                    </w:rPr>
                    <w:t>5000</w:t>
                  </w:r>
                  <w:r>
                    <w:rPr>
                      <w:rFonts w:ascii="仿宋_GB2312" w:hAnsi="仿宋_GB2312" w:cs="仿宋_GB2312" w:eastAsia="仿宋_GB2312"/>
                      <w:sz w:val="21"/>
                    </w:rPr>
                    <w:t>元/分钟标准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100000.00</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画册印刷</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精品集1000册</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260000.00</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签订合同之日起至整个项目结束。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1.乙方按照项目进度及时向甲方提出验收申请，通知甲方进行验收，验收合格后，及时进行下一阶段的工作任务落实。 2.乙方总体完成项目服务内容后，乙方提出申请，甲方进行最终验收，验收合格后，填写项目验收单视为项目总体结项。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进度款，合同签订后，甲方应于10个工作日内向乙方支付项目总额的30%预付款，，达到付款条件起10个工作日内，支付合同总金额的30.0%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进度款，乙方实施完成总体项目的70%工作任务后，乙方向甲方提出任务量验收申请，甲方验收通过后，甲方应向乙方支付项目总额的40%进度款，达到付款条件起10个工作日内，支付合同总金额的40.0%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进度款，项目总体工作全部完成后，乙方向甲方提出验收申请，甲方验收通过后，甲方应向乙方支付合同总额的30%尾款。，达到付款条件起10个工作日内，支付合同总金额的30.0%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具有独立承担民事责任能力的法人、其他组织或自然人，并出具合法有效的营业执照等国家规定的相关证明，自然人参与的提供其身份证明（提供复印件加盖公章）；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投标代表资格</w:t>
            </w:r>
          </w:p>
        </w:tc>
        <w:tc>
          <w:tcPr>
            <w:tcW w:type="dxa" w:w="3322"/>
          </w:tcPr>
          <w:p>
            <w:pPr>
              <w:pStyle w:val="null3"/>
            </w:pPr>
            <w:r>
              <w:rPr>
                <w:rFonts w:ascii="仿宋_GB2312" w:hAnsi="仿宋_GB2312" w:cs="仿宋_GB2312" w:eastAsia="仿宋_GB2312"/>
              </w:rPr>
              <w:t>供应商应授权合法的人员参加采购活动全过程，其中法定代表人直接参加磋商的，须出具法定代表人身份证扫描件，并与营业执照上信息一致；法定代表人授权代表参加磋商的，须出具法定代表人授权书及被授权代表身份证扫描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财务状况资料</w:t>
            </w:r>
          </w:p>
        </w:tc>
        <w:tc>
          <w:tcPr>
            <w:tcW w:type="dxa" w:w="3322"/>
          </w:tcPr>
          <w:p>
            <w:pPr>
              <w:pStyle w:val="null3"/>
            </w:pPr>
            <w:r>
              <w:rPr>
                <w:rFonts w:ascii="仿宋_GB2312" w:hAnsi="仿宋_GB2312" w:cs="仿宋_GB2312" w:eastAsia="仿宋_GB2312"/>
              </w:rPr>
              <w:t>提供2025年度经审计的财务报告（成立时间至提交磋商响应文件递交截止时间不足一年的可提供成立后任意时段的资产负债表），或其基本存款账户开户银行出具的资信证明（附开户许可证或开户备案证明）；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社会保障资金缴纳证明：提供磋商前一年内已缴存的至少一个月的社会保障资金缴存单据或社保机构开具的社会保险参保缴费情况证明，依法不需要缴纳社会保障资金的单位应提供相关证明材料；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没有重大违法记录书面声明</w:t>
            </w:r>
          </w:p>
        </w:tc>
        <w:tc>
          <w:tcPr>
            <w:tcW w:type="dxa" w:w="3322"/>
          </w:tcPr>
          <w:p>
            <w:pPr>
              <w:pStyle w:val="null3"/>
            </w:pPr>
            <w:r>
              <w:rPr>
                <w:rFonts w:ascii="仿宋_GB2312" w:hAnsi="仿宋_GB2312" w:cs="仿宋_GB2312" w:eastAsia="仿宋_GB2312"/>
              </w:rPr>
              <w:t>参加政府采购活动近三年内，在经营活动中没有重大违法记录书面声明（加盖公章）；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供应商不得为“信用中国”网站（www.creditchina.gov.cn）中列入严重失信主体名单，供应商不得为“中国执行信息公开网”（http://zxgk.court.gov.cn/shixin/） 中列入严重失信被执行人，供应商不得为政府采购严重违法失信行为记录名单的供应商，（提供查询结果网页截图，代理机构工作人员在现场复核）；</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技术条款响应</w:t>
            </w:r>
          </w:p>
        </w:tc>
        <w:tc>
          <w:tcPr>
            <w:tcW w:type="dxa" w:w="3322"/>
          </w:tcPr>
          <w:p>
            <w:pPr>
              <w:pStyle w:val="null3"/>
            </w:pPr>
            <w:r>
              <w:rPr>
                <w:rFonts w:ascii="仿宋_GB2312" w:hAnsi="仿宋_GB2312" w:cs="仿宋_GB2312" w:eastAsia="仿宋_GB2312"/>
              </w:rPr>
              <w:t>完全响应磋商文件技术条款响应表。</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根据项目实际情况及服务内容要求提供总体服务方案，至少包含： ①对目标与主题的理解；②策划与筹备；③活动前期预热宣传方案；④现场执行；⑤活动总结及后续工作；⑥宣传资料及活动报告的整理。从方案成熟度、完整性、设计及保证措施符合实际需求等情况进行综合评分，方案各部分内容全面、阐述条理清晰详尽、符合本项目采购需求的，得 36 分；每有一项内容缺项扣 6 分，每有一项内容存在缺陷扣 1 分，每有一项内容存在重大缺陷扣 3 分，未提供得 0 分。备注：缺陷是指内容不完整或缺少关键点、非专门针对本项目或不适用本项目特性、对同一问题前后表述不一致、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项目实施方案，包括但不限于①场地布置；②流程把控：签到、开场、演讲、互动、闭幕等环节；③应急处理：设备故障、时间延误等突发情况。方案各部分内容全面、阐述条理清晰详尽、符合本项目采购需求且描述详细可行性强得 18 分；每有一项内容缺项扣6 分，每有一项内容存在缺陷扣 1 分，每有一项内容存在重大缺陷扣 3 分，未提供得 0 分。 备注：缺陷是指内容不完整或缺少关键点、非专门针对本项目或不适用本项目特性、对同一问题前后表述不一致、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推广活动媒体宣传</w:t>
            </w:r>
          </w:p>
        </w:tc>
        <w:tc>
          <w:tcPr>
            <w:tcW w:type="dxa" w:w="2492"/>
          </w:tcPr>
          <w:p>
            <w:pPr>
              <w:pStyle w:val="null3"/>
            </w:pPr>
            <w:r>
              <w:rPr>
                <w:rFonts w:ascii="仿宋_GB2312" w:hAnsi="仿宋_GB2312" w:cs="仿宋_GB2312" w:eastAsia="仿宋_GB2312"/>
              </w:rPr>
              <w:t>根据项目实际情况及服务内容要求提供活动媒体宣传方案，至少包含：①宣传思路介绍；②宣传实施方案。 以上方案满足采购文件要求或实际工作需求得12分，每有一项内容缺项扣 6分，每有一项内容存在缺陷扣 1 分，每有一项内容存在重大缺陷扣 3 分，未提供得 0 分。备注：缺陷是指内容不完整或缺少关键点、非专门针对本项目或不适用本项目特性、对同一问题前后表述不一致、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针对本项目采购需求中的要求提供团队人员配备方案，不限于①组建团队；②工作人员构成及分工；③岗位设置及岗位责任制度。方案各部分内容全面、阐述条理清晰详尽、符合本项目采购需求且描述详细可行性强得 18分； 每有一项内容缺项扣 6分，每有一项内容存在缺陷扣 1 分，每有一项内容存在重大缺陷扣 3 分，未提供得 0 分。备注：缺陷是指内容不完整或缺少关键点、非专门针对本项目或不适用本项目特性、对同一问题前后表述不一致、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根据供应商提供的保障执行期间随时突发的与活动相关的各种事项有明确的应急方案及补救措施，根据方案响应程度对比得分： 有明确的应急方案与补救措施，方案完善具体可行，得6分； 有比较明确的应急方案与补救措施，方案比较完善具体可行，得4 分； 应急预案或救措施方案不明确不完善的，得 2分； 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10，计算分数时四舍五入取小数点后两位。（本项目为专门面向中小企业采购的采购项目，不再执行价格评审优惠幅度 等相关政策）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详见附件：新中国五大画派巡回交流展览（广州站）服务项目合同.docx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