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版本号：DHY-2026-082720260828001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《西安市城市更新“十五五”规划》编制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DHY-2026-0827</w:t>
      </w:r>
      <w:r>
        <w:br/>
      </w:r>
      <w:r>
        <w:br/>
      </w:r>
      <w:r>
        <w:br/>
      </w:r>
    </w:p>
    <w:p>
      <w:pPr>
        <w:pStyle w:val="null3"/>
        <w:jc w:val="center"/>
        <w:outlineLvl w:val="2"/>
      </w:pPr>
      <w:r>
        <w:rPr>
          <w:rFonts w:ascii="仿宋_GB2312" w:hAnsi="仿宋_GB2312" w:cs="仿宋_GB2312" w:eastAsia="仿宋_GB2312"/>
          <w:sz w:val="28"/>
          <w:b/>
        </w:rPr>
        <w:t>西安市住房和城乡建设局（本级）</w:t>
      </w:r>
    </w:p>
    <w:p>
      <w:pPr>
        <w:pStyle w:val="null3"/>
        <w:jc w:val="center"/>
        <w:outlineLvl w:val="2"/>
      </w:pPr>
      <w:r>
        <w:rPr>
          <w:rFonts w:ascii="仿宋_GB2312" w:hAnsi="仿宋_GB2312" w:cs="仿宋_GB2312" w:eastAsia="仿宋_GB2312"/>
          <w:sz w:val="28"/>
          <w:b/>
        </w:rPr>
        <w:t>陕西鼎慧源工程项目管理有限公司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陕西鼎慧源工程项目管理有限公司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西安市住房和城乡建设局（本级）</w:t>
      </w:r>
      <w:r>
        <w:rPr>
          <w:rFonts w:ascii="仿宋_GB2312" w:hAnsi="仿宋_GB2312" w:cs="仿宋_GB2312" w:eastAsia="仿宋_GB2312"/>
        </w:rPr>
        <w:t>委托，拟对</w:t>
      </w:r>
      <w:r>
        <w:rPr>
          <w:rFonts w:ascii="仿宋_GB2312" w:hAnsi="仿宋_GB2312" w:cs="仿宋_GB2312" w:eastAsia="仿宋_GB2312"/>
        </w:rPr>
        <w:t>《西安市城市更新“十五五”规划》编制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DHY-2026-0827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《西安市城市更新“十五五”规划》编制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市城市更新“十五五”规划》编制，编制内容为：围绕中、省“十五五”时期城市更新工作战略部署，立足目标导向和问题导向，明确“十五五”期间城市更新的发展思路、主要目标、重点任务、重点项目、实施保障措施，为科学有序推进城市更新提供行动指引和工作依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法定代表人身份证明或法定代表人授权书：法定代表人参加磋商提供法定代表人身份证明（附法定代表人身份证复印件），委托代理人参加磋商提供法定代表人授权委托书（附法定代表人、委托代理人身份证复印件）；</w:t>
      </w:r>
    </w:p>
    <w:p>
      <w:pPr>
        <w:pStyle w:val="null3"/>
      </w:pPr>
      <w:r>
        <w:rPr>
          <w:rFonts w:ascii="仿宋_GB2312" w:hAnsi="仿宋_GB2312" w:cs="仿宋_GB2312" w:eastAsia="仿宋_GB2312"/>
        </w:rPr>
        <w:t>3、资质要求：供应商须持有自然资源主管部门颁发的有效期内城乡规划（国土空间规划）编制甲级资质或工程设计综合资质甲级，企业资质须提供供应商相关证书复印件或扫描件；</w:t>
      </w:r>
    </w:p>
    <w:p>
      <w:pPr>
        <w:pStyle w:val="null3"/>
      </w:pPr>
      <w:r>
        <w:rPr>
          <w:rFonts w:ascii="仿宋_GB2312" w:hAnsi="仿宋_GB2312" w:cs="仿宋_GB2312" w:eastAsia="仿宋_GB2312"/>
        </w:rPr>
        <w:t>4、项目负责人资质：拟派项目负责人具备注册城乡规划师注册证书或一级注册建筑师或咨询工程师（投资）登记证书；</w:t>
      </w:r>
    </w:p>
    <w:p>
      <w:pPr>
        <w:pStyle w:val="null3"/>
      </w:pPr>
      <w:r>
        <w:rPr>
          <w:rFonts w:ascii="仿宋_GB2312" w:hAnsi="仿宋_GB2312" w:cs="仿宋_GB2312" w:eastAsia="仿宋_GB2312"/>
        </w:rPr>
        <w:t>5、财务要求：提供具有财务审计资质单位出具的 2025 年度财务审计报告（成立时间至开标时间不足一年的可提供成立后任意时段的资产负债表）或开标前六个月内其基本账户银行出具的资信证明（附开户许可证或基本账户证明）（注：根据《陕西省财政厅关于启用会计师事务所审计报告“二维码 ”赋码查验功能的通知（陕财办会函〔2022〕55 号）》，各投标人经审计的财务会计报告需赋加“注册会计师行业统一监管平台 ”二维码）；</w:t>
      </w:r>
    </w:p>
    <w:p>
      <w:pPr>
        <w:pStyle w:val="null3"/>
      </w:pPr>
      <w:r>
        <w:rPr>
          <w:rFonts w:ascii="仿宋_GB2312" w:hAnsi="仿宋_GB2312" w:cs="仿宋_GB2312" w:eastAsia="仿宋_GB2312"/>
        </w:rPr>
        <w:t>6、完税证明：提供磋商截止日前近一年内已缴纳的任意一个月的纳税证明或完税证明（任意税种），依法免税的单位应提供相关证明材料；</w:t>
      </w:r>
    </w:p>
    <w:p>
      <w:pPr>
        <w:pStyle w:val="null3"/>
      </w:pPr>
      <w:r>
        <w:rPr>
          <w:rFonts w:ascii="仿宋_GB2312" w:hAnsi="仿宋_GB2312" w:cs="仿宋_GB2312" w:eastAsia="仿宋_GB2312"/>
        </w:rPr>
        <w:t>7、社保缴纳证明：提供磋商截止日前近一年内已缴纳的任意一个月的社会保障资金缴存单据或社保机构开具的社会保险参保缴费情况证明，依法不需要缴纳社会保障资金的单位应提供相关证明材料；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8、书面声明：具有履行合同所必需的设备和专业技术能力（提供书面声明）；</w:t>
      </w:r>
    </w:p>
    <w:p>
      <w:pPr>
        <w:pStyle w:val="null3"/>
      </w:pPr>
      <w:r>
        <w:rPr>
          <w:rFonts w:ascii="仿宋_GB2312" w:hAnsi="仿宋_GB2312" w:cs="仿宋_GB2312" w:eastAsia="仿宋_GB2312"/>
        </w:rPr>
        <w:t>9、无重大违法记录的书面声明：参加政府采购活动前三年内在经营活动中没有重大违法记录的书面声明；</w:t>
      </w:r>
    </w:p>
    <w:p>
      <w:pPr>
        <w:pStyle w:val="null3"/>
      </w:pPr>
      <w:r>
        <w:rPr>
          <w:rFonts w:ascii="仿宋_GB2312" w:hAnsi="仿宋_GB2312" w:cs="仿宋_GB2312" w:eastAsia="仿宋_GB2312"/>
        </w:rPr>
        <w:t>10、信用记录：供应商不得为“中国执行信息公开网（zxgk.court.gov.cn）”被列入失信被执行人名单，不得为“信用中国（www.creditchina.gov.cn）”重大税收违法失信主体当事人名单，不得为“中国政府采购网（www.ccgp.gov.cn）”被列入政府采购严重违法失信行为记录名单（以代理机构在提交响应⽂件截⽌当⽇查询结果为准）；</w:t>
      </w:r>
    </w:p>
    <w:p>
      <w:pPr>
        <w:pStyle w:val="null3"/>
      </w:pPr>
      <w:r>
        <w:rPr>
          <w:rFonts w:ascii="仿宋_GB2312" w:hAnsi="仿宋_GB2312" w:cs="仿宋_GB2312" w:eastAsia="仿宋_GB2312"/>
        </w:rPr>
        <w:t>11、其他：本项目不接受联合体磋商，单位负责人为同一人或者存在直接控股、管理关系的不同供应商，不得参加同一合同项下的政府采购活动，提供非联合体磋商书面声明函；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西安市住房和城乡建设局（本级）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西安市雁塔南路300-9号A座西安建设大厦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李晓宙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18629459882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陕西鼎慧源工程项目管理有限公司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陕西省西安市未央区北二环太华北路立交东北角百寰国际27层2708室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姜伟、张含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029-86636985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收取参照国家计委颁发的《招标代理服务收费管理暂行办法》（计价格[2002]1980号）和《关于招标代理服务收费有关问题的通知》（发改办价格[2003]857号），按照中标价格的1.5%收取。由中标单位在领取中标通知书时一次性向招标代理机构支付。⼾名：陕西⿍慧源⼯程项⽬管理有限公司 开⼾银⾏: 招商银⾏股份有限公司西安凤城⼆路⽀⾏ 账号: 129920348810001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西安市住房和城乡建设局（本级）</w:t>
      </w:r>
      <w:r>
        <w:rPr>
          <w:rFonts w:ascii="仿宋_GB2312" w:hAnsi="仿宋_GB2312" w:cs="仿宋_GB2312" w:eastAsia="仿宋_GB2312"/>
        </w:rPr>
        <w:t>和</w:t>
      </w:r>
      <w:r>
        <w:rPr>
          <w:rFonts w:ascii="仿宋_GB2312" w:hAnsi="仿宋_GB2312" w:cs="仿宋_GB2312" w:eastAsia="仿宋_GB2312"/>
        </w:rPr>
        <w:t>陕西鼎慧源工程项目管理有限公司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西安市住房和城乡建设局（本级）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陕西鼎慧源工程项目管理有限公司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西安市住房和城乡建设局（本级）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陕西鼎慧源工程项目管理有限公司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采购包1：分包比例100%；资质要求详见第4章</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成果通过专家评审并按意见修改后，提交正式成果即通过验收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联系人：姜伟、张含</w:t>
      </w:r>
    </w:p>
    <w:p>
      <w:pPr>
        <w:pStyle w:val="null3"/>
      </w:pPr>
      <w:r>
        <w:rPr>
          <w:rFonts w:ascii="仿宋_GB2312" w:hAnsi="仿宋_GB2312" w:cs="仿宋_GB2312" w:eastAsia="仿宋_GB2312"/>
        </w:rPr>
        <w:t>联系电话：029-86636985</w:t>
      </w:r>
    </w:p>
    <w:p>
      <w:pPr>
        <w:pStyle w:val="null3"/>
      </w:pPr>
      <w:r>
        <w:rPr>
          <w:rFonts w:ascii="仿宋_GB2312" w:hAnsi="仿宋_GB2312" w:cs="仿宋_GB2312" w:eastAsia="仿宋_GB2312"/>
        </w:rPr>
        <w:t>地址：陕西省西安市未央区太华北路北二环立交桥东北角百寰国际27层2708室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市城市更新“十五五”规划》编制，编制内容为：围绕中、省“十五五”时期城市更新工作战略部署，立足目标导向和问题导向，明确“十五五”期间城市更新的发展思路、主要目标、重点任务、重点项目、实施保障措施，为科学有序推进城市更新提供行动指引和工作依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《西安市“十五五”城市更新规划》编制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标的名称：《西安市“十五五”城市更新规划》编制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1、项目名称：《西安市城市更新“十五五”规划》编制</w:t>
            </w:r>
          </w:p>
          <w:p>
            <w:pPr>
              <w:pStyle w:val="null3"/>
            </w:pPr>
            <w:r>
              <w:rPr>
                <w:rFonts w:ascii="仿宋_GB2312" w:hAnsi="仿宋_GB2312" w:cs="仿宋_GB2312" w:eastAsia="仿宋_GB2312"/>
              </w:rPr>
              <w:t>2、编制内容：围绕中、省“十五五”时期城市更新工作战略部署，立足目标导向和问题导向，明确“十五五”期间城市更新的发展思路、主要目标、重点任务、重点项目、实施保障措施，为科学有序推进城市更新提供行动指引和工作依据。</w:t>
            </w:r>
          </w:p>
          <w:p>
            <w:pPr>
              <w:pStyle w:val="null3"/>
            </w:pPr>
            <w:r>
              <w:rPr>
                <w:rFonts w:ascii="仿宋_GB2312" w:hAnsi="仿宋_GB2312" w:cs="仿宋_GB2312" w:eastAsia="仿宋_GB2312"/>
              </w:rPr>
              <w:t>3、履约地点：西安市</w:t>
            </w:r>
          </w:p>
          <w:p>
            <w:pPr>
              <w:pStyle w:val="null3"/>
            </w:pPr>
            <w:r>
              <w:rPr>
                <w:rFonts w:ascii="仿宋_GB2312" w:hAnsi="仿宋_GB2312" w:cs="仿宋_GB2312" w:eastAsia="仿宋_GB2312"/>
              </w:rPr>
              <w:t>二、技术商务要求：</w:t>
            </w:r>
          </w:p>
          <w:p>
            <w:pPr>
              <w:pStyle w:val="null3"/>
            </w:pPr>
            <w:r>
              <w:rPr>
                <w:rFonts w:ascii="仿宋_GB2312" w:hAnsi="仿宋_GB2312" w:cs="仿宋_GB2312" w:eastAsia="仿宋_GB2312"/>
              </w:rPr>
              <w:t>1、技术要求：</w:t>
            </w:r>
          </w:p>
          <w:p>
            <w:pPr>
              <w:pStyle w:val="null3"/>
            </w:pPr>
            <w:r>
              <w:rPr>
                <w:rFonts w:ascii="仿宋_GB2312" w:hAnsi="仿宋_GB2312" w:cs="仿宋_GB2312" w:eastAsia="仿宋_GB2312"/>
              </w:rPr>
              <w:t>①完成《西安市城市更新“十五五”规划》编制工作；</w:t>
            </w:r>
          </w:p>
          <w:p>
            <w:pPr>
              <w:pStyle w:val="null3"/>
            </w:pPr>
            <w:r>
              <w:rPr>
                <w:rFonts w:ascii="仿宋_GB2312" w:hAnsi="仿宋_GB2312" w:cs="仿宋_GB2312" w:eastAsia="仿宋_GB2312"/>
              </w:rPr>
              <w:t>②成果清单：提交《西安市城市更新“十五五”规划》编制成果文件，提交形式包括：纸质版和电子版。纸质版需装订成册，一式六份，加盖编制单位公章或技术成果章；电子版需存储于U盘或光盘（不少于2份），同时发送至指定邮箱，电子版格式要求：文档类采用Word、PDF格式，图纸类采用CAD、GIS、JPG格式（高清），数据类采用Excel格式，确保可编辑、可查阅。</w:t>
            </w:r>
          </w:p>
          <w:p>
            <w:pPr>
              <w:pStyle w:val="null3"/>
            </w:pPr>
            <w:r>
              <w:rPr>
                <w:rFonts w:ascii="仿宋_GB2312" w:hAnsi="仿宋_GB2312" w:cs="仿宋_GB2312" w:eastAsia="仿宋_GB2312"/>
              </w:rPr>
              <w:t>2、商务要求：</w:t>
            </w:r>
          </w:p>
          <w:p>
            <w:pPr>
              <w:pStyle w:val="null3"/>
            </w:pPr>
            <w:r>
              <w:rPr>
                <w:rFonts w:ascii="仿宋_GB2312" w:hAnsi="仿宋_GB2312" w:cs="仿宋_GB2312" w:eastAsia="仿宋_GB2312"/>
              </w:rPr>
              <w:t>①服务期限：自合同签订之日起至2026年11月30日；</w:t>
            </w:r>
          </w:p>
          <w:p>
            <w:pPr>
              <w:pStyle w:val="null3"/>
            </w:pPr>
            <w:r>
              <w:rPr>
                <w:rFonts w:ascii="仿宋_GB2312" w:hAnsi="仿宋_GB2312" w:cs="仿宋_GB2312" w:eastAsia="仿宋_GB2312"/>
              </w:rPr>
              <w:t>②付款方式：本项目报酬总计分为两次进行支付：第一期支付项目报酬的40%，在提交初步成果后10个工作日内完成支付；第二期支付项目报酬的60%，通过专家评审会后10个工作日内完成支付；</w:t>
            </w:r>
          </w:p>
          <w:p>
            <w:pPr>
              <w:pStyle w:val="null3"/>
            </w:pPr>
            <w:r>
              <w:rPr>
                <w:rFonts w:ascii="仿宋_GB2312" w:hAnsi="仿宋_GB2312" w:cs="仿宋_GB2312" w:eastAsia="仿宋_GB2312"/>
              </w:rPr>
              <w:t>③验收标准：本技术服务工作按国家相关文件和技术规范等要求，采用甲方组织专家评审方式验收。成果通过专家评审并按意见修改后，提交正式成果即通过验收；</w:t>
            </w:r>
          </w:p>
          <w:p>
            <w:pPr>
              <w:pStyle w:val="null3"/>
              <w:jc w:val="both"/>
            </w:pPr>
            <w:r>
              <w:rPr>
                <w:rFonts w:ascii="仿宋_GB2312" w:hAnsi="仿宋_GB2312" w:cs="仿宋_GB2312" w:eastAsia="仿宋_GB2312"/>
              </w:rPr>
              <w:t>④法律法规依据：《中华人民共和国城乡规划法》；《西安市城市更新办法》；国家、陕西省及西安市其他相关法律、法规和规章；</w:t>
            </w:r>
          </w:p>
          <w:p>
            <w:pPr>
              <w:pStyle w:val="null3"/>
            </w:pPr>
            <w:r>
              <w:rPr>
                <w:rFonts w:ascii="仿宋_GB2312" w:hAnsi="仿宋_GB2312" w:cs="仿宋_GB2312" w:eastAsia="仿宋_GB2312"/>
              </w:rPr>
              <w:t>⑤政策规划依据：国家住房和城乡建设部关于城市更新、城市体检、项目谋划等相关政策文件及技术指南；陕西省住房和城乡建设厅关于城市更新规划编制的相关指导意见、《中共西安市委关于制定国民经济和社会发展第十五个五年规划的建议》；西安市国土空间总体规划、城市更新专项规划、城市体检报告等上位规划文件；西安市政府关于城市更新项目谋划申报工作的相关批示精神及工作要求；</w:t>
            </w:r>
          </w:p>
          <w:p>
            <w:pPr>
              <w:pStyle w:val="null3"/>
            </w:pPr>
            <w:r>
              <w:rPr>
                <w:rFonts w:ascii="仿宋_GB2312" w:hAnsi="仿宋_GB2312" w:cs="仿宋_GB2312" w:eastAsia="仿宋_GB2312"/>
                <w:sz w:val="21"/>
              </w:rPr>
              <w:t>⑥技术标准与规范：</w:t>
            </w:r>
            <w:r>
              <w:rPr>
                <w:rFonts w:ascii="仿宋_GB2312" w:hAnsi="仿宋_GB2312" w:cs="仿宋_GB2312" w:eastAsia="仿宋_GB2312"/>
                <w:sz w:val="21"/>
              </w:rPr>
              <w:t>国家及行业现行有效的城乡规划相关技术标准、规范及规程、《国土空间规划城市体检评估规程》、陕西省及西安市地方性规划编制技术规定、其他与城市更新项目谋划相关的技术导则和规范、《城乡建设领域碳达峰实施方案》、《绿色建筑评价标准》、《绿色生态城区评价标准》。注：上述依据如有更新或调整，以国家及地方发布的最新版本为准。编制过程中应确保成果符合现行有效的政策导向和技术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自合同签订之日起至2026年11月30日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进度款，本项目报酬总计分为两次进行支付：第一期支付项目报酬的40%，达到付款条件起10个工作日内，支付合同总金额的40.0%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进度款，第二期支付项目报酬的60%，达到付款条件起10个工作日内，支付合同总金额的60.0%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 采购人向供应商付款前，供应商向采购人出具相应足额发票； 3.4.2如采购人因财政资金未拨付而未按时向供应商付款，视财政资金到位情况，进行结算；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 2025 年度财务审计报告（成立时间至开标时间不足一年的可提供成立后任意时段的资产负债表）或开标前六个月内其基本账户银行出具的资信证明（附开户许可证或基本账户证明）（注：根据《陕西省财政厅关于启用会计师事务所审计报告“二维码 ”赋码查验功能的通知（陕财办会函〔2022〕55 号）》，各投标人经审计的财务会计报告需赋加“注册会计师行业统一监管平台 ”二维码）；供应商需在项目电子化交易系统中按要求上传相应证明文件并进行电子签章。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法定代表人参加磋商提供法定代表人身份证明（附法定代表人身份证复印件），委托代理人参加磋商提供法定代表人授权委托书（附法定代表人、委托代理人身份证复印件）；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供应商须持有自然资源主管部门颁发的有效期内城乡规划（国土空间规划）编制甲级资质或工程设计综合资质甲级，企业资质须提供供应商相关证书复印件或扫描件；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拟派项目负责人具备注册城乡规划师注册证书或一级注册建筑师或咨询工程师（投资）登记证书；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提供具有财务审计资质单位出具的 2025 年度财务审计报告（成立时间至开标时间不足一年的可提供成立后任意时段的资产负债表）或开标前六个月内其基本账户银行出具的资信证明（附开户许可证或基本账户证明）（注：根据《陕西省财政厅关于启用会计师事务所审计报告“二维码 ”赋码查验功能的通知（陕财办会函〔2022〕55 号）》，各投标人经审计的财务会计报告需赋加“注册会计师行业统一监管平台 ”二维码）；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提供磋商截止日前近一年内已缴纳的任意一个月的纳税证明或完税证明（任意税种），依法免税的单位应提供相关证明材料；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提供磋商截止日前近一年内已缴纳的任意一个月的社会保障资金缴存单据或社保机构开具的社会保险参保缴费情况证明，依法不需要缴纳社会保障资金的单位应提供相关证明材料；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具有履行合同所必需的设备和专业技术能力（提供书面声明）；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中国执行信息公开网（zxgk.court.gov.cn）”被列入失信被执行人名单，不得为“信用中国（www.creditchina.gov.cn）”重大税收违法失信主体当事人名单，不得为“中国政府采购网（www.ccgp.gov.cn）”被列入政府采购严重违法失信行为记录名单（以代理机构在提交响应⽂件截⽌当⽇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本项目不接受联合体磋商，单位负责人为同一人或者存在直接控股、管理关系的不同供应商，不得参加同一合同项下的政府采购活动，提供非联合体磋商书面声明函；</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完整无缺项，未超过最高限价(单价限价)，无选择性报价。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服务内容及服务要求应答表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磋商响应文件的签字盖章合格有效。</w:t>
            </w:r>
          </w:p>
        </w:tc>
        <w:tc>
          <w:tcPr>
            <w:tcW w:type="dxa" w:w="1661"/>
          </w:tcPr>
          <w:p>
            <w:pPr>
              <w:pStyle w:val="null3"/>
            </w:pPr>
            <w:r>
              <w:rPr>
                <w:rFonts w:ascii="仿宋_GB2312" w:hAnsi="仿宋_GB2312" w:cs="仿宋_GB2312" w:eastAsia="仿宋_GB2312"/>
              </w:rPr>
              <w:t>响应文件封面 服务内容及服务要求应答表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服务内容及服务要求应答表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完全理解并响应磋商文件合同条款的要求，且未含有采购人不能接受的附加条件的。</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符合磋商文件的实质性要求</w:t>
            </w:r>
          </w:p>
        </w:tc>
        <w:tc>
          <w:tcPr>
            <w:tcW w:type="dxa" w:w="3322"/>
          </w:tcPr>
          <w:p>
            <w:pPr>
              <w:pStyle w:val="null3"/>
            </w:pPr>
            <w:r>
              <w:rPr>
                <w:rFonts w:ascii="仿宋_GB2312" w:hAnsi="仿宋_GB2312" w:cs="仿宋_GB2312" w:eastAsia="仿宋_GB2312"/>
              </w:rPr>
              <w:t>供应商按照磋商文件要求上传磋商响应文件。</w:t>
            </w:r>
          </w:p>
        </w:tc>
        <w:tc>
          <w:tcPr>
            <w:tcW w:type="dxa" w:w="1661"/>
          </w:tcPr>
          <w:p>
            <w:pPr>
              <w:pStyle w:val="null3"/>
            </w:pPr>
            <w:r>
              <w:rPr>
                <w:rFonts w:ascii="仿宋_GB2312" w:hAnsi="仿宋_GB2312" w:cs="仿宋_GB2312" w:eastAsia="仿宋_GB2312"/>
              </w:rPr>
              <w:t>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项目理解与现状研判</w:t>
            </w:r>
          </w:p>
        </w:tc>
        <w:tc>
          <w:tcPr>
            <w:tcW w:type="dxa" w:w="2492"/>
          </w:tcPr>
          <w:p>
            <w:pPr>
              <w:pStyle w:val="null3"/>
            </w:pPr>
            <w:r>
              <w:rPr>
                <w:rFonts w:ascii="仿宋_GB2312" w:hAnsi="仿宋_GB2312" w:cs="仿宋_GB2312" w:eastAsia="仿宋_GB2312"/>
              </w:rPr>
              <w:t>对西安市城市更新工作基础、政策背景、现状问题的分析深度和准确性。包括：①西安市城市更新工作历程与成效分析；②当前西安市城市更新存在的问题剖析；③对市政府主要领导批示精神的领会深度。内容优秀10-15分；较好5-9分；一般1-4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磋商响应服务方案.docx</w:t>
            </w:r>
          </w:p>
        </w:tc>
      </w:tr>
      <w:tr>
        <w:tc>
          <w:tcPr>
            <w:tcW w:type="dxa" w:w="831"/>
            <w:vMerge/>
          </w:tcPr>
          <w:p/>
        </w:tc>
        <w:tc>
          <w:tcPr>
            <w:tcW w:type="dxa" w:w="1661"/>
          </w:tcPr>
          <w:p>
            <w:pPr>
              <w:pStyle w:val="null3"/>
            </w:pPr>
            <w:r>
              <w:rPr>
                <w:rFonts w:ascii="仿宋_GB2312" w:hAnsi="仿宋_GB2312" w:cs="仿宋_GB2312" w:eastAsia="仿宋_GB2312"/>
              </w:rPr>
              <w:t>总体技术路线与编制思路</w:t>
            </w:r>
          </w:p>
        </w:tc>
        <w:tc>
          <w:tcPr>
            <w:tcW w:type="dxa" w:w="2492"/>
          </w:tcPr>
          <w:p>
            <w:pPr>
              <w:pStyle w:val="null3"/>
            </w:pPr>
            <w:r>
              <w:rPr>
                <w:rFonts w:ascii="仿宋_GB2312" w:hAnsi="仿宋_GB2312" w:cs="仿宋_GB2312" w:eastAsia="仿宋_GB2312"/>
              </w:rPr>
              <w:t>编制思路符合中、省要求和西安实际情况；技术路线完整，清晰。优秀4-5分；较好2-3分；一般0-1分；未提供不得分。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磋商响应服务方案.docx</w:t>
            </w:r>
          </w:p>
        </w:tc>
      </w:tr>
      <w:tr>
        <w:tc>
          <w:tcPr>
            <w:tcW w:type="dxa" w:w="831"/>
            <w:vMerge/>
          </w:tcPr>
          <w:p/>
        </w:tc>
        <w:tc>
          <w:tcPr>
            <w:tcW w:type="dxa" w:w="1661"/>
          </w:tcPr>
          <w:p>
            <w:pPr>
              <w:pStyle w:val="null3"/>
            </w:pPr>
            <w:r>
              <w:rPr>
                <w:rFonts w:ascii="仿宋_GB2312" w:hAnsi="仿宋_GB2312" w:cs="仿宋_GB2312" w:eastAsia="仿宋_GB2312"/>
              </w:rPr>
              <w:t>规划核心方案内容</w:t>
            </w:r>
          </w:p>
        </w:tc>
        <w:tc>
          <w:tcPr>
            <w:tcW w:type="dxa" w:w="2492"/>
          </w:tcPr>
          <w:p>
            <w:pPr>
              <w:pStyle w:val="null3"/>
            </w:pPr>
            <w:r>
              <w:rPr>
                <w:rFonts w:ascii="仿宋_GB2312" w:hAnsi="仿宋_GB2312" w:cs="仿宋_GB2312" w:eastAsia="仿宋_GB2312"/>
              </w:rPr>
              <w:t>结合西安实际情况，①合理确定目标指标制定思路，②提出重点任务方向，能够契合中、省关于城市更新十五五规划的相关要求，③提出有效的配套制度建议等，方案贴合本地实际，具备可实施性。方案针对性强、落地性高10-15分；内容较完整5-9分；内容有缺失1-4分；缺一项扣5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磋商响应服务方案.docx</w:t>
            </w:r>
          </w:p>
        </w:tc>
      </w:tr>
      <w:tr>
        <w:tc>
          <w:tcPr>
            <w:tcW w:type="dxa" w:w="831"/>
            <w:vMerge/>
          </w:tcPr>
          <w:p/>
        </w:tc>
        <w:tc>
          <w:tcPr>
            <w:tcW w:type="dxa" w:w="1661"/>
          </w:tcPr>
          <w:p>
            <w:pPr>
              <w:pStyle w:val="null3"/>
            </w:pPr>
            <w:r>
              <w:rPr>
                <w:rFonts w:ascii="仿宋_GB2312" w:hAnsi="仿宋_GB2312" w:cs="仿宋_GB2312" w:eastAsia="仿宋_GB2312"/>
              </w:rPr>
              <w:t>工作进度计划、服务期保障</w:t>
            </w:r>
          </w:p>
        </w:tc>
        <w:tc>
          <w:tcPr>
            <w:tcW w:type="dxa" w:w="2492"/>
          </w:tcPr>
          <w:p>
            <w:pPr>
              <w:pStyle w:val="null3"/>
            </w:pPr>
            <w:r>
              <w:rPr>
                <w:rFonts w:ascii="仿宋_GB2312" w:hAnsi="仿宋_GB2312" w:cs="仿宋_GB2312" w:eastAsia="仿宋_GB2312"/>
              </w:rPr>
              <w:t>工作阶段划分清晰，各节点时间明确；服务期完全响应采购文件要求，有服务期延误应对措施。优秀3-5分；一般1-2分；未提供不得分。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质量保证措施内容包括①质量目标；②质量保障措施；③成果文件质量控制措施。以上内容专门针对本项目且阐述明细、全面、合理得6分。评审内容每缺一项扣2分。磋商内容有瑕疵的，每出现一次扣0.5分，扣完为止。 备注：磋商内容“瑕疵”是指：内容粗略、逻辑混乱、描述过于简单、与项目特点不匹配、逻辑漏洞、出现常识性错误、存在不适用项目实际情况的情形或只有标题没有实质性内容等。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磋商响应服务方案.docx</w:t>
            </w:r>
          </w:p>
        </w:tc>
      </w:tr>
      <w:tr>
        <w:tc>
          <w:tcPr>
            <w:tcW w:type="dxa" w:w="831"/>
            <w:vMerge/>
          </w:tcPr>
          <w:p/>
        </w:tc>
        <w:tc>
          <w:tcPr>
            <w:tcW w:type="dxa" w:w="1661"/>
          </w:tcPr>
          <w:p>
            <w:pPr>
              <w:pStyle w:val="null3"/>
            </w:pPr>
            <w:r>
              <w:rPr>
                <w:rFonts w:ascii="仿宋_GB2312" w:hAnsi="仿宋_GB2312" w:cs="仿宋_GB2312" w:eastAsia="仿宋_GB2312"/>
              </w:rPr>
              <w:t>同类项目业绩（近3年）</w:t>
            </w:r>
          </w:p>
        </w:tc>
        <w:tc>
          <w:tcPr>
            <w:tcW w:type="dxa" w:w="2492"/>
          </w:tcPr>
          <w:p>
            <w:pPr>
              <w:pStyle w:val="null3"/>
            </w:pPr>
            <w:r>
              <w:rPr>
                <w:rFonts w:ascii="仿宋_GB2312" w:hAnsi="仿宋_GB2312" w:cs="仿宋_GB2312" w:eastAsia="仿宋_GB2312"/>
              </w:rPr>
              <w:t>提供城市更新专项规划、城市更新十五五规划、城市更新相关实施方案等编制业绩，提供合同关键页；每提供1项完整同类业绩得3分，最多15分；不重复计分，无业绩0分。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磋商响应服务方案.docx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①项目负责人（6分）：中级职称得2分，高级及以上职称得4分，同时具备注册城乡规划师或注册给排水工程师或注册咨询师，加2分；本单位社保；证书、社保不全本项0分。②核心团队（18分）：配备规划、市政给排水、环境相关专业人员；配套中级职称专业人员，每1人得2分，配套高级及以上职称专业人员，每1人得4分，最多12分； 每有1名本单位注册城乡规划师或注册给排水工程师或注册咨询师得2分，最多6分；人员不得重复计分，需提供证书+社保扫描件。</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磋商响应服务方案.docx</w:t>
            </w:r>
          </w:p>
        </w:tc>
      </w:tr>
      <w:tr>
        <w:tc>
          <w:tcPr>
            <w:tcW w:type="dxa" w:w="831"/>
            <w:vMerge/>
          </w:tcPr>
          <w:p/>
        </w:tc>
        <w:tc>
          <w:tcPr>
            <w:tcW w:type="dxa" w:w="1661"/>
          </w:tcPr>
          <w:p>
            <w:pPr>
              <w:pStyle w:val="null3"/>
            </w:pPr>
            <w:r>
              <w:rPr>
                <w:rFonts w:ascii="仿宋_GB2312" w:hAnsi="仿宋_GB2312" w:cs="仿宋_GB2312" w:eastAsia="仿宋_GB2312"/>
              </w:rPr>
              <w:t>企业综合能力</w:t>
            </w:r>
          </w:p>
        </w:tc>
        <w:tc>
          <w:tcPr>
            <w:tcW w:type="dxa" w:w="2492"/>
          </w:tcPr>
          <w:p>
            <w:pPr>
              <w:pStyle w:val="null3"/>
            </w:pPr>
            <w:r>
              <w:rPr>
                <w:rFonts w:ascii="仿宋_GB2312" w:hAnsi="仿宋_GB2312" w:cs="仿宋_GB2312" w:eastAsia="仿宋_GB2312"/>
              </w:rPr>
              <w:t>具备质量管理体系、信息安全管理体系、环境管理体系等，每一项有效证书得1分，最多3分，附平台查询截图。</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磋商响应服务方案.docx</w:t>
            </w:r>
          </w:p>
        </w:tc>
      </w:tr>
      <w:tr>
        <w:tc>
          <w:tcPr>
            <w:tcW w:type="dxa" w:w="831"/>
            <w:vMerge/>
          </w:tcPr>
          <w:p/>
        </w:tc>
        <w:tc>
          <w:tcPr>
            <w:tcW w:type="dxa" w:w="1661"/>
          </w:tcPr>
          <w:p>
            <w:pPr>
              <w:pStyle w:val="null3"/>
            </w:pPr>
            <w:r>
              <w:rPr>
                <w:rFonts w:ascii="仿宋_GB2312" w:hAnsi="仿宋_GB2312" w:cs="仿宋_GB2312" w:eastAsia="仿宋_GB2312"/>
              </w:rPr>
              <w:t>售后服务及履约承诺</w:t>
            </w:r>
          </w:p>
        </w:tc>
        <w:tc>
          <w:tcPr>
            <w:tcW w:type="dxa" w:w="2492"/>
          </w:tcPr>
          <w:p>
            <w:pPr>
              <w:pStyle w:val="null3"/>
            </w:pPr>
            <w:r>
              <w:rPr>
                <w:rFonts w:ascii="仿宋_GB2312" w:hAnsi="仿宋_GB2312" w:cs="仿宋_GB2312" w:eastAsia="仿宋_GB2312"/>
              </w:rPr>
              <w:t>履约、成果交付、知识产权归属、无挂靠转包承诺；全部响应得2分，缺项酌情扣分。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依据财库[2007]2号文，价格分统一采用低价优先法计算，即满足招标文件要求且投标价格最低的投标报价为评标基准价，其价格分为满分。其他投标人的价格分统一按照下列公式计算：投标报价得分=(评标基准价／投标报价)×10。计算分数时四舍五入取小数点后两位。 备注：按中华人民共和国财政部令第87号《政府采购货物和服务招标投标管理办法》第六十条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详见附件：磋商响应服务方案.docx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