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版本号：SXGLZFCG2026-018号20260720001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2026年全国青少年武术俱乐部散打联赛（B赛区）赛事服务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SXGLZFCG2026-018号</w:t>
      </w:r>
      <w:r>
        <w:br/>
      </w:r>
      <w:r>
        <w:br/>
      </w:r>
      <w:r>
        <w:br/>
      </w:r>
    </w:p>
    <w:p>
      <w:pPr>
        <w:pStyle w:val="null3"/>
        <w:jc w:val="center"/>
        <w:outlineLvl w:val="2"/>
      </w:pPr>
      <w:r>
        <w:rPr>
          <w:rFonts w:ascii="仿宋_GB2312" w:hAnsi="仿宋_GB2312" w:cs="仿宋_GB2312" w:eastAsia="仿宋_GB2312"/>
          <w:sz w:val="28"/>
          <w:b/>
        </w:rPr>
        <w:t>铜川市体育局</w:t>
      </w:r>
    </w:p>
    <w:p>
      <w:pPr>
        <w:pStyle w:val="null3"/>
        <w:jc w:val="center"/>
        <w:outlineLvl w:val="2"/>
      </w:pPr>
      <w:r>
        <w:rPr>
          <w:rFonts w:ascii="仿宋_GB2312" w:hAnsi="仿宋_GB2312" w:cs="仿宋_GB2312" w:eastAsia="仿宋_GB2312"/>
          <w:sz w:val="28"/>
          <w:b/>
        </w:rPr>
        <w:t>陕西公立工程项目管理咨询有限公司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陕西公立工程项目管理咨询有限公司</w:t>
      </w:r>
      <w:r>
        <w:rPr>
          <w:rFonts w:ascii="仿宋_GB2312" w:hAnsi="仿宋_GB2312" w:cs="仿宋_GB2312" w:eastAsia="仿宋_GB2312"/>
        </w:rPr>
        <w:t>（以下简称“代理机构”）受</w:t>
      </w:r>
      <w:r>
        <w:rPr>
          <w:rFonts w:ascii="仿宋_GB2312" w:hAnsi="仿宋_GB2312" w:cs="仿宋_GB2312" w:eastAsia="仿宋_GB2312"/>
        </w:rPr>
        <w:t>铜川市体育局</w:t>
      </w:r>
      <w:r>
        <w:rPr>
          <w:rFonts w:ascii="仿宋_GB2312" w:hAnsi="仿宋_GB2312" w:cs="仿宋_GB2312" w:eastAsia="仿宋_GB2312"/>
        </w:rPr>
        <w:t>委托，拟对</w:t>
      </w:r>
      <w:r>
        <w:rPr>
          <w:rFonts w:ascii="仿宋_GB2312" w:hAnsi="仿宋_GB2312" w:cs="仿宋_GB2312" w:eastAsia="仿宋_GB2312"/>
        </w:rPr>
        <w:t>2026年全国青少年武术俱乐部散打联赛（B赛区）赛事服务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SXGLZFCG2026-018号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2026年全国青少年武术俱乐部散打联赛（B赛区）赛事服务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2026年全国青少年武术俱乐部散打联赛（B赛区）赛事服务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采购包1（2026年全国青少年武术俱乐部散打联赛(B赛区)赛事服务）：属于专门面向中小企业采购。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承担⺠事责任能⼒的法⼈、其他组织或⾃然⼈并出具合法有效的营业执照或事业单位法⼈证书等国家规定的相关证明，⾃然⼈参与的提供其⾝份证明。供应商需在项⽬电⼦化交易系统中按要求上传相应证明⽂件并进⾏电⼦签章；</w:t>
      </w:r>
    </w:p>
    <w:p>
      <w:pPr>
        <w:pStyle w:val="null3"/>
      </w:pPr>
      <w:r>
        <w:rPr>
          <w:rFonts w:ascii="仿宋_GB2312" w:hAnsi="仿宋_GB2312" w:cs="仿宋_GB2312" w:eastAsia="仿宋_GB2312"/>
        </w:rPr>
        <w:t>2、授权委托书：法定代表⼈直接参加投标的，须出具法⼈⾝份证，并与营业执照上信息⼀致；法定代表⼈授权代表参加投标的，须出具法定代表⼈授权书及授权代表⾝份证；</w:t>
      </w:r>
    </w:p>
    <w:p>
      <w:pPr>
        <w:pStyle w:val="null3"/>
      </w:pPr>
      <w:r>
        <w:rPr>
          <w:rFonts w:ascii="仿宋_GB2312" w:hAnsi="仿宋_GB2312" w:cs="仿宋_GB2312" w:eastAsia="仿宋_GB2312"/>
        </w:rPr>
        <w:t>3、财务状况报告：提供（1）或提供（2）：（1）提供2023年度⾄2025年度任意⼀年财务报告复印件，应满⾜以下要求：①供应商是企业的，财务报告是指经会计师事务所审计的上述指定年度整个会计年度财务报表（须提供会计师事务所出具的审计报告复印件）,复印件⾄少须包括报告正⽂、资产负债表、现⾦流量表、利润表、附注和会计师事务所营业执照，报告正⽂应当有会计师事务所公章和2名注册会计师的签字及盖章，且审计报告应当经过注册会计师⾏业统⼀监管平台备案赋码。②供应商适⽤《事业单位会计准则》的，财务报告是指上述指定年度整个会计年度财务报表（不要求必须是经审计的），复印件⾄少须包括资产负债表、收⼊⽀出表（或收⼊费⽤表）、财政补助收⼊⽀出表。③供应商适⽤《政府会计准则》的，财务报告是指上述指定年度整个会计年度财务报表（不要求必须是经审计的），复印件⾄少须包括资产负债表、收⼊费⽤表。④供应商适⽤《⺠间⾮营利组织会计制度》的，财务报告是指上述指定年度整个会计年度财务报表（不要求必须是经审计的），复印件⾄少须包括资产负债表、业务活动表、现⾦流量表。⑤供应商是上述四种情况以外情况的，按照其依法适⽤的会计制度、财务规则或会计准则提供财务报表复印件（不要求必须是经审计的）。（2）提供资信证明原件或复印件，应满⾜以下要求：①资信证明须为递交响应⽂件截⽌时间前三个⽉内由供应商基本账⼾开⼾银⾏出具。②⽆论开具银⾏是否标明“复印⽆效”，供应商提供的复印件在本次投标中予以认可（即不因“复印⽆效”字样⽽认定资信证明复印件⽆效）。③银⾏出具的存款证明不能替代银⾏资信证明；</w:t>
      </w:r>
    </w:p>
    <w:p>
      <w:pPr>
        <w:pStyle w:val="null3"/>
      </w:pPr>
      <w:r>
        <w:rPr>
          <w:rFonts w:ascii="仿宋_GB2312" w:hAnsi="仿宋_GB2312" w:cs="仿宋_GB2312" w:eastAsia="仿宋_GB2312"/>
        </w:rPr>
        <w:t>4、税收缴纳证明：提供2026年1⽉⾄今任意⼀个⽉的依法缴纳税收的相关凭据（时间以税款所属⽇期为准），凭据应有税务机关或代收机关的公章或业务专⽤章。依法免税或⽆须缴纳税收的供应商，应提供相应证明⽂件；</w:t>
      </w:r>
    </w:p>
    <w:p>
      <w:pPr>
        <w:pStyle w:val="null3"/>
      </w:pPr>
      <w:r>
        <w:rPr>
          <w:rFonts w:ascii="仿宋_GB2312" w:hAnsi="仿宋_GB2312" w:cs="仿宋_GB2312" w:eastAsia="仿宋_GB2312"/>
        </w:rPr>
        <w:t>5、社保缴纳证明：提供2026年1⽉⾄今任意⼀个⽉的社会保障资⾦缴存单据或社保机构开具的社会保险参保缴费情况证明。依法不需要缴纳社会保障资⾦的供应商，应提供相关证明⽂件；</w:t>
      </w:r>
    </w:p>
    <w:p>
      <w:pPr>
        <w:pStyle w:val="null3"/>
      </w:pPr>
      <w:r>
        <w:rPr>
          <w:rFonts w:ascii="仿宋_GB2312" w:hAnsi="仿宋_GB2312" w:cs="仿宋_GB2312" w:eastAsia="仿宋_GB2312"/>
        </w:rPr>
        <w:t>6、供应商信誉：供应商不得为“信⽤中国”⽹站（www.creditchina.gov.cn）中列⼊失信被执⾏⼈和重⼤税收违法失信主体名单的供应商，不得为中国政府采购⽹（www.ccgp.go v.cn）政府采购严重违法失信⾏为记录名单中被财政部⻔禁⽌参加政府采购活动的供应商；</w:t>
      </w:r>
    </w:p>
    <w:p>
      <w:pPr>
        <w:pStyle w:val="null3"/>
      </w:pPr>
      <w:r>
        <w:rPr>
          <w:rFonts w:ascii="仿宋_GB2312" w:hAnsi="仿宋_GB2312" w:cs="仿宋_GB2312" w:eastAsia="仿宋_GB2312"/>
        </w:rPr>
        <w:t>7、设备和专业技术能⼒承诺：具有履⾏合同所必需的设备和专业技术能⼒，提供证明材料或书⾯承诺并加盖公章；</w:t>
      </w:r>
    </w:p>
    <w:p>
      <w:pPr>
        <w:pStyle w:val="null3"/>
      </w:pPr>
      <w:r>
        <w:rPr>
          <w:rFonts w:ascii="仿宋_GB2312" w:hAnsi="仿宋_GB2312" w:cs="仿宋_GB2312" w:eastAsia="仿宋_GB2312"/>
        </w:rPr>
        <w:t>8、⽆重⼤违法记录声明：供应商在近三年经营活动中没有重⼤违法记录的声明；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铜川市新区正阳路9号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0919-3185697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陕西公立工程项目管理咨询有限公司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陕西省铜川市耀州区陕西省铜川市新区朝阳路鸿翔逸境1号楼1-4层商业区三楼304、305室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0919-2182986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采购包1：1,500,450.00元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代理服务费收费标准：依据国家发改委发改价格[2011]534号文件及依据国家计委计价格[2002]1980号文件规定计取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铜川市体育局</w:t>
      </w:r>
      <w:r>
        <w:rPr>
          <w:rFonts w:ascii="仿宋_GB2312" w:hAnsi="仿宋_GB2312" w:cs="仿宋_GB2312" w:eastAsia="仿宋_GB2312"/>
        </w:rPr>
        <w:t>和</w:t>
      </w:r>
      <w:r>
        <w:rPr>
          <w:rFonts w:ascii="仿宋_GB2312" w:hAnsi="仿宋_GB2312" w:cs="仿宋_GB2312" w:eastAsia="仿宋_GB2312"/>
        </w:rPr>
        <w:t>陕西公立工程项目管理咨询有限公司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陕西公立工程项目管理咨询有限公司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陕西公立工程项目管理咨询有限公司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以双方最终签订合同条款为准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联系电话：0919-2182986</w:t>
      </w:r>
    </w:p>
    <w:p>
      <w:pPr>
        <w:pStyle w:val="null3"/>
      </w:pPr>
      <w:r>
        <w:rPr>
          <w:rFonts w:ascii="仿宋_GB2312" w:hAnsi="仿宋_GB2312" w:cs="仿宋_GB2312" w:eastAsia="仿宋_GB2312"/>
        </w:rPr>
        <w:t>地址：陕西省铜川市新区朝阳路鸿翔逸境1号楼商业区1-4层3楼304室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2026年全国青少年武术俱乐部散打联赛（B赛区）赛事服务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1,500,450.00</w:t>
      </w:r>
    </w:p>
    <w:p>
      <w:pPr>
        <w:pStyle w:val="null3"/>
      </w:pPr>
      <w:r>
        <w:rPr>
          <w:rFonts w:ascii="仿宋_GB2312" w:hAnsi="仿宋_GB2312" w:cs="仿宋_GB2312" w:eastAsia="仿宋_GB2312"/>
        </w:rPr>
        <w:t>采购包最高限价（元）: 1,500,450.00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2026年全国青少年武术俱乐部散打联赛（B赛区）赛事服务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1,500,450.00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标的名称：2026年全国青少年武术俱乐部散打联赛（B赛区）赛事服务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一、时间、地点</w:t>
            </w:r>
            <w:r>
              <w:br/>
            </w:r>
            <w:r>
              <w:rPr>
                <w:rFonts w:ascii="仿宋_GB2312" w:hAnsi="仿宋_GB2312" w:cs="仿宋_GB2312" w:eastAsia="仿宋_GB2312"/>
              </w:rPr>
              <w:t xml:space="preserve"> 本赛事于 2026年8月9 日至 8月19 日在陕西省铜川市举行。</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1.按照国家相关规定合法使用本次赛事的冠名权、冠杯权、广告经营权。</w:t>
            </w:r>
            <w:r>
              <w:br/>
            </w:r>
            <w:r>
              <w:rPr>
                <w:rFonts w:ascii="仿宋_GB2312" w:hAnsi="仿宋_GB2312" w:cs="仿宋_GB2312" w:eastAsia="仿宋_GB2312"/>
              </w:rPr>
              <w:t xml:space="preserve"> 2.发布广告须按《广告法》自行办理有关手续。</w:t>
            </w:r>
            <w:r>
              <w:br/>
            </w:r>
            <w:r>
              <w:rPr>
                <w:rFonts w:ascii="仿宋_GB2312" w:hAnsi="仿宋_GB2312" w:cs="仿宋_GB2312" w:eastAsia="仿宋_GB2312"/>
              </w:rPr>
              <w:t xml:space="preserve"> 3.提供给甲方适当数量的免费门票和12块场内免费广告牌位。</w:t>
            </w:r>
          </w:p>
          <w:p>
            <w:pPr>
              <w:pStyle w:val="null3"/>
            </w:pPr>
            <w:r>
              <w:rPr>
                <w:rFonts w:ascii="仿宋_GB2312" w:hAnsi="仿宋_GB2312" w:cs="仿宋_GB2312" w:eastAsia="仿宋_GB2312"/>
              </w:rPr>
              <w:t>4.在运动员、裁判员、主席台入口处和赛场内安排安保人员,以确保赛场内的安全和秩序。</w:t>
            </w:r>
            <w:r>
              <w:br/>
            </w:r>
            <w:r>
              <w:rPr>
                <w:rFonts w:ascii="仿宋_GB2312" w:hAnsi="仿宋_GB2312" w:cs="仿宋_GB2312" w:eastAsia="仿宋_GB2312"/>
              </w:rPr>
              <w:t xml:space="preserve"> 5.认真贯彻落实国家体育总局有关赛风赛纪和反兴奋剂的相关规定，制定突发事件预案，严密组织，及时制止和处理赛场出现的不良现象，以确保比赛顺利进行。</w:t>
            </w:r>
            <w:r>
              <w:br/>
            </w:r>
            <w:r>
              <w:rPr>
                <w:rFonts w:ascii="仿宋_GB2312" w:hAnsi="仿宋_GB2312" w:cs="仿宋_GB2312" w:eastAsia="仿宋_GB2312"/>
              </w:rPr>
              <w:t xml:space="preserve"> 6.赛事门票的销售和纪念品的生产销售。</w:t>
            </w:r>
          </w:p>
          <w:p>
            <w:pPr>
              <w:pStyle w:val="null3"/>
            </w:pPr>
            <w:r>
              <w:rPr>
                <w:rFonts w:ascii="仿宋_GB2312" w:hAnsi="仿宋_GB2312" w:cs="仿宋_GB2312" w:eastAsia="仿宋_GB2312"/>
              </w:rPr>
              <w:t>7.制定赛事新闻宣传工作方案。赛前制作赛事宣传片，做好赛事宣传预热和场馆周边形象景观布置，营造良好的赛事氛围:赛时做好赛事直播和媒体服务工作，做好每日新闻收集上报工作，及时应对突发事件;赛后7日内向甲方上报宣传工作总结和比赛总结。</w:t>
            </w:r>
          </w:p>
          <w:p>
            <w:pPr>
              <w:pStyle w:val="null3"/>
            </w:pPr>
            <w:r>
              <w:rPr>
                <w:rFonts w:ascii="仿宋_GB2312" w:hAnsi="仿宋_GB2312" w:cs="仿宋_GB2312" w:eastAsia="仿宋_GB2312"/>
              </w:rPr>
              <w:t>8.认真按照甲方针对赛事提出的基本要求，严格做好赛事的服务保障工作。</w:t>
            </w:r>
          </w:p>
          <w:p>
            <w:pPr>
              <w:pStyle w:val="null3"/>
            </w:pPr>
            <w:r>
              <w:rPr>
                <w:rFonts w:ascii="仿宋_GB2312" w:hAnsi="仿宋_GB2312" w:cs="仿宋_GB2312" w:eastAsia="仿宋_GB2312"/>
              </w:rPr>
              <w:t>9.建立安全工作机制，制订赛事安全工作方案及突发事件应急预案，明确安全任务，落实安全责任，精心组织赛事，维护赛事秩序，积极应对和妥善处理突发事件，坚决杜绝重大事故的发生。</w:t>
            </w:r>
            <w:r>
              <w:br/>
            </w:r>
            <w:r>
              <w:rPr>
                <w:rFonts w:ascii="仿宋_GB2312" w:hAnsi="仿宋_GB2312" w:cs="仿宋_GB2312" w:eastAsia="仿宋_GB2312"/>
              </w:rPr>
              <w:t xml:space="preserve"> 10.需保证运动员一日三餐有独立就餐区域，就餐形式一律为自助餐，三餐均不得与酒店其他住客混合就餐。根据赛程安排就餐时间，保证饮食卫生，严防食物中毒:酒店接待方的食品采购必须经正规渠道，确保大会统一提供的运动员食品、饮料中不含违禁成分;如有兴奋剂检测，必须有专人负责对餐食进行自检，并对每一批次的肉食品留样冷冻，以备复查。</w:t>
            </w:r>
          </w:p>
          <w:p>
            <w:pPr>
              <w:pStyle w:val="null3"/>
            </w:pPr>
            <w:r>
              <w:rPr>
                <w:rFonts w:ascii="仿宋_GB2312" w:hAnsi="仿宋_GB2312" w:cs="仿宋_GB2312" w:eastAsia="仿宋_GB2312"/>
              </w:rPr>
              <w:t>三、服务清单</w:t>
            </w:r>
          </w:p>
          <w:tbl>
            <w:tblPr>
              <w:tblBorders>
                <w:top w:val="single"/>
                <w:left w:val="single"/>
                <w:bottom w:val="single"/>
                <w:right w:val="single"/>
                <w:insideH w:val="single"/>
                <w:insideV w:val="single"/>
              </w:tblBorders>
            </w:tblPr>
            <w:tblGrid>
              <w:gridCol w:w="428"/>
              <w:gridCol w:w="537"/>
              <w:gridCol w:w="247"/>
              <w:gridCol w:w="197"/>
              <w:gridCol w:w="197"/>
              <w:gridCol w:w="200"/>
              <w:gridCol w:w="737"/>
            </w:tblGrid>
            <w:tr>
              <w:tc>
                <w:tcPr>
                  <w:tcW w:type="dxa" w:w="4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项目内容</w:t>
                  </w: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支出内容</w:t>
                  </w: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规格</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数量</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单位</w:t>
                  </w: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时间（天）</w:t>
                  </w:r>
                </w:p>
              </w:tc>
              <w:tc>
                <w:tcPr>
                  <w:tcW w:type="dxa" w:w="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描述（所包含内容）</w:t>
                  </w:r>
                </w:p>
              </w:tc>
            </w:tr>
            <w:tr>
              <w:tc>
                <w:tcPr>
                  <w:tcW w:type="dxa" w:w="42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场地及空调使用</w:t>
                  </w: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场地使用+空调</w:t>
                  </w: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3000平米以上，主副馆</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场</w:t>
                  </w: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场地费、空调费、水电费</w:t>
                  </w:r>
                </w:p>
              </w:tc>
            </w:tr>
            <w:tr>
              <w:tc>
                <w:tcPr>
                  <w:tcW w:type="dxa" w:w="42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裁判暨工作人员</w:t>
                  </w: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裁判员+技术官员+工作人员食宿费</w:t>
                  </w: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三星级以上</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105</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人/天</w:t>
                  </w: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73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28"/>
                  <w:vMerge/>
                  <w:tcBorders>
                    <w:top w:val="single" w:color="000000" w:sz="4"/>
                    <w:left w:val="single" w:color="000000" w:sz="4"/>
                    <w:bottom w:val="single" w:color="000000" w:sz="4"/>
                    <w:right w:val="single" w:color="000000" w:sz="4"/>
                  </w:tcBorders>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国调裁判员+技术官员交通费</w:t>
                  </w: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动车或飞机</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80</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人 </w:t>
                  </w: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国调裁判员+技术官员往返交通费</w:t>
                  </w:r>
                </w:p>
              </w:tc>
            </w:tr>
            <w:tr>
              <w:tc>
                <w:tcPr>
                  <w:tcW w:type="dxa" w:w="428"/>
                  <w:vMerge/>
                  <w:tcBorders>
                    <w:top w:val="single" w:color="000000" w:sz="4"/>
                    <w:left w:val="single" w:color="000000" w:sz="4"/>
                    <w:bottom w:val="single" w:color="000000" w:sz="4"/>
                    <w:right w:val="single" w:color="000000" w:sz="4"/>
                  </w:tcBorders>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裁判员劳务费</w:t>
                  </w: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80</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人/天</w:t>
                  </w: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 </w:t>
                  </w:r>
                </w:p>
              </w:tc>
              <w:tc>
                <w:tcPr>
                  <w:tcW w:type="dxa" w:w="73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28"/>
                  <w:vMerge/>
                  <w:tcBorders>
                    <w:top w:val="single" w:color="000000" w:sz="4"/>
                    <w:left w:val="single" w:color="000000" w:sz="4"/>
                    <w:bottom w:val="single" w:color="000000" w:sz="4"/>
                    <w:right w:val="single" w:color="000000" w:sz="4"/>
                  </w:tcBorders>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裁判员补助</w:t>
                  </w: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80</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人</w:t>
                  </w: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73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28"/>
                  <w:vMerge/>
                  <w:tcBorders>
                    <w:top w:val="single" w:color="000000" w:sz="4"/>
                    <w:left w:val="single" w:color="000000" w:sz="4"/>
                    <w:bottom w:val="single" w:color="000000" w:sz="4"/>
                    <w:right w:val="single" w:color="000000" w:sz="4"/>
                  </w:tcBorders>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裁判员服装</w:t>
                  </w: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80</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人</w:t>
                  </w: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73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28"/>
                  <w:vMerge/>
                  <w:tcBorders>
                    <w:top w:val="single" w:color="000000" w:sz="4"/>
                    <w:left w:val="single" w:color="000000" w:sz="4"/>
                    <w:bottom w:val="single" w:color="000000" w:sz="4"/>
                    <w:right w:val="single" w:color="000000" w:sz="4"/>
                  </w:tcBorders>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志愿者补助</w:t>
                  </w: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人/天</w:t>
                  </w: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73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28"/>
                  <w:vMerge/>
                  <w:tcBorders>
                    <w:top w:val="single" w:color="000000" w:sz="4"/>
                    <w:left w:val="single" w:color="000000" w:sz="4"/>
                    <w:bottom w:val="single" w:color="000000" w:sz="4"/>
                    <w:right w:val="single" w:color="000000" w:sz="4"/>
                  </w:tcBorders>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志愿者服装</w:t>
                  </w: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人</w:t>
                  </w: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73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28"/>
                  <w:vMerge/>
                  <w:tcBorders>
                    <w:top w:val="single" w:color="000000" w:sz="4"/>
                    <w:left w:val="single" w:color="000000" w:sz="4"/>
                    <w:bottom w:val="single" w:color="000000" w:sz="4"/>
                    <w:right w:val="single" w:color="000000" w:sz="4"/>
                  </w:tcBorders>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安保、保洁人员劳务费</w:t>
                  </w: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人/天</w:t>
                  </w: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w:t>
                  </w:r>
                </w:p>
              </w:tc>
              <w:tc>
                <w:tcPr>
                  <w:tcW w:type="dxa" w:w="73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28"/>
                  <w:vMerge/>
                  <w:tcBorders>
                    <w:top w:val="single" w:color="000000" w:sz="4"/>
                    <w:left w:val="single" w:color="000000" w:sz="4"/>
                    <w:bottom w:val="single" w:color="000000" w:sz="4"/>
                    <w:right w:val="single" w:color="000000" w:sz="4"/>
                  </w:tcBorders>
                </w:tcPr>
                <w:p/>
              </w:tc>
              <w:tc>
                <w:tcPr>
                  <w:tcW w:type="dxa" w:w="5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医疗保障人员</w:t>
                  </w: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人/天</w:t>
                  </w: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w:t>
                  </w:r>
                </w:p>
              </w:tc>
              <w:tc>
                <w:tcPr>
                  <w:tcW w:type="dxa" w:w="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（三组预算，最后根据实际情况结算）</w:t>
                  </w:r>
                </w:p>
              </w:tc>
            </w:tr>
            <w:tr>
              <w:tc>
                <w:tcPr>
                  <w:tcW w:type="dxa" w:w="42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color w:val="000000"/>
                    </w:rPr>
                    <w:t>其他</w:t>
                  </w:r>
                </w:p>
              </w:tc>
              <w:tc>
                <w:tcPr>
                  <w:tcW w:type="dxa" w:w="537"/>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赛事指导服务费</w:t>
                  </w: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按照国家武术运动管理中心要求</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rPr>
                    <w:t xml:space="preserve"> </w:t>
                  </w:r>
                </w:p>
              </w:tc>
              <w:tc>
                <w:tcPr>
                  <w:tcW w:type="dxa" w:w="73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28"/>
                  <w:vMerge/>
                  <w:tcBorders>
                    <w:top w:val="single" w:color="000000" w:sz="4"/>
                    <w:left w:val="single" w:color="000000" w:sz="4"/>
                    <w:bottom w:val="single" w:color="000000" w:sz="4"/>
                    <w:right w:val="single" w:color="000000" w:sz="4"/>
                  </w:tcBorders>
                </w:tcPr>
                <w:p/>
              </w:tc>
              <w:tc>
                <w:tcPr>
                  <w:tcW w:type="dxa" w:w="537"/>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开幕式及颁奖</w:t>
                  </w: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按照国家武术运动管理中心要求</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颁奖礼仪10名劳务费、主持人2名劳务费、布置费用、耗材采购</w:t>
                  </w:r>
                </w:p>
              </w:tc>
            </w:tr>
            <w:tr>
              <w:tc>
                <w:tcPr>
                  <w:tcW w:type="dxa" w:w="428"/>
                  <w:vMerge/>
                  <w:tcBorders>
                    <w:top w:val="single" w:color="000000" w:sz="4"/>
                    <w:left w:val="single" w:color="000000" w:sz="4"/>
                    <w:bottom w:val="single" w:color="000000" w:sz="4"/>
                    <w:right w:val="single" w:color="000000" w:sz="4"/>
                  </w:tcBorders>
                </w:tcPr>
                <w:p/>
              </w:tc>
              <w:tc>
                <w:tcPr>
                  <w:tcW w:type="dxa" w:w="537"/>
                  <w:tcBorders>
                    <w:top w:val="singl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饮用水</w:t>
                  </w: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瓶装水</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2000</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73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28"/>
                  <w:vMerge/>
                  <w:tcBorders>
                    <w:top w:val="single" w:color="000000" w:sz="4"/>
                    <w:left w:val="single" w:color="000000" w:sz="4"/>
                    <w:bottom w:val="single" w:color="000000" w:sz="4"/>
                    <w:right w:val="single" w:color="000000" w:sz="4"/>
                  </w:tcBorders>
                </w:tcPr>
                <w:p/>
              </w:tc>
              <w:tc>
                <w:tcPr>
                  <w:tcW w:type="dxa" w:w="537"/>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赛事执行服务费</w:t>
                  </w: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w:t>
                  </w: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737"/>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428"/>
                  <w:vMerge/>
                  <w:tcBorders>
                    <w:top w:val="single" w:color="000000" w:sz="4"/>
                    <w:left w:val="single" w:color="000000" w:sz="4"/>
                    <w:bottom w:val="single" w:color="000000" w:sz="4"/>
                    <w:right w:val="single" w:color="000000" w:sz="4"/>
                  </w:tcBorders>
                </w:tcPr>
                <w:p/>
              </w:tc>
              <w:tc>
                <w:tcPr>
                  <w:tcW w:type="dxa" w:w="537"/>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盒饭</w:t>
                  </w:r>
                </w:p>
              </w:tc>
              <w:tc>
                <w:tcPr>
                  <w:tcW w:type="dxa" w:w="24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w:t>
                  </w:r>
                </w:p>
              </w:tc>
              <w:tc>
                <w:tcPr>
                  <w:tcW w:type="dxa" w:w="19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人/天</w:t>
                  </w:r>
                </w:p>
              </w:tc>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w:t>
                  </w:r>
                </w:p>
              </w:tc>
              <w:tc>
                <w:tcPr>
                  <w:tcW w:type="dxa" w:w="7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志愿者60人、本地工作人员70人、工作人员40人、消防人员10人，公安10人、场馆保洁20人、安保40人（一日三餐）</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根据项目采购需求配备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根据项目采购需求配备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2026年8月9日至8月20日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验收标准：参照《财政部关于进一步加强政府采购需求和履约验收管理的指导意见》(财库(2016) 205号)。 验收方法：自行组织项目验收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进度款，赛事举办完后，采购方确认成交供应商如约履行各项义务、完成各项善后工作，无任何对本次比赛可能造成不良影响的遗留问题，通过验收决算后，达到付款条件起60个工作日内，支付合同总金额的100.0%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以双方最终签订合同条款为准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为顺利推进政府采购电子化交易平台应用工作，供应商需要在线提交所有通过电子化交易平台实施的政府采购项目的竞争性磋商响应文件，同时，于开标前线下提交生成带电子签章的竞争性磋商响应文件纸质版至 陕西省铜川市耀州区陕西省铜川市新区朝阳路鸿翔逸境1号楼1-4层商业区三楼304室，响应文件正本一份，副本一份，电子U盘一份。竞争性磋商响应文件纸质版正本、副本与电子版一同密封，且在封袋正面标明“竞争性磋商响应文件纸质版”字样。封袋应加贴封条，并在封线处加盖供应商公章，封袋正面要粘贴供应商全称、项目名称、编号等标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承担⺠事责任能⼒的法⼈、其他组织或⾃然⼈并出具合法有效的营业执照或事业单位法⼈证书等国家规定的相关证明，⾃然⼈参与的提供其⾝份证明。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法定代表⼈直接参加投标的，须出具法⼈⾝份证，并与营业执照上信息⼀致；法定代表⼈授权代表参加投标的，须出具法定代表⼈授权书及授权代表⾝份证；</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1）或提供（2）：（1）提供2023年度⾄2025年度任意⼀年财务报告复印件，应满⾜以下要求：①供应商是企业的，财务报告是指经会计师事务所审计的上述指定年度整个会计年度财务报表（须提供会计师事务所出具的审计报告复印件）,复印件⾄少须包括报告正⽂、资产负债表、现⾦流量表、利润表、附注和会计师事务所营业执照，报告正⽂应当有会计师事务所公章和2名注册会计师的签字及盖章，且审计报告应当经过注册会计师⾏业统⼀监管平台备案赋码。②供应商适⽤《事业单位会计准则》的，财务报告是指上述指定年度整个会计年度财务报表（不要求必须是经审计的），复印件⾄少须包括资产负债表、收⼊⽀出表（或收⼊费⽤表）、财政补助收⼊⽀出表。③供应商适⽤《政府会计准则》的，财务报告是指上述指定年度整个会计年度财务报表（不要求必须是经审计的），复印件⾄少须包括资产负债表、收⼊费⽤表。④供应商适⽤《⺠间⾮营利组织会计制度》的，财务报告是指上述指定年度整个会计年度财务报表（不要求必须是经审计的），复印件⾄少须包括资产负债表、业务活动表、现⾦流量表。⑤供应商是上述四种情况以外情况的，按照其依法适⽤的会计制度、财务规则或会计准则提供财务报表复印件（不要求必须是经审计的）。（2）提供资信证明原件或复印件，应满⾜以下要求：①资信证明须为递交响应⽂件截⽌时间前三个⽉内由供应商基本账⼾开⼾银⾏出具。②⽆论开具银⾏是否标明“复印⽆效”，供应商提供的复印件在本次投标中予以认可（即不因“复印⽆效”字样⽽认定资信证明复印件⽆效）。③银⾏出具的存款证明不能替代银⾏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提供2026年1⽉⾄今任意⼀个⽉的依法缴纳税收的相关凭据（时间以税款所属⽇期为准），凭据应有税务机关或代收机关的公章或业务专⽤章。依法免税或⽆须缴纳税收的供应商，应提供相应证明⽂件；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提供2026年1⽉⾄今任意⼀个⽉的社会保障资⾦缴存单据或社保机构开具的社会保险参保缴费情况证明。依法不需要缴纳社会保障资⾦的供应商，应提供相关证明⽂件；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供应商不得为“信⽤中国”⽹站（www.creditchina.gov.cn）中列⼊失信被执⾏⼈和重⼤税收违法失信主体名单的供应商，不得为中国政府采购⽹（www.ccgp.go 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设备和专业技术能⼒承诺</w:t>
            </w:r>
          </w:p>
        </w:tc>
        <w:tc>
          <w:tcPr>
            <w:tcW w:type="dxa" w:w="3322"/>
          </w:tcPr>
          <w:p>
            <w:pPr>
              <w:pStyle w:val="null3"/>
            </w:pPr>
            <w:r>
              <w:rPr>
                <w:rFonts w:ascii="仿宋_GB2312" w:hAnsi="仿宋_GB2312" w:cs="仿宋_GB2312" w:eastAsia="仿宋_GB2312"/>
              </w:rPr>
              <w:t>具有履⾏合同所必需的设备和专业技术能⼒，提供证明材料或书⾯承诺并加盖公章；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⽆重⼤违法记录声明</w:t>
            </w:r>
          </w:p>
        </w:tc>
        <w:tc>
          <w:tcPr>
            <w:tcW w:type="dxa" w:w="3322"/>
          </w:tcPr>
          <w:p>
            <w:pPr>
              <w:pStyle w:val="null3"/>
            </w:pPr>
            <w:r>
              <w:rPr>
                <w:rFonts w:ascii="仿宋_GB2312" w:hAnsi="仿宋_GB2312" w:cs="仿宋_GB2312" w:eastAsia="仿宋_GB2312"/>
              </w:rPr>
              <w:t>供应商在近三年经营活动中没有重⼤违法记录的声明；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响应文件格式及签字盖章</w:t>
            </w:r>
          </w:p>
        </w:tc>
        <w:tc>
          <w:tcPr>
            <w:tcW w:type="dxa" w:w="3322"/>
          </w:tcPr>
          <w:p>
            <w:pPr>
              <w:pStyle w:val="null3"/>
            </w:pPr>
            <w:r>
              <w:rPr>
                <w:rFonts w:ascii="仿宋_GB2312" w:hAnsi="仿宋_GB2312" w:cs="仿宋_GB2312" w:eastAsia="仿宋_GB2312"/>
              </w:rPr>
              <w:t>完全满足磋商文件文件格式要求签字盖章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分项报价表.docx 法定代表人身份证明书.docx 残疾人福利性单位声明函 供应商类似项目业绩一览表(1包).docx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需满足磋商文件要求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不论其大写或小写金额均只能有一个有效报价，且未超过最高限价。</w:t>
            </w:r>
          </w:p>
        </w:tc>
        <w:tc>
          <w:tcPr>
            <w:tcW w:type="dxa" w:w="1661"/>
          </w:tcPr>
          <w:p>
            <w:pPr>
              <w:pStyle w:val="null3"/>
            </w:pPr>
            <w:r>
              <w:rPr>
                <w:rFonts w:ascii="仿宋_GB2312" w:hAnsi="仿宋_GB2312" w:cs="仿宋_GB2312" w:eastAsia="仿宋_GB2312"/>
              </w:rPr>
              <w:t>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竞赛组织实施方案</w:t>
            </w:r>
          </w:p>
        </w:tc>
        <w:tc>
          <w:tcPr>
            <w:tcW w:type="dxa" w:w="2492"/>
          </w:tcPr>
          <w:p>
            <w:pPr>
              <w:pStyle w:val="null3"/>
            </w:pPr>
            <w:r>
              <w:rPr>
                <w:rFonts w:ascii="仿宋_GB2312" w:hAnsi="仿宋_GB2312" w:cs="仿宋_GB2312" w:eastAsia="仿宋_GB2312"/>
              </w:rPr>
              <w:t>提供针对本项目的竞赛组织实施方案，内容至少包括①赛事总体规划；②场地使用、搭建及赛场布置方案；③赛事进度安排；④裁判员选派与培训；⑤志愿者招募及培训方案。以上内容专门针对本项目，且符合本项目实际需求的得10分，每缺一项扣2分，若上述内容存在瑕疵，每出现1项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供应商提供针对本项目采购需求的理解，至少应包括：①工作重点；②关键点分析；③工作难点；④服务优势；⑤合理化建议。以上内容专门针对本项目，且符合本项目实际需求的得10分，每缺一项扣2分，若上述内容存在瑕疵，每出现1项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媒体宣传推广方案</w:t>
            </w:r>
          </w:p>
        </w:tc>
        <w:tc>
          <w:tcPr>
            <w:tcW w:type="dxa" w:w="2492"/>
          </w:tcPr>
          <w:p>
            <w:pPr>
              <w:pStyle w:val="null3"/>
            </w:pPr>
            <w:r>
              <w:rPr>
                <w:rFonts w:ascii="仿宋_GB2312" w:hAnsi="仿宋_GB2312" w:cs="仿宋_GB2312" w:eastAsia="仿宋_GB2312"/>
              </w:rPr>
              <w:t>提供针对本项目的媒体宣传推广方案，内容至少包括①宣传推广总体思路；②分阶段宣传计划；③媒体渠道覆盖。 以上内容专门针对本项目，且符合本项目实际需求的得6分，每缺一项扣2分，若上述内容存在瑕疵，每出现1项瑕疵扣0.5分，扣完为止。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安全应急保障方案</w:t>
            </w:r>
          </w:p>
        </w:tc>
        <w:tc>
          <w:tcPr>
            <w:tcW w:type="dxa" w:w="2492"/>
          </w:tcPr>
          <w:p>
            <w:pPr>
              <w:pStyle w:val="null3"/>
            </w:pPr>
            <w:r>
              <w:rPr>
                <w:rFonts w:ascii="仿宋_GB2312" w:hAnsi="仿宋_GB2312" w:cs="仿宋_GB2312" w:eastAsia="仿宋_GB2312"/>
              </w:rPr>
              <w:t>提供针对本项目的安全应急保障方案至少包括①现场秩序与安全保障方案；②医疗救助方案措施；③消防安全措施；④食品安全保障措施；⑤突发应急事件响应措施。以上内容专门针对本项目且符合本项目实际需求的得10分，每缺一项内容扣2分，若上述内容存在瑕疵，每存在1处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提供针对本项目的质量保障方案至少包括①质量保障措施；②过程质量控制措施； 以上内容专门针对本项目且符合本项目实际需求的得4分，每缺一项内容扣2分，若上述内容存在瑕疵，每存在1处瑕疵扣0.5分，扣完为止。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针对本项目的服务承诺，内容至少包括①服务质量保障承诺；②履约时限承诺（赛前筹备、赛时运行、赛后总结各阶段关键节点）；③问题响应与处理承诺；④保守赛事工作秘密承诺；⑤赛后资料质量保障及移交承诺等方面。每提供1条承诺，得2分，本小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供应商应可根据自身情况提供其他利于本项目的增值服务，每提供1条有效增值服务，得2分，最高得8分。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赛事服务人员配置</w:t>
            </w:r>
          </w:p>
        </w:tc>
        <w:tc>
          <w:tcPr>
            <w:tcW w:type="dxa" w:w="2492"/>
          </w:tcPr>
          <w:p>
            <w:pPr>
              <w:pStyle w:val="null3"/>
            </w:pPr>
            <w:r>
              <w:rPr>
                <w:rFonts w:ascii="仿宋_GB2312" w:hAnsi="仿宋_GB2312" w:cs="仿宋_GB2312" w:eastAsia="仿宋_GB2312"/>
              </w:rPr>
              <w:t>1.供应商具备充足赛事执裁裁判合作资源的，每提供1名执裁人员的有效裁判证书，得1分，累计最高得10分。未提供不得分 2.赛事自有服务人员配置 供应商自有赛事服务人员数量≥10人的，基础得10分；在10人基础上，每增加1名自有服务人员额外加1分，累计加分最高至本项总分13分。以上两项合计23分。</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供应商提供类似体育赛事服务项目业绩，每提供一份得3分，满分9分。 注：响应文件中提供合同复印件加盖投标人公章。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供应商类似项目业绩一览表(1包).docx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价格分采用低价优先法计算，即满足磋商文件要求且响应报价最低的响应报价为评标基准价，其价格分为满分。其他投标单位的价格分统一按照下列公式计算：磋商报价=（评标基准价/响应报价）×价格权值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详见附件：供应商类似项目业绩一览表(1包).docx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