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版本号：YD-202603420260623001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2026年洋县谢村镇四兴村标准化仓储加工冷链基础设施建设项目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YD-2026034</w:t>
      </w:r>
      <w:r>
        <w:br/>
      </w:r>
      <w:r>
        <w:br/>
      </w:r>
      <w:r>
        <w:br/>
      </w:r>
    </w:p>
    <w:p>
      <w:pPr>
        <w:pStyle w:val="null3"/>
        <w:jc w:val="center"/>
        <w:outlineLvl w:val="2"/>
      </w:pPr>
      <w:r>
        <w:rPr>
          <w:rFonts w:ascii="仿宋_GB2312" w:hAnsi="仿宋_GB2312" w:cs="仿宋_GB2312" w:eastAsia="仿宋_GB2312"/>
          <w:sz w:val="28"/>
          <w:b/>
        </w:rPr>
        <w:t>洋县谢村镇人民政府</w:t>
      </w:r>
    </w:p>
    <w:p>
      <w:pPr>
        <w:pStyle w:val="null3"/>
        <w:jc w:val="center"/>
        <w:outlineLvl w:val="2"/>
      </w:pPr>
      <w:r>
        <w:rPr>
          <w:rFonts w:ascii="仿宋_GB2312" w:hAnsi="仿宋_GB2312" w:cs="仿宋_GB2312" w:eastAsia="仿宋_GB2312"/>
          <w:sz w:val="28"/>
          <w:b/>
        </w:rPr>
        <w:t>一鼎项目管理有限公司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一鼎项目管理有限公司</w:t>
      </w:r>
      <w:r>
        <w:rPr>
          <w:rFonts w:ascii="仿宋_GB2312" w:hAnsi="仿宋_GB2312" w:cs="仿宋_GB2312" w:eastAsia="仿宋_GB2312"/>
        </w:rPr>
        <w:t>（以下简称“代理机构”）受</w:t>
      </w:r>
      <w:r>
        <w:rPr>
          <w:rFonts w:ascii="仿宋_GB2312" w:hAnsi="仿宋_GB2312" w:cs="仿宋_GB2312" w:eastAsia="仿宋_GB2312"/>
        </w:rPr>
        <w:t>洋县谢村镇人民政府</w:t>
      </w:r>
      <w:r>
        <w:rPr>
          <w:rFonts w:ascii="仿宋_GB2312" w:hAnsi="仿宋_GB2312" w:cs="仿宋_GB2312" w:eastAsia="仿宋_GB2312"/>
        </w:rPr>
        <w:t>委托，拟对</w:t>
      </w:r>
      <w:r>
        <w:rPr>
          <w:rFonts w:ascii="仿宋_GB2312" w:hAnsi="仿宋_GB2312" w:cs="仿宋_GB2312" w:eastAsia="仿宋_GB2312"/>
        </w:rPr>
        <w:t>2026年洋县谢村镇四兴村标准化仓储加工冷链基础设施建设项目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YD-2026034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2026年洋县谢村镇四兴村标准化仓储加工冷链基础设施建设项目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新建活动板房、烘⼲房、新建钢结构轻钢⼤棚，建筑⾯积230.49㎡、新建117.1m排⽔沟，新建清洗池7套、新建速冻库及恒温冷冻库等。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采购包1（2026年洋县谢村镇四兴村标准化仓储加工冷链基础设施建设项目）：属于专门面向中小企业采购。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1、主体资格：供应商应为具有独⽴承担⺠事责任能⼒的法⼈或其他组织或⾃然⼈，并出具营业执照（事业法⼈证）或证明⽂件或⾃然⼈的⾝份证明；</w:t>
      </w:r>
    </w:p>
    <w:p>
      <w:pPr>
        <w:pStyle w:val="null3"/>
      </w:pPr>
      <w:r>
        <w:rPr>
          <w:rFonts w:ascii="仿宋_GB2312" w:hAnsi="仿宋_GB2312" w:cs="仿宋_GB2312" w:eastAsia="仿宋_GB2312"/>
        </w:rPr>
        <w:t>2、资格承诺：供应商应具备健全的财务会计制度、履⾏合同所需的设备和专业技术能⼒、依法缴纳税收和社会保障资⾦，以及参加本项⽬采购活动前3年内经营活动⽆重⼤违法记录；投标⼈未被列⼊“ 信⽤中国”⽹站(https://www.creditchina.gov.cn)“失信被执⾏⼈”“重⼤税收违法案件当事⼈名单”中，也未列⼊“中国政府采购⽹”(https://www.ccgp.gov.cn)的“政府采购严重违法失信⾏为记录名单”；拟参与本项⽬的投标⼈应按照汉中市财政局《关于全⾯推⾏政府采购供应商基本资格条件承诺制的通知》(汉财办采管(2024)20号)⽂件要求，提供满⾜相应条件的资格承诺函；</w:t>
      </w:r>
    </w:p>
    <w:p>
      <w:pPr>
        <w:pStyle w:val="null3"/>
      </w:pPr>
      <w:r>
        <w:rPr>
          <w:rFonts w:ascii="仿宋_GB2312" w:hAnsi="仿宋_GB2312" w:cs="仿宋_GB2312" w:eastAsia="仿宋_GB2312"/>
        </w:rPr>
        <w:t>3、法定代表⼈⾝份证明或授权委托书：法定代表⼈直接参加投标的，须提供法定代表⼈⾝份证明；法定代表⼈授权代表参加投标的，须提供法定代表⼈授权委托书；</w:t>
      </w:r>
    </w:p>
    <w:p>
      <w:pPr>
        <w:pStyle w:val="null3"/>
      </w:pPr>
      <w:r>
        <w:rPr>
          <w:rFonts w:ascii="仿宋_GB2312" w:hAnsi="仿宋_GB2312" w:cs="仿宋_GB2312" w:eastAsia="仿宋_GB2312"/>
        </w:rPr>
        <w:t>4、本采购包专⻔⾯向中⼩企业采购：本项⽬专⻔⾯向中⼩企业采购,供应商须提供《中⼩企业声明函》，供应商为监狱企业的 ，应提供监狱企业的证明⽂件；供应商为残疾⼈福利性单位的，应提供《残疾⼈福利性单位声明函》(监狱企业或残疾⼈福利性单位视同⼩型、微型企业)；</w:t>
      </w:r>
    </w:p>
    <w:p>
      <w:pPr>
        <w:pStyle w:val="null3"/>
      </w:pPr>
      <w:r>
        <w:rPr>
          <w:rFonts w:ascii="仿宋_GB2312" w:hAnsi="仿宋_GB2312" w:cs="仿宋_GB2312" w:eastAsia="仿宋_GB2312"/>
        </w:rPr>
        <w:t>5、供应商资质：供应商须具备建设行政主管部门核发的建筑工程施工总承包三级及以上资质，具有有效的安全生产许可证；拟派项目经理须具备建筑工程专业二级及以上注册建造师执业资格和有效的安全考核合格B证，且无在建项目（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洋县谢村镇人民政府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汉中市洋县谢村镇谢村街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0916-8522455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一鼎项目管理有限公司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汉中市汉台区⽯⻢路睿居品阁酒店17楼 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0916-2610065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开户名称：⼀⿍项⽬管理有限公司汉中分公司</w:t>
            </w:r>
          </w:p>
          <w:p>
            <w:pPr>
              <w:pStyle w:val="null3"/>
            </w:pPr>
            <w:r>
              <w:rPr>
                <w:rFonts w:ascii="仿宋_GB2312" w:hAnsi="仿宋_GB2312" w:cs="仿宋_GB2312" w:eastAsia="仿宋_GB2312"/>
              </w:rPr>
              <w:t>开户银行：⻓安银⾏股份有限公司汉中莲湖东路⽀⾏</w:t>
            </w:r>
          </w:p>
          <w:p>
            <w:pPr>
              <w:pStyle w:val="null3"/>
            </w:pPr>
            <w:r>
              <w:rPr>
                <w:rFonts w:ascii="仿宋_GB2312" w:hAnsi="仿宋_GB2312" w:cs="仿宋_GB2312" w:eastAsia="仿宋_GB2312"/>
              </w:rPr>
              <w:t>银行账号：8060 6080 1421 0061 87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代理服务费收费标准：参照《国家发展改⾰委关于进⼀步放开建设项⽬专业服务价格的通知》(发改价格(2015)299号)⽂收费标准</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洋县谢村镇人民政府</w:t>
      </w:r>
      <w:r>
        <w:rPr>
          <w:rFonts w:ascii="仿宋_GB2312" w:hAnsi="仿宋_GB2312" w:cs="仿宋_GB2312" w:eastAsia="仿宋_GB2312"/>
        </w:rPr>
        <w:t>和</w:t>
      </w:r>
      <w:r>
        <w:rPr>
          <w:rFonts w:ascii="仿宋_GB2312" w:hAnsi="仿宋_GB2312" w:cs="仿宋_GB2312" w:eastAsia="仿宋_GB2312"/>
        </w:rPr>
        <w:t>一鼎项目管理有限公司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洋县谢村镇人民政府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一鼎项目管理有限公司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洋县谢村镇人民政府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一鼎项目管理有限公司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依照合同约定执⾏</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依照合同约定执⾏</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一鼎项目管理有限公司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一鼎项目管理有限公司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w:t>
      </w:r>
    </w:p>
    <w:p>
      <w:pPr>
        <w:pStyle w:val="null3"/>
      </w:pPr>
      <w:r>
        <w:rPr>
          <w:rFonts w:ascii="仿宋_GB2312" w:hAnsi="仿宋_GB2312" w:cs="仿宋_GB2312" w:eastAsia="仿宋_GB2312"/>
        </w:rPr>
        <w:t>联系电话：0916-2610065</w:t>
      </w:r>
    </w:p>
    <w:p>
      <w:pPr>
        <w:pStyle w:val="null3"/>
      </w:pPr>
      <w:r>
        <w:rPr>
          <w:rFonts w:ascii="仿宋_GB2312" w:hAnsi="仿宋_GB2312" w:cs="仿宋_GB2312" w:eastAsia="仿宋_GB2312"/>
        </w:rPr>
        <w:t>地址：汉中市汉台区⽯⻢路睿居品阁酒店17楼06室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960,000.00</w:t>
      </w:r>
    </w:p>
    <w:p>
      <w:pPr>
        <w:pStyle w:val="null3"/>
      </w:pPr>
      <w:r>
        <w:rPr>
          <w:rFonts w:ascii="仿宋_GB2312" w:hAnsi="仿宋_GB2312" w:cs="仿宋_GB2312" w:eastAsia="仿宋_GB2312"/>
        </w:rPr>
        <w:t>采购包最高限价（元）: 901,657.29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2026年洋县谢村镇四兴村标准化仓储加工冷链基础设施建设项目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960,000.00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标的名称：2026年洋县谢村镇四兴村标准化仓储加工冷链基础设施建设项目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color w:val="000000"/>
              </w:rPr>
              <w:t>⼀、⼯程概况</w:t>
            </w:r>
          </w:p>
          <w:p>
            <w:pPr>
              <w:pStyle w:val="null3"/>
            </w:pPr>
            <w:r>
              <w:rPr>
                <w:rFonts w:ascii="仿宋_GB2312" w:hAnsi="仿宋_GB2312" w:cs="仿宋_GB2312" w:eastAsia="仿宋_GB2312"/>
                <w:sz w:val="21"/>
              </w:rPr>
              <w:t xml:space="preserve">  2026年洋县谢村镇四兴村标准化仓储加工冷链基础设施建设项目，工程位于洋县谢村镇四兴村，本次建设内容：新建活动板房、烘干房、新建钢结构轻钢大棚，建筑面积230.49㎡、新建117.1m排水沟，新建清洗池7套、新建速冻库及恒温冷冻库等。</w:t>
            </w:r>
          </w:p>
          <w:p>
            <w:pPr>
              <w:pStyle w:val="null3"/>
            </w:pPr>
            <w:r>
              <w:rPr>
                <w:rFonts w:ascii="仿宋_GB2312" w:hAnsi="仿宋_GB2312" w:cs="仿宋_GB2312" w:eastAsia="仿宋_GB2312"/>
                <w:sz w:val="21"/>
                <w:color w:val="000000"/>
              </w:rPr>
              <w:t>⼆、编制依据</w:t>
            </w:r>
          </w:p>
          <w:p>
            <w:pPr>
              <w:pStyle w:val="null3"/>
            </w:pPr>
            <w:r>
              <w:rPr>
                <w:rFonts w:ascii="仿宋_GB2312" w:hAnsi="仿宋_GB2312" w:cs="仿宋_GB2312" w:eastAsia="仿宋_GB2312"/>
                <w:sz w:val="21"/>
              </w:rPr>
              <w:t xml:space="preserve"> 1、工程预算、施工图纸等。</w:t>
            </w:r>
          </w:p>
          <w:p>
            <w:pPr>
              <w:pStyle w:val="null3"/>
            </w:pPr>
            <w:r>
              <w:rPr>
                <w:rFonts w:ascii="仿宋_GB2312" w:hAnsi="仿宋_GB2312" w:cs="仿宋_GB2312" w:eastAsia="仿宋_GB2312"/>
                <w:sz w:val="21"/>
              </w:rPr>
              <w:t xml:space="preserve"> 2、《陕西省住房和城乡建设厅关于印发 2025 陕西省建设工程费用规则等计价依据的通知》陕建管发〔2025〕10号文件。</w:t>
            </w:r>
          </w:p>
          <w:p>
            <w:pPr>
              <w:pStyle w:val="null3"/>
            </w:pPr>
            <w:r>
              <w:rPr>
                <w:rFonts w:ascii="仿宋_GB2312" w:hAnsi="仿宋_GB2312" w:cs="仿宋_GB2312" w:eastAsia="仿宋_GB2312"/>
                <w:sz w:val="21"/>
              </w:rPr>
              <w:t xml:space="preserve"> 3、《陕西省建设工程费用规则》（2025）、《建设工程工程量清单计价标准》（2025）、《房屋建筑与装修工程工程量计算标准》、《通用安装工程工程量计算标准》及其配套文件。</w:t>
            </w:r>
          </w:p>
          <w:p>
            <w:pPr>
              <w:pStyle w:val="null3"/>
            </w:pPr>
            <w:r>
              <w:rPr>
                <w:rFonts w:ascii="仿宋_GB2312" w:hAnsi="仿宋_GB2312" w:cs="仿宋_GB2312" w:eastAsia="仿宋_GB2312"/>
                <w:sz w:val="21"/>
              </w:rPr>
              <w:t xml:space="preserve"> 4、《陕西省房屋建筑与装饰工程消耗量定额》（2025）、《陕西省通用安装工程消耗量定额》（2025）、《陕西省建设工程施工机械台班费用定额》（2025）。</w:t>
            </w:r>
          </w:p>
          <w:p>
            <w:pPr>
              <w:pStyle w:val="null3"/>
            </w:pPr>
            <w:r>
              <w:rPr>
                <w:rFonts w:ascii="仿宋_GB2312" w:hAnsi="仿宋_GB2312" w:cs="仿宋_GB2312" w:eastAsia="仿宋_GB2312"/>
                <w:sz w:val="21"/>
              </w:rPr>
              <w:t xml:space="preserve"> 5、《陕西省房屋建筑与装饰工程基价表》（2025）、《陕西省通用安装工程基价表》（2025）。</w:t>
            </w:r>
          </w:p>
          <w:p>
            <w:pPr>
              <w:pStyle w:val="null3"/>
            </w:pPr>
            <w:r>
              <w:rPr>
                <w:rFonts w:ascii="仿宋_GB2312" w:hAnsi="仿宋_GB2312" w:cs="仿宋_GB2312" w:eastAsia="仿宋_GB2312"/>
                <w:sz w:val="21"/>
                <w:color w:val="000000"/>
              </w:rPr>
              <w:t>三、项⽬⼯期为：</w:t>
            </w:r>
            <w:r>
              <w:rPr>
                <w:rFonts w:ascii="仿宋_GB2312" w:hAnsi="仿宋_GB2312" w:cs="仿宋_GB2312" w:eastAsia="仿宋_GB2312"/>
                <w:sz w:val="21"/>
                <w:color w:val="000000"/>
              </w:rPr>
              <w:t>90</w:t>
            </w:r>
            <w:r>
              <w:rPr>
                <w:rFonts w:ascii="仿宋_GB2312" w:hAnsi="仿宋_GB2312" w:cs="仿宋_GB2312" w:eastAsia="仿宋_GB2312"/>
                <w:sz w:val="21"/>
                <w:color w:val="000000"/>
              </w:rPr>
              <w:t>天</w:t>
            </w:r>
          </w:p>
          <w:p>
            <w:pPr>
              <w:pStyle w:val="null3"/>
            </w:pPr>
            <w:r>
              <w:rPr>
                <w:rFonts w:ascii="仿宋_GB2312" w:hAnsi="仿宋_GB2312" w:cs="仿宋_GB2312" w:eastAsia="仿宋_GB2312"/>
                <w:sz w:val="21"/>
                <w:color w:val="000000"/>
              </w:rPr>
              <w:t>四、本项⽬缺陷责任期为：</w:t>
            </w:r>
            <w:r>
              <w:rPr>
                <w:rFonts w:ascii="仿宋_GB2312" w:hAnsi="仿宋_GB2312" w:cs="仿宋_GB2312" w:eastAsia="仿宋_GB2312"/>
                <w:sz w:val="21"/>
                <w:color w:val="000000"/>
              </w:rPr>
              <w:t>2</w:t>
            </w:r>
            <w:r>
              <w:rPr>
                <w:rFonts w:ascii="仿宋_GB2312" w:hAnsi="仿宋_GB2312" w:cs="仿宋_GB2312" w:eastAsia="仿宋_GB2312"/>
                <w:sz w:val="21"/>
                <w:color w:val="000000"/>
              </w:rPr>
              <w:t>年</w:t>
            </w:r>
          </w:p>
          <w:p>
            <w:pPr>
              <w:pStyle w:val="null3"/>
            </w:pPr>
            <w:r>
              <w:rPr>
                <w:rFonts w:ascii="仿宋_GB2312" w:hAnsi="仿宋_GB2312" w:cs="仿宋_GB2312" w:eastAsia="仿宋_GB2312"/>
                <w:sz w:val="21"/>
              </w:rPr>
              <w:t>五、工程质量：达到国家及行业标准。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满⾜国家及⾏业现⾏技术规范标准，符合国家及⾏业验收合格标准。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以磋商⽂件要求为准。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1、在成交结果公⽰后，成交供应商向代理机构提交纸质响应⽂件叁份、分别胶装，加盖骑缝章，电⼦版U盘贰份，内容和通过电⼦化交易平台实施的政府采购项⽬提交的响应⽂件⼀致。 2、保证⾦若以⾦融机构、担保机构出具的保函形式则须在开标前⼀个⼯作⽇告知采购代理机构（联系⽅式：0916-2610065/邮箱：1042853189@qq.com）。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汉中市财政局《关于全⾯推⾏政府采购供应商基本资格条件承诺制的通知》(汉财办采管(2024)20号)⽂件要求，提供满⾜相应条件的资格承诺函；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供应商应为具有独⽴承担⺠事责任能⼒的法⼈或其他组织或⾃然⼈，并出具营业执照（事业法⼈证）或证明⽂件或⾃然⼈的⾝份证明；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资格承诺</w:t>
            </w:r>
          </w:p>
        </w:tc>
        <w:tc>
          <w:tcPr>
            <w:tcW w:type="dxa" w:w="3322"/>
          </w:tcPr>
          <w:p>
            <w:pPr>
              <w:pStyle w:val="null3"/>
            </w:pPr>
            <w:r>
              <w:rPr>
                <w:rFonts w:ascii="仿宋_GB2312" w:hAnsi="仿宋_GB2312" w:cs="仿宋_GB2312" w:eastAsia="仿宋_GB2312"/>
              </w:rPr>
              <w:t>供应商应具备健全的财务会计制度、履⾏合同所需的设备和专业技术能⼒、依法缴纳税收和社会保障资⾦，以及参加本项⽬采购活动前3年内经营活动⽆重⼤违法记录；投标⼈未被列⼊“ 信⽤中国”⽹站(https://www.creditchina.gov.cn)“失信被执⾏⼈”“重⼤税收违法案件当事⼈名单”中，也未列⼊“中国政府采购⽹”(https://www.ccgp.gov.cn)的“政府采购严重违法失信⾏为记录名单”；拟参与本项⽬的投标⼈应按照汉中市财政局《关于全⾯推⾏政府采购供应商基本资格条件承诺制的通知》(汉财办采管(2024)20号)⽂件要求，提供满⾜相应条件的资格承诺函；</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法定代表⼈⾝份证明或授权委托书</w:t>
            </w:r>
          </w:p>
        </w:tc>
        <w:tc>
          <w:tcPr>
            <w:tcW w:type="dxa" w:w="3322"/>
          </w:tcPr>
          <w:p>
            <w:pPr>
              <w:pStyle w:val="null3"/>
            </w:pPr>
            <w:r>
              <w:rPr>
                <w:rFonts w:ascii="仿宋_GB2312" w:hAnsi="仿宋_GB2312" w:cs="仿宋_GB2312" w:eastAsia="仿宋_GB2312"/>
              </w:rPr>
              <w:t>法定代表⼈直接参加投标的，须提供法定代表⼈⾝份证明；法定代表⼈授权代表参加投标的，须提供法定代表⼈授权委托书；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本采购包专⻔⾯向中⼩企业采购</w:t>
            </w:r>
          </w:p>
        </w:tc>
        <w:tc>
          <w:tcPr>
            <w:tcW w:type="dxa" w:w="3322"/>
          </w:tcPr>
          <w:p>
            <w:pPr>
              <w:pStyle w:val="null3"/>
            </w:pPr>
            <w:r>
              <w:rPr>
                <w:rFonts w:ascii="仿宋_GB2312" w:hAnsi="仿宋_GB2312" w:cs="仿宋_GB2312" w:eastAsia="仿宋_GB2312"/>
              </w:rPr>
              <w:t>本项⽬专⻔⾯向中⼩企业采购,供应商须提供《中⼩企业声明函》，供应商为监狱企业的 ，应提供监狱企业的证明⽂件；供应商为残疾⼈福利性单位的，应提供《残疾⼈福利性单位声明函》(监狱企业或残疾⼈福利性单位视同⼩型、微型企业)；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核发的建筑工程施工总承包三级及以上资质，具有有效的安全生产许可证；拟派项目经理须具备建筑工程专业二级及以上注册建造师执业资格和有效的安全考核合格B证，且无在建项目（提供承诺书）。</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响应⽂件的电⼦签章</w:t>
            </w:r>
          </w:p>
        </w:tc>
        <w:tc>
          <w:tcPr>
            <w:tcW w:type="dxa" w:w="3322"/>
          </w:tcPr>
          <w:p>
            <w:pPr>
              <w:pStyle w:val="null3"/>
            </w:pPr>
            <w:r>
              <w:rPr>
                <w:rFonts w:ascii="仿宋_GB2312" w:hAnsi="仿宋_GB2312" w:cs="仿宋_GB2312" w:eastAsia="仿宋_GB2312"/>
              </w:rPr>
              <w:t>响应⽂件按磋商⽂件要求进⾏电⼦签章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汉中市政府采购供应商资格承诺函.docx 强制优先采购产品承诺函 响应文件封面 评审方案.docx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报价唯⼀，未超出采购预算或磋商⽂件规定的最⾼限价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不存在其他不符合法律法规或磋商⽂件规定的响应⽆效条款的情形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汉中市政府采购供应商资格承诺函.docx 强制优先采购产品承诺函 响应文件封面 评审方案.docx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供应商提供2023年1⽉1日⾄今完成的类似业绩证明，每提供⼀份计2.5分，最⾼计5.0分；（以合同签订时间为准） 注：业绩须是供应商完成的类似项⽬，以成交通知书或协议书（合同）为准。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项⽬经理部组成⼈ 员</w:t>
            </w:r>
          </w:p>
        </w:tc>
        <w:tc>
          <w:tcPr>
            <w:tcW w:type="dxa" w:w="2492"/>
          </w:tcPr>
          <w:p>
            <w:pPr>
              <w:pStyle w:val="null3"/>
            </w:pPr>
            <w:r>
              <w:rPr>
                <w:rFonts w:ascii="仿宋_GB2312" w:hAnsi="仿宋_GB2312" w:cs="仿宋_GB2312" w:eastAsia="仿宋_GB2312"/>
              </w:rPr>
              <w:t>供应商针对本项⽬有具体的配置⼈员专业、数量、职称及相关经验，详细的实施⼈员安排，分⼯合理、责任明确。包括但不限于：①团队⼈员配置清单及岗位职责、且证书证件合格有效；②提供⼈员到场及不更换⼈员承诺。以上各项内容全⾯明确、阐述条理清晰得10分，每缺⼀项扣5分，每项中的内容存在缺陷，扣1-4分，扣完为⽌。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确保⼯程质量的技术组织措施</w:t>
            </w:r>
          </w:p>
        </w:tc>
        <w:tc>
          <w:tcPr>
            <w:tcW w:type="dxa" w:w="2492"/>
          </w:tcPr>
          <w:p>
            <w:pPr>
              <w:pStyle w:val="null3"/>
            </w:pPr>
            <w:r>
              <w:rPr>
                <w:rFonts w:ascii="仿宋_GB2312" w:hAnsi="仿宋_GB2312" w:cs="仿宋_GB2312" w:eastAsia="仿宋_GB2312"/>
              </w:rPr>
              <w:t>供应商针对本项⽬有具体的质量保证措施。包括但不限于：①质量保证体系；②质量保证的具体措施。以上各项内容全⾯明确、阐述条理清晰得10分，每缺⼀项扣5分，每项中的内容存在缺陷，扣1-4分，扣完为⽌。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确保⽂明施⼯的技术组织措施及环境保护措施</w:t>
            </w:r>
          </w:p>
        </w:tc>
        <w:tc>
          <w:tcPr>
            <w:tcW w:type="dxa" w:w="2492"/>
          </w:tcPr>
          <w:p>
            <w:pPr>
              <w:pStyle w:val="null3"/>
            </w:pPr>
            <w:r>
              <w:rPr>
                <w:rFonts w:ascii="仿宋_GB2312" w:hAnsi="仿宋_GB2312" w:cs="仿宋_GB2312" w:eastAsia="仿宋_GB2312"/>
              </w:rPr>
              <w:t>供应商针对本项⽬有具体的确保⽂明施⼯及环境保护措施。包括但不限于：①⽂明施⼯保障体系；②⽂明施⼯保障措施；③环境保护体系；④环境保护措施；⑤扬尘治理措施。以上各项内容全⾯明确、阐述条理清晰得10分，每缺⼀项扣2分，每项中的内容存在缺陷，扣0.5-1.5分，扣完为⽌。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确保安全⽣产组织措施</w:t>
            </w:r>
          </w:p>
        </w:tc>
        <w:tc>
          <w:tcPr>
            <w:tcW w:type="dxa" w:w="2492"/>
          </w:tcPr>
          <w:p>
            <w:pPr>
              <w:pStyle w:val="null3"/>
            </w:pPr>
            <w:r>
              <w:rPr>
                <w:rFonts w:ascii="仿宋_GB2312" w:hAnsi="仿宋_GB2312" w:cs="仿宋_GB2312" w:eastAsia="仿宋_GB2312"/>
              </w:rPr>
              <w:t>供应商针对本项⽬有具体的安全⽣产组织措施。包括但不限于：①安全保证体系；②安全保证的具体措施。以上各项内容全⾯明确、阐述条理清晰得10分，每缺⼀项扣5分，每项中的内容存在缺陷，扣1-4分，扣完为⽌。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确保⼯期的技术组织措施</w:t>
            </w:r>
          </w:p>
        </w:tc>
        <w:tc>
          <w:tcPr>
            <w:tcW w:type="dxa" w:w="2492"/>
          </w:tcPr>
          <w:p>
            <w:pPr>
              <w:pStyle w:val="null3"/>
            </w:pPr>
            <w:r>
              <w:rPr>
                <w:rFonts w:ascii="仿宋_GB2312" w:hAnsi="仿宋_GB2312" w:cs="仿宋_GB2312" w:eastAsia="仿宋_GB2312"/>
              </w:rPr>
              <w:t>供应商针对本项⽬有具体的⼯期保证措施。包括但不限于：①具体可⾏的施⼯进度计划表（图）；②⼯期保证的具体措施。以上各项内容全⾯明确、阐述条理清晰得10分，每缺⼀项扣5分，每项中的内容存在缺陷，扣1-4分，扣完为⽌ 。 备注：缺陷是指内容不合理、虽有内容但不完善、内容表述前后不⼀致、套⽤其他项⽬⽅案或与项⽬需求不匹配及其他不利于项⽬实施的等任意⼀种情形。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vMerge/>
          </w:tcPr>
          <w:p/>
        </w:tc>
        <w:tc>
          <w:tcPr>
            <w:tcW w:type="dxa" w:w="1661"/>
          </w:tcPr>
          <w:p>
            <w:pPr>
              <w:pStyle w:val="null3"/>
            </w:pPr>
            <w:r>
              <w:rPr>
                <w:rFonts w:ascii="仿宋_GB2312" w:hAnsi="仿宋_GB2312" w:cs="仿宋_GB2312" w:eastAsia="仿宋_GB2312"/>
              </w:rPr>
              <w:t>施⼯⽅案</w:t>
            </w:r>
          </w:p>
        </w:tc>
        <w:tc>
          <w:tcPr>
            <w:tcW w:type="dxa" w:w="2492"/>
          </w:tcPr>
          <w:p>
            <w:pPr>
              <w:pStyle w:val="null3"/>
            </w:pPr>
            <w:r>
              <w:rPr>
                <w:rFonts w:ascii="仿宋_GB2312" w:hAnsi="仿宋_GB2312" w:cs="仿宋_GB2312" w:eastAsia="仿宋_GB2312"/>
              </w:rPr>
              <w:t>供应商提供针对本项⽬的实施⽅案，包括但不限于:①编制完善的施⼯组织设计；②本项⽬实施重难点分析；③劳动⼒保障⽅案；④机械设备清单及维护⽅案；⑤验收交付⽅案。以上各项内容全⾯明确、阐述条理清晰得15分，每缺⼀项扣3分 ，每项中的内容存在缺陷，扣1-2分，扣完为⽌。 备注：缺陷是指内容不合理、虽有内容但不完善、内容表述前后不⼀致、套⽤其他项⽬⽅案或与项⽬需求不匹配及其他不利于项⽬ 实施的等任意⼀种情形。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评审方案.docx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最⾼限价，即报价⼤于上限价视为⽆效标；2、以满⾜本次磋商⽂件要求的最低报价为评审基准价，其价格为满分；3、投标供应商报价得分=（评审基准价/报价）×30（本项⽬为专⻔⾯向中⼩企业采购项⽬，不再执⾏价格评审优惠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详见附件：评审方案.docx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