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版本号：SCZA2026-CS-1127-00120260515001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分行业核心绩效指标体系建设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SCZA2026-CS-1127-001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分行业核心绩效指标体系建设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SCZA2026-CS-1127-001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分行业核心绩效指标体系建设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并完成29家省级部门（中共陕西省委政策研究室、中共陕西省委对台办、陕西省财政厅、陕西省政府驻北京办事处、陕西省政府驻上海办事处、陕西省政府驻广州办事处、陕西省政府驻新疆办事处、省民革、省民建、省民进、省九三学社、省台盟、省致公党、中共陕西省委社会工作部、陕西青年职业学院、陕西省档案馆、陕西省科学院、陕西省教育考试院、陕西省美术家协会、陕西省音乐家协会、陕西省戏剧家协会、陕西省社会科学界联合会、西安体育学院、陕西省黄帝陵文化园区管理委员会、陕西省无线电管理委员会、西安电力高等专科学校、陕西省通信管理局、陕西省地震局、陕西省红十字会）所属行业领域核心绩效指标和标准体系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冰窖巷13号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付朝博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029-68936360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 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采购包1：527,800.00元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代理服务费收费标准：代理服务费参照《国家计委关于印发〈招标代理服务收费管理暂行办法〉的通知》（计价格〔2002〕1980号）规定标准（按标段）下浮30%收取。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项目验收按照陕西省财政厅项目验收的有关规定执行，项目验收的具体组织工作由项目甲方承担。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rPr>
        <w:t>开展并完成</w:t>
      </w:r>
      <w:r>
        <w:rPr>
          <w:rFonts w:ascii="仿宋_GB2312" w:hAnsi="仿宋_GB2312" w:cs="仿宋_GB2312" w:eastAsia="仿宋_GB2312"/>
          <w:sz w:val="20"/>
        </w:rPr>
        <w:t>29家省级部门所属行业</w:t>
      </w:r>
      <w:r>
        <w:rPr>
          <w:rFonts w:ascii="仿宋_GB2312" w:hAnsi="仿宋_GB2312" w:cs="仿宋_GB2312" w:eastAsia="仿宋_GB2312"/>
          <w:sz w:val="20"/>
        </w:rPr>
        <w:t>领域预算绩效指标和标准体系建设。对</w:t>
      </w:r>
      <w:r>
        <w:rPr>
          <w:rFonts w:ascii="仿宋_GB2312" w:hAnsi="仿宋_GB2312" w:cs="仿宋_GB2312" w:eastAsia="仿宋_GB2312"/>
          <w:sz w:val="20"/>
        </w:rPr>
        <w:t>29家省级部门所属的行业领域核心绩效指标和标准体系进行评审、调整、优化完善，并嵌入预算管理一体化系统。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527,800.00</w:t>
      </w:r>
    </w:p>
    <w:p>
      <w:pPr>
        <w:pStyle w:val="null3"/>
      </w:pPr>
      <w:r>
        <w:rPr>
          <w:rFonts w:ascii="仿宋_GB2312" w:hAnsi="仿宋_GB2312" w:cs="仿宋_GB2312" w:eastAsia="仿宋_GB2312"/>
        </w:rPr>
        <w:t>采购包最高限价（元）: 527,800.00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分行业核心绩效指标体系建设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527,800.00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标的名称：分行业核心绩效指标体系建设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1.服务单位：29家省级部门（中共陕西省委政策研究室、中共陕西省委对台办、陕西省财政厅、陕西省政府驻北京办事处、陕西省政府驻上海办事处、陕西省政府驻广州办事处、陕西省政府驻新疆办事处、省民革、省民建、省民进、省九三学社、省台盟、省致公党、中共陕西省委社会工作部、陕西青年职业学院、陕西省档案馆、陕西省科学院、陕西省教育考试院、陕西省美术家协会、陕西省音乐家协会、陕西省戏剧家协会、陕西省社会科学界联合会、西安体育学院、陕西省黄帝陵文化园区管理委员会、陕西省无线电管理委员会、西安电力高等专科学校、陕西省通信管理局、陕西省地震局、陕西省红十字会）。</w:t>
            </w:r>
          </w:p>
          <w:p>
            <w:pPr>
              <w:pStyle w:val="null3"/>
            </w:pPr>
            <w:r>
              <w:rPr>
                <w:rFonts w:ascii="仿宋_GB2312" w:hAnsi="仿宋_GB2312" w:cs="仿宋_GB2312" w:eastAsia="仿宋_GB2312"/>
                <w:sz w:val="21"/>
              </w:rPr>
              <w:t>2.服务内容：供应商按照采购人及服务单位要求开展指标体系建设工作，梳理服务单位和相关省级预算部门提供的基础资料，完成29家省级部门涉及的行业领域指标体系建设任务；通过上门服务、电话等咨询方式为其他部门建设指标体系提供技术支撑；会同采购人对省级预算部门完成的指标体系进行规范性、系统性审核，形成最终成果，汇编成册，并将全部省级预算部门指标体系嵌入预算管理一体化系统，对系统运行和指标体系系统更新进行日常维护管理。</w:t>
            </w:r>
          </w:p>
          <w:p>
            <w:pPr>
              <w:pStyle w:val="null3"/>
            </w:pPr>
            <w:r>
              <w:rPr>
                <w:rFonts w:ascii="仿宋_GB2312" w:hAnsi="仿宋_GB2312" w:cs="仿宋_GB2312" w:eastAsia="仿宋_GB2312"/>
                <w:sz w:val="21"/>
              </w:rPr>
              <w:t>3.成果形式：一个部门建设一套预算绩效指标体系，包括部门整体支出、政策（专项）支出和项目支出三个层级的绩效指标体系，涵盖部门的所有支出；以及指标体系建设和使用说明。</w:t>
            </w:r>
          </w:p>
          <w:p>
            <w:pPr>
              <w:pStyle w:val="null3"/>
            </w:pPr>
            <w:r>
              <w:rPr>
                <w:rFonts w:ascii="仿宋_GB2312" w:hAnsi="仿宋_GB2312" w:cs="仿宋_GB2312" w:eastAsia="仿宋_GB2312"/>
                <w:sz w:val="21"/>
              </w:rPr>
              <w:t>4.部门整体支出绩效指标体系要体现与预算资金直接相关的部门主责主业、事业发展目标、规划任务及行政成本控制等，作为部门制定政策和申请预算的依据，以及财政部门安排预算和实施绩效评价的依据。</w:t>
            </w:r>
          </w:p>
          <w:p>
            <w:pPr>
              <w:pStyle w:val="null3"/>
            </w:pPr>
            <w:r>
              <w:rPr>
                <w:rFonts w:ascii="仿宋_GB2312" w:hAnsi="仿宋_GB2312" w:cs="仿宋_GB2312" w:eastAsia="仿宋_GB2312"/>
                <w:sz w:val="21"/>
              </w:rPr>
              <w:t>5.政策（专项）支出绩效指标体系涵盖以部门管理或使用专项资金为主的长期性重点政策（专项）支出。按照资金支持和使用方向确定指标体系，体现资金安排与专项事业发展的匹配和目标实现程度，作为制定和完善政策、安排预算和实施绩效评价的依据。指标体系内容主要包括专项资金名称、绩效指标、指标说明、指标来源、指标标准和指标值。</w:t>
            </w:r>
          </w:p>
          <w:p>
            <w:pPr>
              <w:pStyle w:val="null3"/>
            </w:pPr>
            <w:r>
              <w:rPr>
                <w:rFonts w:ascii="仿宋_GB2312" w:hAnsi="仿宋_GB2312" w:cs="仿宋_GB2312" w:eastAsia="仿宋_GB2312"/>
                <w:sz w:val="21"/>
              </w:rPr>
              <w:t>6.项目支出绩效指标体系主要为部门预算项目支出（项目金额超过100 万元）。按照资金支出方向确定指标体系，体现资金安排与本部门重点工作的匹配程度，作为分配部门预算和实施绩效评价的依据。指标体系内容主要包括项目名称、绩效指标、指标说明、指标来源、指标标准和指标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成果形式：一个部门建设一套预算绩效指标体系，包括部门整体支出、政策（专项）支出和项目支出三个层级的绩效指标体系，涵盖部门的所有支出，以及指标体系建设和使用说明。</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采购要求向采购人提供相关服务，于2026年9月30日前，向采购人提交成果，即29家省级部门所属行业领域预算绩效指标体系建设成果（书面及电子文档）；于2026年10月1日—2027年9月30日之间，根据采购人需求提供项目相关的延伸服务，包括但不限于围绕本项目开展的数据分析、统计汇总等相关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项目验收按照陕西省财政厅项目验收的有关规定执行，项目验收的具体组织工作由项目甲方承担。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首期款：签订合同后，供应商提供与支付金额等额的增值税普通发票，采购人确认后启动首期款支付流程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尾款：尾款支付以乙方服务成果的时效和质量为依据，经甲方组织评审验收后，根据验收结果结算合同最终应付总额。具体标准如下：验收得分90分（含）以上：结算比例为合同总金额的100%；验收得分60分（含）至90分（不含）：在协议约定合同服务费的5%-30%区间分6档扣款。验收得分低于60分（不含），或乙方无故逾期提交报告严重影响财政工作，或报告内容严重偏离事实、数据严重失真的，视为验收不合格，甲方不予支付尾款，乙方退还甲方已支付的首期款。乙方根据最终结算金额与已付款项的差额提供等额增值税普通发票。甲方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完成2026年成本预算绩效管理项目工作，应当按照合同金额的20%向采购人支付违约金。逾期20日仍未完成的，采购人有权解除合同，所产生的一切损失由成交供应商自行承担，采购人有权拒付全部费用，并要求成交供应商退还采购人已支付的首期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 提供可满足履行合同所需设备和专业技术能力的证明材料或承诺； 3. 提供响应文件递交截止时间前六个月内至少一个月的纳税证明或完税证明，依法免税的单位应提供相关证明材料；时间以税款所属时期为准。 4. 提供响应文件递交截止时间前近六个月内至少一个月的社会保障资金缴存单据或社保机构开具的社会保险参保缴费情况证明，依法不需要缴纳社会保障资金的单位应提供相关证明材料。 5. 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磋商小组启动异常低价响应审查后，属于前述第1项至第4项情形的，应当要求相关供应商在评审现场合理的时间内对响应价格作出解释，并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商务应答表 服务方案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服务内容及服务邀请应答表 商务应答表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（1）能全面结合省级部门涉及的行业领域核心绩效指标和标准体系工作实际情况进行分析，思路清晰，对项目需求及服务内容理解深刻、全面，能抓住重点问题并给出全面的解决方案，得10分； （2）能全面结合省级部门涉及的行业领域核心绩效指标和标准体系工作实际情况进行分析，思路较清晰，对项目需求及服务内容理解基本准确、较全面，基本能抓住重点问题并给出解决方案，整体实施方案合理，得7分； （3）未能全面结合省级部门涉及的行业领域核心绩效指标和标准体系工作实际情况进行分析，思路不清晰，对项目需求及服务内容理解不太准确，不太全面，未能准确抓住重点问题并给出解决方案，得4分。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预算绩效指标体系构建方案</w:t>
            </w:r>
          </w:p>
        </w:tc>
        <w:tc>
          <w:tcPr>
            <w:tcW w:type="dxa" w:w="2492"/>
          </w:tcPr>
          <w:p>
            <w:pPr>
              <w:pStyle w:val="null3"/>
            </w:pPr>
            <w:r>
              <w:rPr>
                <w:rFonts w:ascii="仿宋_GB2312" w:hAnsi="仿宋_GB2312" w:cs="仿宋_GB2312" w:eastAsia="仿宋_GB2312"/>
              </w:rPr>
              <w:t>（1）预算绩效指标体系构建方案（包括但不限于：部门整体支出、政策（专项）支出和项目支出三个层级的绩效指标体系，涵盖部门的所有支出；以及指标体系建设和使用说明）充分满足相对应的部门业务需求，方案吻合度高，内容全面、需求阐述科学、合理，得10分； （2）满足相对应的部门业务需求，方案吻合度一般、内容有欠缺、需求阐述科学性、合理性存在细微偏差，得 7 分； （3）基本满足相对应的部门业务需求，方案吻合度较低，内容欠缺较多且科学性、合理性一般，得4分；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（1）服务方案内容全面，重点突出，工作思路清晰，对项目的关键点、重点、难点分析准确，评价方式设计合理，评价指标体系考虑深入，得15分。 （2）服务方案内容全面，重点突出，工作思路清晰，对项目的关键点、重点、难点分析准确，评价方式设计较为合理，评价指标体系考虑较为深入，得12分。 （3）服务方案内容比较全面，重点较为突出，工作思路较为清晰，对项目的关键点、重点、难点分析较为准确，评价方式设计较为合理，评价指标体系考虑较为深入，得9分。 （4）服务方案内容比较全面，重点较为突出，工作思路较为清晰，对项目的关键点、重点、难点分析较为准确，但评价方式设计一般，评价指标体系考虑一般，得6分。 （5）服务方案内容一般，对项目的关键点、重点、难点进行了一定程度的分析，评价方式设计有所欠缺，评价指标体系考虑一般，得3分。 （6）未提供服务方案的不得分。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1.项目负责人：拟派项目负责人（1人）具有本科及以上学历，得2 分；其他不得分。 2.从业经验：项目负责人具有类似从业经验（提供2023年1月1日至今的类似项目从业经验证明材料，每提供一项计1分，最高得2分；不满足或未提供不得分）。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根据供应商针对本项目提供的服务团队进行综合比较。服务团队结构合理、人员分工明确、相应专业技术人员齐全， 1.专业人员能力和业务经验的证明材料齐全，计5分； 2.服务团队结构基本合理、人员分工基本明确、相应人员证书或证明资料较齐全，计3分。 3.服务团队结构不合理、人员分工不明确、相应人员证书或证明资料不全，记1分。 4.未提供或内容与本项目无关的不得分。 注：提供完整的人员配置清单（清单内容包含：具体成员姓名、年龄、学历、职称 、证书、岗位职责、工作经验），配置合理、全面、专业。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项目负责人或团队人员具有咨询工程师（投资）、注册会计师、一级造价师、资产评估师专业证书中任意一项证书得2分，最高得6分；未提供不得分。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（1）项目实施进度安排科学合理，各阶段均有详尽的说明，项目进度能够得到有效保证，并可承诺提前完成的，得8分； （2）项目实施进度安排比较科学合理，各阶段有比较详尽的说明，项目进度能够得到保证，可承诺按时完成的，得5分； （3）项目实施进度安排有一定的合理性，各阶段均有相应的说明，项目进度能够得到基本保证，能按时间要求完成任务的，得2分。 （4）未提供或所提供的项目实施进度安排有明显不合理之处的，不得分。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供应商具有针对本项目的质量控制措施： （1）建立科学合理的项目实施过程管理与风险质量控制机制，提供质量保障措施得当的，得10分； （2）建立了较为科学合理的项目实施过程管理与风险质量控制机制，提供质量保障措施较为得当的，得分； （3）建立了较为科学合理的项目实施过程管理与风险质 量控制机制，但提供质量保障措施一般的，得4分； （4）未建立项目实施过程管理与风险质量控制机制的不得分。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供应商具有相关的安全保障措施以及保密制度等，承诺不得泄露采购单位一切敏感信息等。 （1）承诺明确清晰，符合采购人规定，具有完善的安全保障以及保密制度，计5分； （2）承诺明确清晰，符合采购人规定，具有安全保障以及保密制度，计3分； （3）承诺基本明确清晰，基本符合采购人规定，基本具有安全保障以及保密制度，计1分； （4）供应商未提供上述内容不得分。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廉洁措施</w:t>
            </w:r>
          </w:p>
        </w:tc>
        <w:tc>
          <w:tcPr>
            <w:tcW w:type="dxa" w:w="2492"/>
          </w:tcPr>
          <w:p>
            <w:pPr>
              <w:pStyle w:val="null3"/>
            </w:pPr>
            <w:r>
              <w:rPr>
                <w:rFonts w:ascii="仿宋_GB2312" w:hAnsi="仿宋_GB2312" w:cs="仿宋_GB2312" w:eastAsia="仿宋_GB2312"/>
              </w:rPr>
              <w:t>供应商具有相关的廉洁制度、廉洁措施方案及廉洁承诺等。 （1）承诺明确清晰，廉洁制度完善、合理， 计5分； （2）承诺较明确清晰，廉洁 制度较为完善、比较合理计3分； （3）承诺明确度一般，制度一般，合理性一般，计1分。 （4）未提供承诺或措施内容与本 项目无关的不得分。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针对本项目实际情况，提出合理化建议。通过综合比较合理性及可行性赋分， （1）方案详细、完善、合理、可行，计7分； （2）方案合理，但可行性欠缺，计4分； （3）方案不完整，且不便于操作，计2分； （4）未提供或内容与本项目无关的不得分。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 ，每提供1个得1分，最高得5分。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详见附件：2026年行业领域核心绩效指标体系建设委托协议书.docx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