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7F7D6">
      <w:pPr>
        <w:tabs>
          <w:tab w:val="left" w:pos="9030"/>
        </w:tabs>
        <w:snapToGrid w:val="0"/>
        <w:spacing w:line="360" w:lineRule="auto"/>
        <w:ind w:right="-62"/>
        <w:jc w:val="center"/>
        <w:outlineLvl w:val="2"/>
        <w:rPr>
          <w:rFonts w:hint="eastAsia" w:ascii="仿宋_GB2312" w:hAnsi="仿宋_GB2312" w:eastAsia="仿宋_GB2312" w:cs="仿宋_GB2312"/>
          <w:b/>
          <w:bCs/>
          <w:sz w:val="44"/>
          <w:szCs w:val="44"/>
          <w:lang w:val="zh-CN"/>
        </w:rPr>
      </w:pPr>
      <w:r>
        <w:rPr>
          <w:rFonts w:hint="eastAsia" w:ascii="仿宋_GB2312" w:hAnsi="仿宋_GB2312" w:eastAsia="仿宋_GB2312" w:cs="仿宋_GB2312"/>
          <w:b/>
          <w:bCs/>
          <w:sz w:val="44"/>
          <w:szCs w:val="44"/>
          <w:lang w:val="zh-CN"/>
        </w:rPr>
        <w:t>拟签订采购合同文本</w:t>
      </w:r>
    </w:p>
    <w:p w14:paraId="0464304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甲方（采购人）： </w:t>
      </w:r>
    </w:p>
    <w:p w14:paraId="44A817F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乙方（中标人）： </w:t>
      </w:r>
    </w:p>
    <w:p w14:paraId="3A1A83E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sz w:val="28"/>
          <w:szCs w:val="28"/>
          <w:highlight w:val="none"/>
          <w:u w:val="single"/>
          <w:lang w:val="en-US" w:eastAsia="zh-CN"/>
        </w:rPr>
        <w:t>保洁服务项目</w:t>
      </w:r>
      <w:r>
        <w:rPr>
          <w:rFonts w:hint="eastAsia" w:ascii="仿宋_GB2312" w:hAnsi="仿宋_GB2312" w:eastAsia="仿宋_GB2312" w:cs="仿宋_GB2312"/>
          <w:bCs/>
          <w:color w:val="auto"/>
          <w:sz w:val="28"/>
          <w:szCs w:val="28"/>
          <w:highlight w:val="none"/>
          <w:u w:val="single"/>
        </w:rPr>
        <w:t>(项目编号：</w:t>
      </w:r>
      <w:r>
        <w:rPr>
          <w:rFonts w:hint="eastAsia" w:ascii="仿宋_GB2312" w:hAnsi="仿宋_GB2312" w:eastAsia="仿宋_GB2312" w:cs="仿宋_GB2312"/>
          <w:bCs/>
          <w:color w:val="auto"/>
          <w:sz w:val="28"/>
          <w:szCs w:val="28"/>
          <w:highlight w:val="none"/>
          <w:u w:val="single"/>
          <w:lang w:eastAsia="zh-CN"/>
        </w:rPr>
        <w:t>SXHC2026-109</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color w:val="auto"/>
          <w:sz w:val="28"/>
          <w:szCs w:val="28"/>
          <w:highlight w:val="none"/>
          <w:lang w:val="en-US" w:eastAsia="zh-CN"/>
        </w:rPr>
        <w:t>，由陕西华采招标有限公司组织公开招标，</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(以下简称“甲方”)确定</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（以下简称“乙方”）为该项目采购包</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的中标人。</w:t>
      </w:r>
    </w:p>
    <w:p w14:paraId="27CC6B02">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依据《中华人民共和国民法典》和《中华人民共和国政府采购法》之规定，经双方在平等、自愿、互利的基础上，签订本合同，共同信守。</w:t>
      </w:r>
    </w:p>
    <w:p w14:paraId="2B1C271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2" w:firstLineChars="200"/>
        <w:textAlignment w:val="auto"/>
        <w:rPr>
          <w:rFonts w:hint="eastAsia" w:ascii="仿宋_GB2312" w:hAnsi="仿宋_GB2312" w:eastAsia="仿宋_GB2312" w:cs="仿宋_GB2312"/>
          <w:b/>
          <w:bCs/>
          <w:color w:val="000000"/>
          <w:sz w:val="28"/>
          <w:szCs w:val="28"/>
          <w:highlight w:val="none"/>
          <w:u w:val="single"/>
          <w:lang w:val="en-US" w:eastAsia="zh-CN"/>
        </w:rPr>
      </w:pPr>
      <w:r>
        <w:rPr>
          <w:rFonts w:hint="eastAsia" w:ascii="仿宋_GB2312" w:hAnsi="仿宋_GB2312" w:eastAsia="仿宋_GB2312" w:cs="仿宋_GB2312"/>
          <w:b/>
          <w:sz w:val="28"/>
          <w:szCs w:val="28"/>
          <w:lang w:val="en-US" w:eastAsia="zh-CN"/>
        </w:rPr>
        <w:t>一</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eastAsia="zh-CN"/>
        </w:rPr>
        <w:t>服务区域与范围：</w:t>
      </w:r>
      <w:r>
        <w:rPr>
          <w:rFonts w:hint="eastAsia" w:ascii="仿宋_GB2312" w:hAnsi="仿宋_GB2312" w:eastAsia="仿宋_GB2312" w:cs="仿宋_GB2312"/>
          <w:color w:val="auto"/>
          <w:sz w:val="28"/>
          <w:szCs w:val="28"/>
          <w:highlight w:val="none"/>
          <w:u w:val="single"/>
          <w:lang w:val="en-US" w:eastAsia="zh-CN"/>
        </w:rPr>
        <w:t xml:space="preserve">                                </w:t>
      </w:r>
    </w:p>
    <w:p w14:paraId="4906639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二</w:t>
      </w:r>
      <w:r>
        <w:rPr>
          <w:rFonts w:hint="eastAsia" w:ascii="仿宋_GB2312" w:hAnsi="仿宋_GB2312" w:eastAsia="仿宋_GB2312" w:cs="仿宋_GB2312"/>
          <w:b/>
          <w:sz w:val="28"/>
          <w:szCs w:val="28"/>
        </w:rPr>
        <w:t>、合同价款</w:t>
      </w:r>
    </w:p>
    <w:p w14:paraId="30781C6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（一）合同价款为人民币（大写）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14:paraId="0F08B7E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rPr>
        <w:t>（二）合同价款</w:t>
      </w:r>
      <w:r>
        <w:rPr>
          <w:rFonts w:hint="eastAsia" w:ascii="仿宋_GB2312" w:hAnsi="仿宋_GB2312" w:eastAsia="仿宋_GB2312" w:cs="仿宋_GB2312"/>
          <w:sz w:val="28"/>
          <w:szCs w:val="28"/>
        </w:rPr>
        <w:t>是指本次</w:t>
      </w:r>
      <w:r>
        <w:rPr>
          <w:rFonts w:hint="eastAsia" w:ascii="仿宋_GB2312" w:hAnsi="仿宋_GB2312" w:eastAsia="仿宋_GB2312" w:cs="仿宋_GB2312"/>
          <w:sz w:val="28"/>
          <w:szCs w:val="28"/>
          <w:lang w:val="zh-CN"/>
        </w:rPr>
        <w:t>服务内容所需的全部费用,</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highlight w:val="none"/>
        </w:rPr>
        <w:t>包括但不限于人工费、社保费、保险费、、服装购置费、机具费、</w:t>
      </w:r>
      <w:r>
        <w:rPr>
          <w:rFonts w:hint="eastAsia" w:ascii="仿宋_GB2312" w:hAnsi="仿宋_GB2312" w:eastAsia="仿宋_GB2312" w:cs="仿宋_GB2312"/>
          <w:sz w:val="28"/>
          <w:szCs w:val="28"/>
          <w:highlight w:val="none"/>
          <w:lang w:eastAsia="zh-CN"/>
        </w:rPr>
        <w:t>耗材费、</w:t>
      </w:r>
      <w:r>
        <w:rPr>
          <w:rFonts w:hint="eastAsia" w:ascii="仿宋_GB2312" w:hAnsi="仿宋_GB2312" w:eastAsia="仿宋_GB2312" w:cs="仿宋_GB2312"/>
          <w:sz w:val="28"/>
          <w:szCs w:val="28"/>
          <w:highlight w:val="none"/>
        </w:rPr>
        <w:t>管理费、利润、税金、风险费</w:t>
      </w:r>
      <w:r>
        <w:rPr>
          <w:rFonts w:hint="eastAsia" w:ascii="仿宋_GB2312" w:hAnsi="仿宋_GB2312" w:eastAsia="仿宋_GB2312" w:cs="仿宋_GB2312"/>
          <w:sz w:val="28"/>
          <w:szCs w:val="28"/>
          <w:highlight w:val="none"/>
          <w:lang w:val="zh-CN"/>
        </w:rPr>
        <w:t>等所有成本</w:t>
      </w:r>
      <w:r>
        <w:rPr>
          <w:rFonts w:hint="eastAsia" w:ascii="仿宋_GB2312" w:hAnsi="仿宋_GB2312" w:eastAsia="仿宋_GB2312" w:cs="仿宋_GB2312"/>
          <w:bCs/>
          <w:sz w:val="28"/>
          <w:szCs w:val="28"/>
          <w:highlight w:val="none"/>
        </w:rPr>
        <w:t>。</w:t>
      </w:r>
    </w:p>
    <w:p w14:paraId="5983D65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Cs/>
          <w:sz w:val="28"/>
          <w:szCs w:val="28"/>
        </w:rPr>
        <w:t>（三）合同价款一次性包死，不受市场价格变化因素的影响。</w:t>
      </w:r>
    </w:p>
    <w:p w14:paraId="3DF15D1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三</w:t>
      </w:r>
      <w:r>
        <w:rPr>
          <w:rFonts w:hint="eastAsia" w:ascii="仿宋_GB2312" w:hAnsi="仿宋_GB2312" w:eastAsia="仿宋_GB2312" w:cs="仿宋_GB2312"/>
          <w:b/>
          <w:sz w:val="28"/>
          <w:szCs w:val="28"/>
        </w:rPr>
        <w:t>、款项结算</w:t>
      </w:r>
    </w:p>
    <w:p w14:paraId="0AC3985E">
      <w:pPr>
        <w:keepNext w:val="0"/>
        <w:keepLines w:val="0"/>
        <w:pageBreakBefore w:val="0"/>
        <w:widowControl w:val="0"/>
        <w:kinsoku/>
        <w:wordWrap/>
        <w:overflowPunct/>
        <w:topLinePunct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rPr>
        <w:t>（一）付款方式：按季度支付；合同签订后支付合同总价 30% 首付款；余款按季度支付，每季度考核合格后支付对应费用，考核不合格按扣分比例扣减；</w:t>
      </w:r>
      <w:r>
        <w:rPr>
          <w:rFonts w:hint="eastAsia" w:ascii="仿宋_GB2312" w:hAnsi="仿宋_GB2312" w:eastAsia="仿宋_GB2312" w:cs="仿宋_GB2312"/>
          <w:bCs/>
          <w:sz w:val="28"/>
          <w:szCs w:val="28"/>
          <w:lang w:eastAsia="zh-CN"/>
        </w:rPr>
        <w:t>乙方</w:t>
      </w:r>
      <w:r>
        <w:rPr>
          <w:rFonts w:hint="eastAsia" w:ascii="仿宋_GB2312" w:hAnsi="仿宋_GB2312" w:eastAsia="仿宋_GB2312" w:cs="仿宋_GB2312"/>
          <w:bCs/>
          <w:sz w:val="28"/>
          <w:szCs w:val="28"/>
        </w:rPr>
        <w:t>提供等额合法发票，</w:t>
      </w:r>
      <w:r>
        <w:rPr>
          <w:rFonts w:hint="eastAsia" w:ascii="仿宋_GB2312" w:hAnsi="仿宋_GB2312" w:eastAsia="仿宋_GB2312" w:cs="仿宋_GB2312"/>
          <w:bCs/>
          <w:sz w:val="28"/>
          <w:szCs w:val="28"/>
          <w:lang w:eastAsia="zh-CN"/>
        </w:rPr>
        <w:t>甲方</w:t>
      </w:r>
      <w:r>
        <w:rPr>
          <w:rFonts w:hint="eastAsia" w:ascii="仿宋_GB2312" w:hAnsi="仿宋_GB2312" w:eastAsia="仿宋_GB2312" w:cs="仿宋_GB2312"/>
          <w:bCs/>
          <w:sz w:val="28"/>
          <w:szCs w:val="28"/>
        </w:rPr>
        <w:t>收到发票后 15 个工作日内付款。</w:t>
      </w:r>
    </w:p>
    <w:p w14:paraId="5E3ECBC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（二）结算方式：银行转账。</w:t>
      </w:r>
    </w:p>
    <w:p w14:paraId="22D848C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（三）结算单位：由甲方负责结算，</w:t>
      </w:r>
      <w:r>
        <w:rPr>
          <w:rFonts w:hint="eastAsia" w:ascii="仿宋_GB2312" w:hAnsi="仿宋_GB2312" w:eastAsia="仿宋_GB2312" w:cs="仿宋_GB2312"/>
          <w:bCs/>
          <w:sz w:val="28"/>
          <w:szCs w:val="28"/>
          <w:highlight w:val="none"/>
          <w:lang w:eastAsia="zh-CN"/>
        </w:rPr>
        <w:t>每次付款前</w:t>
      </w:r>
      <w:r>
        <w:rPr>
          <w:rFonts w:hint="eastAsia" w:ascii="仿宋_GB2312" w:hAnsi="仿宋_GB2312" w:eastAsia="仿宋_GB2312" w:cs="仿宋_GB2312"/>
          <w:bCs/>
          <w:sz w:val="28"/>
          <w:szCs w:val="28"/>
          <w:highlight w:val="none"/>
        </w:rPr>
        <w:t>乙方开具</w:t>
      </w:r>
      <w:r>
        <w:rPr>
          <w:rFonts w:hint="eastAsia" w:ascii="仿宋_GB2312" w:hAnsi="仿宋_GB2312" w:eastAsia="仿宋_GB2312" w:cs="仿宋_GB2312"/>
          <w:bCs/>
          <w:sz w:val="28"/>
          <w:szCs w:val="28"/>
          <w:highlight w:val="none"/>
          <w:lang w:eastAsia="zh-CN"/>
        </w:rPr>
        <w:t>等额</w:t>
      </w:r>
      <w:r>
        <w:rPr>
          <w:rFonts w:hint="eastAsia" w:ascii="仿宋_GB2312" w:hAnsi="仿宋_GB2312" w:eastAsia="仿宋_GB2312" w:cs="仿宋_GB2312"/>
          <w:bCs/>
          <w:sz w:val="28"/>
          <w:szCs w:val="28"/>
          <w:highlight w:val="none"/>
        </w:rPr>
        <w:t>价款的发票给甲方。</w:t>
      </w:r>
    </w:p>
    <w:p w14:paraId="1C68F7A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四</w:t>
      </w:r>
      <w:r>
        <w:rPr>
          <w:rFonts w:hint="eastAsia" w:ascii="仿宋_GB2312" w:hAnsi="仿宋_GB2312" w:eastAsia="仿宋_GB2312" w:cs="仿宋_GB2312"/>
          <w:b/>
          <w:sz w:val="28"/>
          <w:szCs w:val="28"/>
          <w:highlight w:val="none"/>
        </w:rPr>
        <w:t>、服务地点及服务期</w:t>
      </w:r>
    </w:p>
    <w:p w14:paraId="59428D7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（一）服务地点：</w:t>
      </w:r>
    </w:p>
    <w:p w14:paraId="60912E1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采购包1：秦始皇帝陵博物院兵马俑馆参观区、办公区、家属区（东大门至西大门，南围墙至北围墙）所有征地线以内全域；馆前区（馆区东围墙至前区东围墙，南围墙至北围栏杆外5米）所有征地线以内全域。</w:t>
      </w:r>
    </w:p>
    <w:p w14:paraId="4DF77C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采购包2：秦始皇帝陵博物院丽山园征地线（围墙）以内全域，含开放参观区（秦始皇陵周边广场、参观环道、文官俑坑展厅、百戏俑坑展厅、铜车马展厅、内外城垣等）、配套附属区域（办公区、游客服务中心暨数字体验中心、修复实验中心、其它配套用房及公共休息区等）。</w:t>
      </w:r>
    </w:p>
    <w:p w14:paraId="3E0C762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（二）服务期</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12个月（自合同签订之日起计算）。</w:t>
      </w:r>
    </w:p>
    <w:p w14:paraId="2820317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五、人员配置</w:t>
      </w:r>
    </w:p>
    <w:p w14:paraId="59EBFC6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rPr>
        <w:t>（一）</w:t>
      </w:r>
      <w:r>
        <w:rPr>
          <w:rFonts w:hint="eastAsia" w:ascii="仿宋_GB2312" w:hAnsi="仿宋_GB2312" w:eastAsia="仿宋_GB2312" w:cs="仿宋_GB2312"/>
          <w:bCs/>
          <w:sz w:val="28"/>
          <w:szCs w:val="28"/>
          <w:highlight w:val="none"/>
          <w:lang w:val="en-US" w:eastAsia="zh-CN"/>
        </w:rPr>
        <w:t>总人数：不少于</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val="en-US" w:eastAsia="zh-CN"/>
        </w:rPr>
        <w:t>人（提供具体人员配置清单明细，列明姓名、性别、年龄、岗位、身份证号码、联系电话及健康证），全程在岗、不得空岗、不得兼职。</w:t>
      </w:r>
    </w:p>
    <w:p w14:paraId="5DC94E7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（二）岗位固定：专人专岗；开放时间全程在岗，不得脱岗、串岗。</w:t>
      </w:r>
    </w:p>
    <w:p w14:paraId="6ACA1A9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（三）人员要求：男性年龄18–60周岁，女性18–55周岁、身体健康、无犯罪记录、无传染病；统一工装、佩戴工牌、仪容整洁、文明用语。</w:t>
      </w:r>
    </w:p>
    <w:p w14:paraId="76D58CC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（四） 培训：乙方负责岗前培训，内容含文物保护常识、文博礼仪、无尘作业规范、应急处置、保密制度，培训记录甲方备案。</w:t>
      </w:r>
    </w:p>
    <w:p w14:paraId="04C3513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（五） 更换：更换人员须提前3个工作日书面报备甲方，经同意后方可更换，严禁私自换人。</w:t>
      </w:r>
    </w:p>
    <w:p w14:paraId="12D337D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b/>
          <w:sz w:val="28"/>
          <w:szCs w:val="28"/>
          <w:highlight w:val="none"/>
          <w:lang w:val="en-US" w:eastAsia="zh-CN"/>
        </w:rPr>
        <w:t>六、保洁设备、工具与耗材要求</w:t>
      </w:r>
    </w:p>
    <w:p w14:paraId="2D95AA9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（一）保洁设备及作业工具</w:t>
      </w:r>
    </w:p>
    <w:p w14:paraId="64C25BCE">
      <w:pPr>
        <w:ind w:firstLine="560" w:firstLineChars="200"/>
        <w:rPr>
          <w:rFonts w:hint="eastAsia"/>
          <w:lang w:val="en-US" w:eastAsia="zh-CN"/>
        </w:rPr>
      </w:pPr>
      <w:r>
        <w:rPr>
          <w:rFonts w:hint="eastAsia" w:ascii="仿宋_GB2312" w:hAnsi="仿宋_GB2312" w:eastAsia="仿宋_GB2312" w:cs="仿宋_GB2312"/>
          <w:bCs/>
          <w:sz w:val="28"/>
          <w:szCs w:val="28"/>
          <w:highlight w:val="none"/>
          <w:lang w:val="en-US" w:eastAsia="zh-CN"/>
        </w:rPr>
        <w:t>本项目保洁作业所需全套设备、作业工具均由乙方自行配备。保洁设备包括但不限于高压清洗机、工业吸尘吸水机、地面单擦机、扫地车、洗地车、电动尘推车、转运三轮车、榨水车等；作业工具包括但不限于尘推、棉布拖把、胶棉拖把、扫把、硬质板刷、马桶清洁刷、玻璃清洗毛头、玻璃刮水器、清洁水桶、喷雾壶、分类垃圾桶、香薰装置、纸巾收纳盒、鸡毛掸、防滑警示牌、垃圾拾取夹、除雪铲等。</w:t>
      </w:r>
    </w:p>
    <w:p w14:paraId="636CD39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所有机械设备要求低噪静音、除尘效果好、作业无扬尘，材质与性能适配文博场馆封闭式室内作业环境，满足文物场馆保洁使用标准。</w:t>
      </w:r>
    </w:p>
    <w:p w14:paraId="1F1480B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（二）清洁消耗耗材</w:t>
      </w:r>
    </w:p>
    <w:p w14:paraId="34BEB6A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项目全部清洁、消毒、日用耗材由乙方自行提供。包括但不限于百洁布、清洁抹布、替换尘推布、加厚垃圾袋、卫生间擦手纸、卷纸、除臭芳香球、抑菌洗手液、香薰原液、洗涤粉剂、去污用品、除胶清洗剂、防护劳保手套、消毒用品、场地融雪剂等。</w:t>
      </w:r>
    </w:p>
    <w:p w14:paraId="0E0471D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所有清洁、消毒药剂必须选用中性环保配方，做到无腐蚀性、无强弱酸碱成分，不会损伤石材地面、玻璃、金属构件、木质陈设及展馆展</w:t>
      </w:r>
      <w:bookmarkStart w:id="0" w:name="_GoBack"/>
      <w:bookmarkEnd w:id="0"/>
      <w:r>
        <w:rPr>
          <w:rFonts w:hint="eastAsia" w:ascii="仿宋_GB2312" w:hAnsi="仿宋_GB2312" w:eastAsia="仿宋_GB2312" w:cs="仿宋_GB2312"/>
          <w:bCs/>
          <w:sz w:val="28"/>
          <w:szCs w:val="28"/>
          <w:highlight w:val="none"/>
          <w:lang w:val="en-US" w:eastAsia="zh-CN"/>
        </w:rPr>
        <w:t>品。禁止使用84消毒液、草酸、强酸强碱、含磨砂研磨类清洁产品。所有耗材品牌、规格型号须提前上报甲方备案，甲方有权随机抽检，检验不合格物资必须即刻停用、全部更换。</w:t>
      </w:r>
    </w:p>
    <w:p w14:paraId="1BD9C4B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（三）清洁工具管控要求</w:t>
      </w:r>
    </w:p>
    <w:p w14:paraId="3184136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实行分区专属使用管理制度，文物展区清洁工具、公共区域清洁工具严格划分、单独存放，统一张贴区分标识，全程严禁交叉混用，避免造成交叉污染，保护场馆文物环境。</w:t>
      </w:r>
    </w:p>
    <w:p w14:paraId="31B96E6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七</w:t>
      </w:r>
      <w:r>
        <w:rPr>
          <w:rFonts w:hint="eastAsia" w:ascii="仿宋_GB2312" w:hAnsi="仿宋_GB2312" w:eastAsia="仿宋_GB2312" w:cs="仿宋_GB2312"/>
          <w:b/>
          <w:sz w:val="28"/>
          <w:szCs w:val="28"/>
        </w:rPr>
        <w:t>、双方的权利和义务</w:t>
      </w:r>
    </w:p>
    <w:p w14:paraId="58F934C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（一）甲方的权利与义务</w:t>
      </w:r>
    </w:p>
    <w:p w14:paraId="21C957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1、提供必要作业条件、通行便利、指定垃圾堆放点；免费提供水、电</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为乙方提供卫生保洁物品的存放场所。</w:t>
      </w:r>
    </w:p>
    <w:p w14:paraId="60CEFEB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 xml:space="preserve">全面监督、指导、检查、验收乙方工作，发现问题及时提出整改意见通知乙方，要求乙方及时予以处理，对乙方提出的合理建议和要求予以采纳或提供帮助。 </w:t>
      </w:r>
    </w:p>
    <w:p w14:paraId="4B4565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、如遇特殊工作需求时，甲方有权调动乙方的工作人员，并提前通知乙方安排人员进行卫生保洁工作。</w:t>
      </w:r>
    </w:p>
    <w:p w14:paraId="167EE8B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、制定相应之管理措施、监督检查标准等，</w:t>
      </w:r>
      <w:r>
        <w:rPr>
          <w:rFonts w:hint="eastAsia" w:ascii="仿宋_GB2312" w:hAnsi="仿宋_GB2312" w:eastAsia="仿宋_GB2312" w:cs="仿宋_GB2312"/>
          <w:bCs/>
          <w:sz w:val="28"/>
          <w:szCs w:val="28"/>
          <w:lang w:eastAsia="zh-CN"/>
        </w:rPr>
        <w:t>不定期抽查</w:t>
      </w:r>
      <w:r>
        <w:rPr>
          <w:rFonts w:hint="eastAsia" w:ascii="仿宋_GB2312" w:hAnsi="仿宋_GB2312" w:eastAsia="仿宋_GB2312" w:cs="仿宋_GB2312"/>
          <w:bCs/>
          <w:sz w:val="28"/>
          <w:szCs w:val="28"/>
        </w:rPr>
        <w:t>人员健康证、培训记录、设备耗材、消杀台账</w:t>
      </w:r>
      <w:r>
        <w:rPr>
          <w:rFonts w:hint="eastAsia" w:ascii="仿宋_GB2312" w:hAnsi="仿宋_GB2312" w:eastAsia="仿宋_GB2312" w:cs="仿宋_GB2312"/>
          <w:bCs/>
          <w:sz w:val="28"/>
          <w:szCs w:val="28"/>
          <w:lang w:eastAsia="zh-CN"/>
        </w:rPr>
        <w:t>等内容，</w:t>
      </w:r>
      <w:r>
        <w:rPr>
          <w:rFonts w:hint="eastAsia" w:ascii="仿宋_GB2312" w:hAnsi="仿宋_GB2312" w:eastAsia="仿宋_GB2312" w:cs="仿宋_GB2312"/>
          <w:bCs/>
          <w:sz w:val="28"/>
          <w:szCs w:val="28"/>
        </w:rPr>
        <w:t xml:space="preserve">以保证乙方按照合同及其他双方议定之要求进行作业。 </w:t>
      </w:r>
    </w:p>
    <w:p w14:paraId="50EDBF7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、在检查时如发现有不合格之处，应以“质量整改通知书”的形式书面通知乙方。</w:t>
      </w:r>
    </w:p>
    <w:p w14:paraId="32760C1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w:t>
      </w:r>
      <w:r>
        <w:rPr>
          <w:rFonts w:hint="eastAsia" w:ascii="仿宋_GB2312" w:hAnsi="仿宋_GB2312" w:eastAsia="仿宋_GB2312" w:cs="仿宋_GB2312"/>
          <w:bCs/>
          <w:sz w:val="28"/>
          <w:szCs w:val="28"/>
        </w:rPr>
        <w:t>、及时为乙方办理结算，按时支付卫生保洁费用。</w:t>
      </w:r>
    </w:p>
    <w:p w14:paraId="495C1B0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（二）乙方的权利与义务</w:t>
      </w:r>
    </w:p>
    <w:p w14:paraId="57D839D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严格按本合同及文物保护规范提供服务，文物安全第一，因乙方原因造成文物/展陈/设施损坏，乙方全额赔偿并承担法律责任。</w:t>
      </w:r>
    </w:p>
    <w:p w14:paraId="08AE83D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color w:val="000000"/>
          <w:kern w:val="2"/>
          <w:sz w:val="28"/>
          <w:szCs w:val="28"/>
          <w:highlight w:val="yellow"/>
          <w:lang w:val="en-US" w:eastAsia="zh-CN" w:bidi="ar-SA"/>
        </w:rPr>
      </w:pP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color w:val="000000"/>
          <w:kern w:val="2"/>
          <w:sz w:val="28"/>
          <w:szCs w:val="28"/>
          <w:highlight w:val="none"/>
          <w:lang w:val="en-US" w:eastAsia="zh-CN" w:bidi="ar-SA"/>
        </w:rPr>
        <w:t xml:space="preserve">保障所有人员待遇不得低于甲方所在地最低工资标准和社保最低缴费额，并与所有人员签订劳动合同，并为配置人员购买工伤保险、人身意外伤害保险。 </w:t>
      </w:r>
    </w:p>
    <w:p w14:paraId="1C32E39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负责人员管理、薪酬</w:t>
      </w:r>
      <w:r>
        <w:rPr>
          <w:rFonts w:hint="eastAsia" w:ascii="仿宋_GB2312" w:hAnsi="仿宋_GB2312" w:eastAsia="仿宋_GB2312" w:cs="仿宋_GB2312"/>
          <w:bCs/>
          <w:sz w:val="28"/>
          <w:szCs w:val="28"/>
          <w:lang w:eastAsia="zh-CN"/>
        </w:rPr>
        <w:t>保险</w:t>
      </w:r>
      <w:r>
        <w:rPr>
          <w:rFonts w:hint="eastAsia" w:ascii="仿宋_GB2312" w:hAnsi="仿宋_GB2312" w:eastAsia="仿宋_GB2312" w:cs="仿宋_GB2312"/>
          <w:bCs/>
          <w:sz w:val="28"/>
          <w:szCs w:val="28"/>
        </w:rPr>
        <w:t>、安全培训、劳动保护；人员发生工伤、意外、纠纷，乙方全权负责，与甲方无关。</w:t>
      </w:r>
    </w:p>
    <w:p w14:paraId="19369E8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建立完整台账：保洁日志、消杀记录、巡查记录、培训记录、设备耗材台账，每日签字、每月归档，甲方随时查阅。</w:t>
      </w:r>
    </w:p>
    <w:p w14:paraId="0672DCA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接受甲方监督、检查、考核；对甲方提出的整改，24小时内响应、48小时内整改完毕并闭环。</w:t>
      </w:r>
    </w:p>
    <w:p w14:paraId="4A4B7BB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严禁泄露甲方涉密信息、游客信息、文物信息；严禁拍照、录像、传播文物及内部资料，违者追究法律责任。</w:t>
      </w:r>
    </w:p>
    <w:p w14:paraId="67670E2D">
      <w:pPr>
        <w:keepNext w:val="0"/>
        <w:keepLines w:val="0"/>
        <w:pageBreakBefore w:val="0"/>
        <w:widowControl w:val="0"/>
        <w:kinsoku/>
        <w:wordWrap/>
        <w:overflowPunct/>
        <w:topLinePunct w:val="0"/>
        <w:autoSpaceDE w:val="0"/>
        <w:autoSpaceDN w:val="0"/>
        <w:bidi w:val="0"/>
        <w:adjustRightInd w:val="0"/>
        <w:snapToGrid w:val="0"/>
        <w:spacing w:line="360" w:lineRule="auto"/>
        <w:ind w:left="557" w:leftChars="174" w:firstLine="0" w:firstLineChars="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7</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不得转包、分包本合同；未经甲方书面同意，不得委托第三方提供服务</w:t>
      </w:r>
    </w:p>
    <w:p w14:paraId="35E53F0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8</w:t>
      </w:r>
      <w:r>
        <w:rPr>
          <w:rFonts w:hint="eastAsia" w:ascii="仿宋_GB2312" w:hAnsi="仿宋_GB2312" w:eastAsia="仿宋_GB2312" w:cs="仿宋_GB2312"/>
          <w:bCs/>
          <w:sz w:val="28"/>
          <w:szCs w:val="28"/>
        </w:rPr>
        <w:t>、认真按合同标准进行卫生保洁工作，遵守甲方的各项规章制度，服从甲方的管理。</w:t>
      </w:r>
    </w:p>
    <w:p w14:paraId="0163005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八</w:t>
      </w:r>
      <w:r>
        <w:rPr>
          <w:rFonts w:hint="eastAsia" w:ascii="仿宋_GB2312" w:hAnsi="仿宋_GB2312" w:eastAsia="仿宋_GB2312" w:cs="仿宋_GB2312"/>
          <w:b/>
          <w:sz w:val="28"/>
          <w:szCs w:val="28"/>
        </w:rPr>
        <w:t>、服务质量保证</w:t>
      </w:r>
    </w:p>
    <w:p w14:paraId="133A3AE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（一）乙方需建立高效的管理团队</w:t>
      </w:r>
      <w:r>
        <w:rPr>
          <w:rFonts w:hint="eastAsia" w:ascii="仿宋_GB2312" w:hAnsi="仿宋_GB2312" w:eastAsia="仿宋_GB2312" w:cs="仿宋_GB2312"/>
          <w:bCs/>
          <w:sz w:val="28"/>
          <w:szCs w:val="28"/>
          <w:lang w:eastAsia="zh-CN"/>
        </w:rPr>
        <w:t>并委派</w:t>
      </w:r>
      <w:r>
        <w:rPr>
          <w:rFonts w:hint="eastAsia" w:ascii="仿宋_GB2312" w:hAnsi="仿宋_GB2312" w:eastAsia="仿宋_GB2312" w:cs="仿宋_GB2312"/>
          <w:bCs/>
          <w:sz w:val="28"/>
          <w:szCs w:val="28"/>
        </w:rPr>
        <w:t>一名项目经理，直接与甲方沟通，项目经理接收甲方提出的问题与要求，并及时反馈给工作组，解决在项目实施过程中遇到的问题。</w:t>
      </w:r>
    </w:p>
    <w:p w14:paraId="2D191CF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（二）项目在实施过程中会出现不可预料的需求变更，乙方需积极配合甲方的需求变更，并按照变更后的需求继续进行方案实施。</w:t>
      </w:r>
    </w:p>
    <w:p w14:paraId="6C0DBDB2">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九</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eastAsia="zh-CN"/>
        </w:rPr>
        <w:t>考核与</w:t>
      </w:r>
      <w:r>
        <w:rPr>
          <w:rFonts w:hint="eastAsia" w:ascii="仿宋_GB2312" w:hAnsi="仿宋_GB2312" w:eastAsia="仿宋_GB2312" w:cs="仿宋_GB2312"/>
          <w:b/>
          <w:sz w:val="28"/>
          <w:szCs w:val="28"/>
        </w:rPr>
        <w:t>验收</w:t>
      </w:r>
    </w:p>
    <w:p w14:paraId="5703F35E">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（一）按双方确认的《</w:t>
      </w:r>
      <w:r>
        <w:rPr>
          <w:rFonts w:hint="eastAsia" w:ascii="仿宋_GB2312" w:hAnsi="仿宋_GB2312" w:eastAsia="仿宋_GB2312" w:cs="仿宋_GB2312"/>
          <w:bCs/>
          <w:sz w:val="28"/>
          <w:szCs w:val="28"/>
          <w:highlight w:val="none"/>
          <w:lang w:val="en-US" w:eastAsia="zh-CN"/>
        </w:rPr>
        <w:t>秦始皇帝陵博物院</w:t>
      </w:r>
      <w:r>
        <w:rPr>
          <w:rFonts w:hint="eastAsia" w:ascii="仿宋_GB2312" w:hAnsi="仿宋_GB2312" w:eastAsia="仿宋_GB2312" w:cs="仿宋_GB2312"/>
          <w:bCs/>
          <w:sz w:val="28"/>
          <w:szCs w:val="28"/>
          <w:highlight w:val="none"/>
        </w:rPr>
        <w:t>保洁服务</w:t>
      </w:r>
      <w:r>
        <w:rPr>
          <w:rFonts w:hint="eastAsia" w:ascii="仿宋_GB2312" w:hAnsi="仿宋_GB2312" w:eastAsia="仿宋_GB2312" w:cs="仿宋_GB2312"/>
          <w:bCs/>
          <w:sz w:val="28"/>
          <w:szCs w:val="28"/>
          <w:highlight w:val="none"/>
          <w:lang w:val="en-US" w:eastAsia="zh-CN"/>
        </w:rPr>
        <w:t>考核标准</w:t>
      </w:r>
      <w:r>
        <w:rPr>
          <w:rFonts w:hint="eastAsia" w:ascii="仿宋_GB2312" w:hAnsi="仿宋_GB2312" w:eastAsia="仿宋_GB2312" w:cs="仿宋_GB2312"/>
          <w:bCs/>
          <w:sz w:val="28"/>
          <w:szCs w:val="28"/>
          <w:highlight w:val="none"/>
        </w:rPr>
        <w:t>》执行，</w:t>
      </w:r>
      <w:r>
        <w:rPr>
          <w:rFonts w:hint="eastAsia" w:ascii="仿宋_GB2312" w:hAnsi="仿宋_GB2312" w:eastAsia="仿宋_GB2312" w:cs="仿宋_GB2312"/>
          <w:bCs/>
          <w:sz w:val="28"/>
          <w:szCs w:val="28"/>
          <w:highlight w:val="none"/>
          <w:lang w:eastAsia="zh-CN"/>
        </w:rPr>
        <w:t>采用</w:t>
      </w:r>
      <w:r>
        <w:rPr>
          <w:rFonts w:hint="eastAsia" w:ascii="仿宋_GB2312" w:hAnsi="仿宋_GB2312" w:eastAsia="仿宋_GB2312" w:cs="仿宋_GB2312"/>
          <w:color w:val="000000"/>
          <w:kern w:val="2"/>
          <w:sz w:val="28"/>
          <w:szCs w:val="28"/>
          <w:highlight w:val="none"/>
          <w:lang w:val="en-US" w:eastAsia="zh-CN" w:bidi="ar-SA"/>
        </w:rPr>
        <w:t>日常检查+月度考核+季度综合考核；月度考核＜80 分不合格，</w:t>
      </w:r>
      <w:r>
        <w:rPr>
          <w:rFonts w:hint="eastAsia" w:ascii="仿宋_GB2312" w:hAnsi="仿宋_GB2312" w:eastAsia="仿宋_GB2312" w:cs="仿宋_GB2312"/>
          <w:bCs/>
          <w:sz w:val="28"/>
          <w:szCs w:val="28"/>
          <w:highlight w:val="none"/>
        </w:rPr>
        <w:t>低于8</w:t>
      </w:r>
      <w:r>
        <w:rPr>
          <w:rFonts w:hint="eastAsia" w:ascii="仿宋_GB2312" w:hAnsi="仿宋_GB2312" w:eastAsia="仿宋_GB2312" w:cs="仿宋_GB2312"/>
          <w:bCs/>
          <w:sz w:val="28"/>
          <w:szCs w:val="28"/>
          <w:highlight w:val="none"/>
          <w:lang w:val="en-US" w:eastAsia="zh-CN"/>
        </w:rPr>
        <w:t>0</w:t>
      </w:r>
      <w:r>
        <w:rPr>
          <w:rFonts w:hint="eastAsia" w:ascii="仿宋_GB2312" w:hAnsi="仿宋_GB2312" w:eastAsia="仿宋_GB2312" w:cs="仿宋_GB2312"/>
          <w:bCs/>
          <w:sz w:val="28"/>
          <w:szCs w:val="28"/>
          <w:highlight w:val="none"/>
        </w:rPr>
        <w:t>分按比例扣款</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color w:val="000000"/>
          <w:kern w:val="2"/>
          <w:sz w:val="28"/>
          <w:szCs w:val="28"/>
          <w:highlight w:val="none"/>
          <w:lang w:val="en-US" w:eastAsia="zh-CN" w:bidi="ar-SA"/>
        </w:rPr>
        <w:t>季度考核＜85分暂停付款；</w:t>
      </w:r>
      <w:r>
        <w:rPr>
          <w:rFonts w:hint="eastAsia" w:ascii="仿宋_GB2312" w:hAnsi="仿宋_GB2312" w:eastAsia="仿宋_GB2312" w:cs="仿宋_GB2312"/>
          <w:bCs/>
          <w:sz w:val="28"/>
          <w:szCs w:val="28"/>
          <w:highlight w:val="none"/>
        </w:rPr>
        <w:t>连续</w:t>
      </w:r>
      <w:r>
        <w:rPr>
          <w:rFonts w:hint="eastAsia" w:ascii="仿宋_GB2312" w:hAnsi="仿宋_GB2312" w:eastAsia="仿宋_GB2312" w:cs="仿宋_GB2312"/>
          <w:bCs/>
          <w:sz w:val="28"/>
          <w:szCs w:val="28"/>
          <w:highlight w:val="none"/>
          <w:lang w:val="en-US" w:eastAsia="zh-CN"/>
        </w:rPr>
        <w:t>2</w:t>
      </w:r>
      <w:r>
        <w:rPr>
          <w:rFonts w:hint="eastAsia" w:ascii="仿宋_GB2312" w:hAnsi="仿宋_GB2312" w:eastAsia="仿宋_GB2312" w:cs="仿宋_GB2312"/>
          <w:bCs/>
          <w:sz w:val="28"/>
          <w:szCs w:val="28"/>
          <w:highlight w:val="none"/>
        </w:rPr>
        <w:t>个月低于</w:t>
      </w:r>
      <w:r>
        <w:rPr>
          <w:rFonts w:hint="eastAsia" w:ascii="仿宋_GB2312" w:hAnsi="仿宋_GB2312" w:eastAsia="仿宋_GB2312" w:cs="仿宋_GB2312"/>
          <w:bCs/>
          <w:sz w:val="28"/>
          <w:szCs w:val="28"/>
          <w:highlight w:val="none"/>
          <w:lang w:val="en-US" w:eastAsia="zh-CN"/>
        </w:rPr>
        <w:t>80</w:t>
      </w:r>
      <w:r>
        <w:rPr>
          <w:rFonts w:hint="eastAsia" w:ascii="仿宋_GB2312" w:hAnsi="仿宋_GB2312" w:eastAsia="仿宋_GB2312" w:cs="仿宋_GB2312"/>
          <w:bCs/>
          <w:sz w:val="28"/>
          <w:szCs w:val="28"/>
          <w:highlight w:val="none"/>
        </w:rPr>
        <w:t>分，甲方有权解除合同。</w:t>
      </w:r>
    </w:p>
    <w:p w14:paraId="0275FA3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（二）服务期满后，由乙方向甲方递交验收通知书，经甲方确认后，组织乙方进行验收</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验收合格后，填写政府采购项目验收单作为对本次服务的最终认可。</w:t>
      </w:r>
    </w:p>
    <w:p w14:paraId="4979DD3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10C1FC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4EFA812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2、招标文件、中标人的投标文件及澄清（承诺）函；</w:t>
      </w:r>
    </w:p>
    <w:p w14:paraId="3FEDF95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3、国家相应的标准、规范。</w:t>
      </w:r>
    </w:p>
    <w:p w14:paraId="6A31F09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十、保密条款</w:t>
      </w:r>
    </w:p>
    <w:p w14:paraId="7B8819D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乙方及所有人员对甲方文物资料、考古信息、安防信息、游客数据、内部管理信息永久保密，合同终止后仍有效；违者承担违约责任并赔偿损失。</w:t>
      </w:r>
    </w:p>
    <w:p w14:paraId="5215CC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十一、</w:t>
      </w:r>
      <w:r>
        <w:rPr>
          <w:rFonts w:hint="eastAsia" w:ascii="仿宋_GB2312" w:hAnsi="仿宋_GB2312" w:eastAsia="仿宋_GB2312" w:cs="仿宋_GB2312"/>
          <w:b/>
          <w:sz w:val="28"/>
          <w:szCs w:val="28"/>
        </w:rPr>
        <w:t>不可抗力</w:t>
      </w:r>
    </w:p>
    <w:p w14:paraId="4BAD53C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因地震、火灾、战争、重大疫情等不可抗力导致无法履行合同，双方互不违约，协商顺延或解除。</w:t>
      </w:r>
    </w:p>
    <w:p w14:paraId="15C32E5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eastAsia="zh-CN"/>
        </w:rPr>
        <w:t>十二、</w:t>
      </w:r>
      <w:r>
        <w:rPr>
          <w:rFonts w:hint="eastAsia" w:ascii="仿宋_GB2312" w:hAnsi="仿宋_GB2312" w:eastAsia="仿宋_GB2312" w:cs="仿宋_GB2312"/>
          <w:b/>
          <w:sz w:val="28"/>
          <w:szCs w:val="28"/>
          <w:highlight w:val="none"/>
        </w:rPr>
        <w:t>违约责任</w:t>
      </w:r>
    </w:p>
    <w:p w14:paraId="32BFC9A7">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（一） 轻微瑕疵违约</w:t>
      </w:r>
    </w:p>
    <w:p w14:paraId="6BD0A871">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出现下列情形之一的，单次违约金200元—500元，当月同类违约累计扣款总额不超过当月保洁服务费10%：</w:t>
      </w:r>
    </w:p>
    <w:p w14:paraId="051A44C2">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1、保洁人员配置不足、未足额到岗；</w:t>
      </w:r>
    </w:p>
    <w:p w14:paraId="4741AF59">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2、未经甲方书面报备擅自更换保洁人员；</w:t>
      </w:r>
    </w:p>
    <w:p w14:paraId="1AE8B59F">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3、局部区域保洁质量不达标，经现场指出可当场整改；</w:t>
      </w:r>
    </w:p>
    <w:p w14:paraId="2FAE38F5">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4、清洁耗材临时短缺、工具配备不足，未造成服务中断。</w:t>
      </w:r>
    </w:p>
    <w:p w14:paraId="469B12DC">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甲方出具整改通知单后，乙方须当日完成整改；逾期未改的，按本条标准加倍计扣违约金。</w:t>
      </w:r>
    </w:p>
    <w:p w14:paraId="6CB0379A">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（二）中度违约</w:t>
      </w:r>
    </w:p>
    <w:p w14:paraId="0E92B5AD">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出现下列情形之一的，单次扣除当月保洁服务费5%—10%；经甲方投诉查实的，另加违约金1000元/起：</w:t>
      </w:r>
    </w:p>
    <w:p w14:paraId="4BC1159E">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1、同一保洁问题多次整改仍未达标；</w:t>
      </w:r>
    </w:p>
    <w:p w14:paraId="5B977FDB">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2、突发保洁应急事项处置拖延、响应滞后；</w:t>
      </w:r>
    </w:p>
    <w:p w14:paraId="3E65E863">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3、批量保洁人员缺位，大面积区域保洁空档；</w:t>
      </w:r>
    </w:p>
    <w:p w14:paraId="236C7ECA">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4、月度综合考核不合格、服务投诉频发。</w:t>
      </w:r>
    </w:p>
    <w:p w14:paraId="486A35E3">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当月累计出现2次及以上中度违约，甲方有权暂停支付当期保洁服务费，直至整改验收合格。</w:t>
      </w:r>
    </w:p>
    <w:p w14:paraId="3D95589A">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（三）重度红线违约（根本性违约）</w:t>
      </w:r>
    </w:p>
    <w:p w14:paraId="519BBD6F">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乙方存在转包、分包本保洁服务项目、擅自全面停工、重大迎检保障失误等严重情形的：</w:t>
      </w:r>
    </w:p>
    <w:p w14:paraId="196E7391">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1、乙方须向甲方支付1个月全额保洁服务费作为基础违约金；</w:t>
      </w:r>
    </w:p>
    <w:p w14:paraId="43556183">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2、乙方另行支付合同年度总价款5%—8%的额外违约金；</w:t>
      </w:r>
    </w:p>
    <w:p w14:paraId="3BC3A0C9">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3、甲方有权单方面无条件解除本合同，乙方须承担甲方另行选聘第三方保洁单位产生的全部差价损失、应急处置费用；</w:t>
      </w:r>
    </w:p>
    <w:p w14:paraId="630BB351">
      <w:pPr>
        <w:pStyle w:val="17"/>
        <w:keepNext w:val="0"/>
        <w:keepLines w:val="0"/>
        <w:pageBreakBefore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4、因乙方重度违约造成甲方场所环境、形象重大负面影响的，甲方保留追究额外赔偿的权利。</w:t>
      </w:r>
    </w:p>
    <w:p w14:paraId="0D27B5D6">
      <w:pPr>
        <w:pStyle w:val="17"/>
        <w:keepNext w:val="0"/>
        <w:keepLines w:val="0"/>
        <w:pageBreakBefore w:val="0"/>
        <w:kinsoku/>
        <w:wordWrap/>
        <w:overflowPunct/>
        <w:topLinePunct w:val="0"/>
        <w:autoSpaceDE/>
        <w:autoSpaceDN/>
        <w:bidi w:val="0"/>
        <w:adjustRightInd w:val="0"/>
        <w:snapToGrid w:val="0"/>
        <w:spacing w:line="360" w:lineRule="auto"/>
        <w:ind w:firstLine="562" w:firstLineChars="200"/>
        <w:jc w:val="both"/>
        <w:textAlignment w:val="auto"/>
        <w:rPr>
          <w:rFonts w:hint="eastAsia" w:ascii="仿宋_GB2312" w:hAnsi="仿宋_GB2312" w:eastAsia="仿宋_GB2312" w:cs="仿宋_GB2312"/>
          <w:b/>
          <w:bCs/>
          <w:color w:val="000000"/>
          <w:kern w:val="2"/>
          <w:sz w:val="28"/>
          <w:szCs w:val="28"/>
          <w:highlight w:val="none"/>
          <w:lang w:val="en-US" w:eastAsia="zh-CN" w:bidi="ar-SA"/>
        </w:rPr>
      </w:pPr>
      <w:r>
        <w:rPr>
          <w:rFonts w:hint="eastAsia" w:ascii="仿宋_GB2312" w:hAnsi="仿宋_GB2312" w:eastAsia="仿宋_GB2312" w:cs="仿宋_GB2312"/>
          <w:b/>
          <w:bCs/>
          <w:color w:val="000000"/>
          <w:kern w:val="2"/>
          <w:sz w:val="28"/>
          <w:szCs w:val="28"/>
          <w:highlight w:val="none"/>
          <w:lang w:val="en-US" w:eastAsia="zh-CN" w:bidi="ar-SA"/>
        </w:rPr>
        <w:t>十三、合同争议解决的方式</w:t>
      </w:r>
    </w:p>
    <w:p w14:paraId="651543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双方本着友好合作的态度,对合同履行过程中发生的</w:t>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"http://set2.mail.qq.com/cgi-bin/mail_spam?action=check_link&amp;spam=0&amp;url=http%3A%2F%2Fbaike%2Ebaidu%2Ecom%2Fview%2F322875%2Ehtm"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纠纷</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应及时协商解决,协商不成，向甲方所在地人民法院诉讼解决。</w:t>
      </w:r>
    </w:p>
    <w:p w14:paraId="48B348D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w:t>
      </w:r>
      <w:r>
        <w:rPr>
          <w:rFonts w:hint="eastAsia" w:ascii="仿宋_GB2312" w:hAnsi="仿宋_GB2312" w:eastAsia="仿宋_GB2312" w:cs="仿宋_GB2312"/>
          <w:b/>
          <w:sz w:val="28"/>
          <w:szCs w:val="28"/>
          <w:lang w:val="en-US" w:eastAsia="zh-CN"/>
        </w:rPr>
        <w:t>四</w:t>
      </w:r>
      <w:r>
        <w:rPr>
          <w:rFonts w:hint="eastAsia" w:ascii="仿宋_GB2312" w:hAnsi="仿宋_GB2312" w:eastAsia="仿宋_GB2312" w:cs="仿宋_GB2312"/>
          <w:b/>
          <w:sz w:val="28"/>
          <w:szCs w:val="28"/>
        </w:rPr>
        <w:t>、合同生效</w:t>
      </w:r>
    </w:p>
    <w:p w14:paraId="5318EF8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（一）本合同须经甲、乙双方的法定代表人（授权代表）在合同书上签字并加盖本单位公章后正式生效。</w:t>
      </w:r>
    </w:p>
    <w:p w14:paraId="30E7BDB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（二）合同生效后，甲、乙双方须严格执行本合同条款的规定，全面履行合同，违者按《中华人民共和国</w:t>
      </w:r>
      <w:r>
        <w:rPr>
          <w:rFonts w:hint="eastAsia" w:ascii="仿宋_GB2312" w:hAnsi="仿宋_GB2312" w:eastAsia="仿宋_GB2312" w:cs="仿宋_GB2312"/>
          <w:bCs/>
          <w:sz w:val="28"/>
          <w:szCs w:val="28"/>
          <w:lang w:eastAsia="zh-CN"/>
        </w:rPr>
        <w:t>民法典</w:t>
      </w:r>
      <w:r>
        <w:rPr>
          <w:rFonts w:hint="eastAsia" w:ascii="仿宋_GB2312" w:hAnsi="仿宋_GB2312" w:eastAsia="仿宋_GB2312" w:cs="仿宋_GB2312"/>
          <w:bCs/>
          <w:sz w:val="28"/>
          <w:szCs w:val="28"/>
        </w:rPr>
        <w:t>》的有关规定承担相应责任。</w:t>
      </w:r>
    </w:p>
    <w:p w14:paraId="4168817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（三）本合同一式</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份，甲乙双方各执</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w:t>
      </w:r>
    </w:p>
    <w:p w14:paraId="6135FB4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（四）本合同如有未尽事宜，甲、乙双方协商解决。</w:t>
      </w:r>
    </w:p>
    <w:tbl>
      <w:tblPr>
        <w:tblStyle w:val="9"/>
        <w:tblW w:w="0" w:type="auto"/>
        <w:jc w:val="center"/>
        <w:tblLayout w:type="fixed"/>
        <w:tblCellMar>
          <w:top w:w="0" w:type="dxa"/>
          <w:left w:w="108" w:type="dxa"/>
          <w:bottom w:w="0" w:type="dxa"/>
          <w:right w:w="108" w:type="dxa"/>
        </w:tblCellMar>
      </w:tblPr>
      <w:tblGrid>
        <w:gridCol w:w="4201"/>
        <w:gridCol w:w="4202"/>
      </w:tblGrid>
      <w:tr w14:paraId="2D40721C">
        <w:tblPrEx>
          <w:tblCellMar>
            <w:top w:w="0" w:type="dxa"/>
            <w:left w:w="108" w:type="dxa"/>
            <w:bottom w:w="0" w:type="dxa"/>
            <w:right w:w="108" w:type="dxa"/>
          </w:tblCellMar>
        </w:tblPrEx>
        <w:trPr>
          <w:trHeight w:val="680" w:hRule="exact"/>
          <w:jc w:val="center"/>
        </w:trPr>
        <w:tc>
          <w:tcPr>
            <w:tcW w:w="4201" w:type="dxa"/>
            <w:noWrap w:val="0"/>
            <w:vAlign w:val="center"/>
          </w:tcPr>
          <w:p w14:paraId="5F34F5A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0"/>
            <w:vAlign w:val="center"/>
          </w:tcPr>
          <w:p w14:paraId="125F8B3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71BB8E57">
        <w:tblPrEx>
          <w:tblCellMar>
            <w:top w:w="0" w:type="dxa"/>
            <w:left w:w="108" w:type="dxa"/>
            <w:bottom w:w="0" w:type="dxa"/>
            <w:right w:w="108" w:type="dxa"/>
          </w:tblCellMar>
        </w:tblPrEx>
        <w:trPr>
          <w:trHeight w:val="680" w:hRule="exact"/>
          <w:jc w:val="center"/>
        </w:trPr>
        <w:tc>
          <w:tcPr>
            <w:tcW w:w="4201" w:type="dxa"/>
            <w:noWrap w:val="0"/>
            <w:vAlign w:val="center"/>
          </w:tcPr>
          <w:p w14:paraId="3B0FC75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0"/>
            <w:vAlign w:val="center"/>
          </w:tcPr>
          <w:p w14:paraId="458DEA9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40F9EB0C">
        <w:tblPrEx>
          <w:tblCellMar>
            <w:top w:w="0" w:type="dxa"/>
            <w:left w:w="108" w:type="dxa"/>
            <w:bottom w:w="0" w:type="dxa"/>
            <w:right w:w="108" w:type="dxa"/>
          </w:tblCellMar>
        </w:tblPrEx>
        <w:trPr>
          <w:trHeight w:val="680" w:hRule="exact"/>
          <w:jc w:val="center"/>
        </w:trPr>
        <w:tc>
          <w:tcPr>
            <w:tcW w:w="4201" w:type="dxa"/>
            <w:noWrap w:val="0"/>
            <w:vAlign w:val="center"/>
          </w:tcPr>
          <w:p w14:paraId="3158505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0"/>
            <w:vAlign w:val="center"/>
          </w:tcPr>
          <w:p w14:paraId="7365A88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6CBB1DAC">
        <w:tblPrEx>
          <w:tblCellMar>
            <w:top w:w="0" w:type="dxa"/>
            <w:left w:w="108" w:type="dxa"/>
            <w:bottom w:w="0" w:type="dxa"/>
            <w:right w:w="108" w:type="dxa"/>
          </w:tblCellMar>
        </w:tblPrEx>
        <w:trPr>
          <w:trHeight w:val="680" w:hRule="exact"/>
          <w:jc w:val="center"/>
        </w:trPr>
        <w:tc>
          <w:tcPr>
            <w:tcW w:w="4201" w:type="dxa"/>
            <w:noWrap w:val="0"/>
            <w:vAlign w:val="center"/>
          </w:tcPr>
          <w:p w14:paraId="4768102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c>
          <w:tcPr>
            <w:tcW w:w="4202" w:type="dxa"/>
            <w:noWrap w:val="0"/>
            <w:vAlign w:val="center"/>
          </w:tcPr>
          <w:p w14:paraId="5E05D2B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r>
      <w:tr w14:paraId="7012A971">
        <w:tblPrEx>
          <w:tblCellMar>
            <w:top w:w="0" w:type="dxa"/>
            <w:left w:w="108" w:type="dxa"/>
            <w:bottom w:w="0" w:type="dxa"/>
            <w:right w:w="108" w:type="dxa"/>
          </w:tblCellMar>
        </w:tblPrEx>
        <w:trPr>
          <w:trHeight w:val="680" w:hRule="exact"/>
          <w:jc w:val="center"/>
        </w:trPr>
        <w:tc>
          <w:tcPr>
            <w:tcW w:w="4201" w:type="dxa"/>
            <w:noWrap w:val="0"/>
            <w:vAlign w:val="center"/>
          </w:tcPr>
          <w:p w14:paraId="1223E35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0"/>
            <w:vAlign w:val="center"/>
          </w:tcPr>
          <w:p w14:paraId="2F6689C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lang w:eastAsia="zh-CN"/>
              </w:rPr>
            </w:pPr>
            <w:r>
              <w:rPr>
                <w:rFonts w:hint="eastAsia" w:ascii="仿宋_GB2312" w:hAnsi="仿宋_GB2312" w:eastAsia="仿宋_GB2312" w:cs="仿宋_GB2312"/>
                <w:spacing w:val="-20"/>
                <w:kern w:val="0"/>
                <w:sz w:val="28"/>
                <w:szCs w:val="28"/>
              </w:rPr>
              <w:t>法定代表人</w:t>
            </w:r>
          </w:p>
        </w:tc>
      </w:tr>
      <w:tr w14:paraId="4666B57E">
        <w:tblPrEx>
          <w:tblCellMar>
            <w:top w:w="0" w:type="dxa"/>
            <w:left w:w="108" w:type="dxa"/>
            <w:bottom w:w="0" w:type="dxa"/>
            <w:right w:w="108" w:type="dxa"/>
          </w:tblCellMar>
        </w:tblPrEx>
        <w:trPr>
          <w:trHeight w:val="680" w:hRule="exact"/>
          <w:jc w:val="center"/>
        </w:trPr>
        <w:tc>
          <w:tcPr>
            <w:tcW w:w="4201" w:type="dxa"/>
            <w:noWrap w:val="0"/>
            <w:vAlign w:val="center"/>
          </w:tcPr>
          <w:p w14:paraId="2B790CF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lang w:eastAsia="zh-CN"/>
              </w:rPr>
              <w:t>或</w:t>
            </w:r>
            <w:r>
              <w:rPr>
                <w:rFonts w:hint="eastAsia" w:ascii="仿宋_GB2312" w:hAnsi="仿宋_GB2312" w:eastAsia="仿宋_GB2312" w:cs="仿宋_GB2312"/>
                <w:spacing w:val="-20"/>
                <w:kern w:val="0"/>
                <w:sz w:val="28"/>
                <w:szCs w:val="28"/>
              </w:rPr>
              <w:t>授权代表：</w:t>
            </w:r>
          </w:p>
        </w:tc>
        <w:tc>
          <w:tcPr>
            <w:tcW w:w="4202" w:type="dxa"/>
            <w:noWrap w:val="0"/>
            <w:vAlign w:val="center"/>
          </w:tcPr>
          <w:p w14:paraId="1D71E30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lang w:eastAsia="zh-CN"/>
              </w:rPr>
              <w:t>或</w:t>
            </w:r>
            <w:r>
              <w:rPr>
                <w:rFonts w:hint="eastAsia" w:ascii="仿宋_GB2312" w:hAnsi="仿宋_GB2312" w:eastAsia="仿宋_GB2312" w:cs="仿宋_GB2312"/>
                <w:spacing w:val="-20"/>
                <w:kern w:val="0"/>
                <w:sz w:val="28"/>
                <w:szCs w:val="28"/>
              </w:rPr>
              <w:t>授权代表：</w:t>
            </w:r>
          </w:p>
        </w:tc>
      </w:tr>
      <w:tr w14:paraId="57CA319D">
        <w:tblPrEx>
          <w:tblCellMar>
            <w:top w:w="0" w:type="dxa"/>
            <w:left w:w="108" w:type="dxa"/>
            <w:bottom w:w="0" w:type="dxa"/>
            <w:right w:w="108" w:type="dxa"/>
          </w:tblCellMar>
        </w:tblPrEx>
        <w:trPr>
          <w:trHeight w:val="680" w:hRule="exact"/>
          <w:jc w:val="center"/>
        </w:trPr>
        <w:tc>
          <w:tcPr>
            <w:tcW w:w="4201" w:type="dxa"/>
            <w:noWrap w:val="0"/>
            <w:vAlign w:val="center"/>
          </w:tcPr>
          <w:p w14:paraId="4CD4DE1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0"/>
            <w:vAlign w:val="center"/>
          </w:tcPr>
          <w:p w14:paraId="5D91EC1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16E8174F">
        <w:tblPrEx>
          <w:tblCellMar>
            <w:top w:w="0" w:type="dxa"/>
            <w:left w:w="108" w:type="dxa"/>
            <w:bottom w:w="0" w:type="dxa"/>
            <w:right w:w="108" w:type="dxa"/>
          </w:tblCellMar>
        </w:tblPrEx>
        <w:trPr>
          <w:trHeight w:val="680" w:hRule="exact"/>
          <w:jc w:val="center"/>
        </w:trPr>
        <w:tc>
          <w:tcPr>
            <w:tcW w:w="4201" w:type="dxa"/>
            <w:noWrap w:val="0"/>
            <w:vAlign w:val="center"/>
          </w:tcPr>
          <w:p w14:paraId="16D2A3A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0"/>
            <w:vAlign w:val="center"/>
          </w:tcPr>
          <w:p w14:paraId="25C8D8C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5AEA89AA">
        <w:tblPrEx>
          <w:tblCellMar>
            <w:top w:w="0" w:type="dxa"/>
            <w:left w:w="108" w:type="dxa"/>
            <w:bottom w:w="0" w:type="dxa"/>
            <w:right w:w="108" w:type="dxa"/>
          </w:tblCellMar>
        </w:tblPrEx>
        <w:trPr>
          <w:trHeight w:val="680" w:hRule="exact"/>
          <w:jc w:val="center"/>
        </w:trPr>
        <w:tc>
          <w:tcPr>
            <w:tcW w:w="4201" w:type="dxa"/>
            <w:noWrap w:val="0"/>
            <w:vAlign w:val="center"/>
          </w:tcPr>
          <w:p w14:paraId="1635109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0"/>
            <w:vAlign w:val="center"/>
          </w:tcPr>
          <w:p w14:paraId="650D2C8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079C01BA">
        <w:tblPrEx>
          <w:tblCellMar>
            <w:top w:w="0" w:type="dxa"/>
            <w:left w:w="108" w:type="dxa"/>
            <w:bottom w:w="0" w:type="dxa"/>
            <w:right w:w="108" w:type="dxa"/>
          </w:tblCellMar>
        </w:tblPrEx>
        <w:trPr>
          <w:trHeight w:val="680" w:hRule="exact"/>
          <w:jc w:val="center"/>
        </w:trPr>
        <w:tc>
          <w:tcPr>
            <w:tcW w:w="4201" w:type="dxa"/>
            <w:noWrap w:val="0"/>
            <w:vAlign w:val="center"/>
          </w:tcPr>
          <w:p w14:paraId="6111945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0"/>
            <w:vAlign w:val="center"/>
          </w:tcPr>
          <w:p w14:paraId="3D1931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26E5B8A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A4C83"/>
    <w:rsid w:val="00C34048"/>
    <w:rsid w:val="050471D5"/>
    <w:rsid w:val="053C7039"/>
    <w:rsid w:val="05711A44"/>
    <w:rsid w:val="07055153"/>
    <w:rsid w:val="07F933E3"/>
    <w:rsid w:val="09CF2980"/>
    <w:rsid w:val="09D0533B"/>
    <w:rsid w:val="0B6F77E5"/>
    <w:rsid w:val="0BE77DA2"/>
    <w:rsid w:val="0ED50312"/>
    <w:rsid w:val="117A2513"/>
    <w:rsid w:val="13FE0526"/>
    <w:rsid w:val="181C3FA3"/>
    <w:rsid w:val="18EF18DD"/>
    <w:rsid w:val="19235D7C"/>
    <w:rsid w:val="1CAA4C83"/>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18C2B12"/>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13"/>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2"/>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4"/>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next w:val="1"/>
    <w:autoRedefine/>
    <w:qFormat/>
    <w:uiPriority w:val="0"/>
    <w:pPr>
      <w:spacing w:after="120" w:afterLines="0" w:afterAutospacing="0"/>
    </w:pPr>
  </w:style>
  <w:style w:type="paragraph" w:styleId="8">
    <w:name w:val="Body Text Indent 2"/>
    <w:basedOn w:val="1"/>
    <w:qFormat/>
    <w:uiPriority w:val="0"/>
    <w:pPr>
      <w:spacing w:line="440" w:lineRule="exact"/>
      <w:ind w:left="420"/>
    </w:pPr>
    <w:rPr>
      <w:rFonts w:ascii="宋体"/>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3">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4">
    <w:name w:val="标题 3 Char"/>
    <w:link w:val="4"/>
    <w:qFormat/>
    <w:uiPriority w:val="0"/>
    <w:rPr>
      <w:rFonts w:ascii="Calibri" w:hAnsi="Calibri" w:eastAsia="仿宋_GB2312" w:cs="Times New Roman"/>
      <w:b/>
      <w:bCs/>
      <w:sz w:val="24"/>
      <w:szCs w:val="24"/>
    </w:rPr>
  </w:style>
  <w:style w:type="paragraph" w:customStyle="1" w:styleId="15">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正文缩进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3644</Words>
  <Characters>3685</Characters>
  <Lines>0</Lines>
  <Paragraphs>0</Paragraphs>
  <TotalTime>0</TotalTime>
  <ScaleCrop>false</ScaleCrop>
  <LinksUpToDate>false</LinksUpToDate>
  <CharactersWithSpaces>3794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2025-11-03T07:24:00Z</dcterms:created>
  <dc:creator>华采</dc:creator>
  <cp:lastModifiedBy>陕西华采招标有限公司</cp:lastModifiedBy>
  <dcterms:modified xsi:type="dcterms:W3CDTF">2026-06-10T05:31:28Z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6E711FE21C214260872573507B1B52E3_11</vt:lpwstr>
  </property>
  <property fmtid="{D5CDD505-2E9C-101B-9397-08002B2CF9AE}" pid="4" name="KSOTemplateDocerSaveRecord">
    <vt:lpwstr>eyJoZGlkIjoiZWMxNWU5MTM1NDJhMzM3NzZlNjAyMmRiMjcyMmY4OWYiLCJ1c2VySWQiOiI5MzY1NjA0ODAifQ==</vt:lpwstr>
  </property>
</Properties>
</file>