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2AEB8">
      <w:pPr>
        <w:spacing w:line="276" w:lineRule="auto"/>
        <w:jc w:val="center"/>
        <w:rPr>
          <w:rFonts w:hint="eastAsia" w:ascii="仿宋" w:hAnsi="仿宋" w:eastAsia="仿宋" w:cs="仿宋"/>
          <w:b/>
          <w:sz w:val="24"/>
        </w:rPr>
      </w:pPr>
      <w:r>
        <w:rPr>
          <w:rFonts w:hint="eastAsia" w:ascii="仿宋" w:hAnsi="仿宋" w:eastAsia="仿宋" w:cs="仿宋"/>
          <w:b/>
          <w:sz w:val="24"/>
        </w:rPr>
        <w:t>货 物 合 同</w:t>
      </w:r>
    </w:p>
    <w:p w14:paraId="1215BC09">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甲方：西安市机关事务服务中心</w:t>
      </w:r>
    </w:p>
    <w:p w14:paraId="6D2D1D38">
      <w:pPr>
        <w:spacing w:line="360" w:lineRule="auto"/>
        <w:ind w:firstLine="480" w:firstLineChars="200"/>
        <w:rPr>
          <w:rFonts w:hint="eastAsia" w:ascii="仿宋" w:hAnsi="仿宋" w:eastAsia="仿宋" w:cs="仿宋"/>
          <w:sz w:val="24"/>
        </w:rPr>
      </w:pPr>
      <w:r>
        <w:rPr>
          <w:rFonts w:hint="eastAsia" w:ascii="仿宋" w:hAnsi="仿宋" w:eastAsia="仿宋" w:cs="仿宋"/>
          <w:sz w:val="24"/>
        </w:rPr>
        <w:t>乙方：</w:t>
      </w:r>
    </w:p>
    <w:p w14:paraId="16F4AFCB">
      <w:pPr>
        <w:spacing w:line="360" w:lineRule="auto"/>
        <w:ind w:firstLine="480" w:firstLineChars="200"/>
        <w:rPr>
          <w:rFonts w:hint="eastAsia" w:ascii="仿宋" w:hAnsi="仿宋" w:eastAsia="仿宋" w:cs="仿宋"/>
          <w:sz w:val="24"/>
        </w:rPr>
      </w:pPr>
      <w:r>
        <w:rPr>
          <w:rFonts w:hint="eastAsia" w:ascii="仿宋" w:hAnsi="仿宋" w:eastAsia="仿宋" w:cs="仿宋"/>
          <w:sz w:val="24"/>
        </w:rPr>
        <w:t>依据《中华人民共和国政府采购法》、《中华人民共和国民法典》，市政府机关餐厅更新洗碗机项目（二次）(项目编号：SZT2026-SN-XC-ZC-HW-0568)，在财政部门的监督管理下，由陕西中技招标有限公司组织竞争性磋商。西安市机关事务服务中心(以下简称“甲方”)确定xxx（以下简称“乙方”）为成交供应商。甲、乙双方同意按照下面条款和条件，签署本合同。</w:t>
      </w:r>
    </w:p>
    <w:p w14:paraId="0A8F8C7F">
      <w:pPr>
        <w:numPr>
          <w:ilvl w:val="0"/>
          <w:numId w:val="1"/>
        </w:numPr>
        <w:tabs>
          <w:tab w:val="left" w:pos="480"/>
        </w:tabs>
        <w:spacing w:line="360" w:lineRule="auto"/>
        <w:ind w:firstLine="402" w:firstLineChars="200"/>
        <w:rPr>
          <w:rFonts w:hint="eastAsia" w:ascii="仿宋" w:hAnsi="仿宋" w:eastAsia="仿宋" w:cs="仿宋"/>
          <w:b/>
          <w:spacing w:val="-20"/>
          <w:kern w:val="0"/>
          <w:sz w:val="24"/>
        </w:rPr>
      </w:pPr>
      <w:r>
        <w:rPr>
          <w:rFonts w:hint="eastAsia" w:ascii="仿宋" w:hAnsi="仿宋" w:eastAsia="仿宋" w:cs="仿宋"/>
          <w:b/>
          <w:spacing w:val="-20"/>
          <w:kern w:val="0"/>
          <w:sz w:val="24"/>
        </w:rPr>
        <w:t>合同标的物内容及数量</w:t>
      </w:r>
    </w:p>
    <w:p w14:paraId="5066FDCA">
      <w:pPr>
        <w:spacing w:line="360" w:lineRule="auto"/>
        <w:ind w:firstLine="482" w:firstLineChars="200"/>
        <w:jc w:val="right"/>
        <w:rPr>
          <w:rFonts w:hint="eastAsia" w:ascii="仿宋" w:hAnsi="仿宋" w:eastAsia="仿宋" w:cs="仿宋"/>
          <w:b/>
          <w:sz w:val="24"/>
        </w:rPr>
      </w:pPr>
      <w:r>
        <w:rPr>
          <w:rFonts w:hint="eastAsia" w:ascii="仿宋" w:hAnsi="仿宋" w:eastAsia="仿宋" w:cs="仿宋"/>
          <w:b/>
          <w:sz w:val="24"/>
        </w:rPr>
        <w:t>货币及单位:人民币/元</w:t>
      </w:r>
    </w:p>
    <w:tbl>
      <w:tblPr>
        <w:tblStyle w:val="4"/>
        <w:tblW w:w="4997" w:type="pct"/>
        <w:tblInd w:w="0" w:type="dxa"/>
        <w:tblLayout w:type="autofit"/>
        <w:tblCellMar>
          <w:top w:w="0" w:type="dxa"/>
          <w:left w:w="108" w:type="dxa"/>
          <w:bottom w:w="0" w:type="dxa"/>
          <w:right w:w="108" w:type="dxa"/>
        </w:tblCellMar>
      </w:tblPr>
      <w:tblGrid>
        <w:gridCol w:w="696"/>
        <w:gridCol w:w="1296"/>
        <w:gridCol w:w="3828"/>
        <w:gridCol w:w="835"/>
        <w:gridCol w:w="696"/>
        <w:gridCol w:w="1166"/>
      </w:tblGrid>
      <w:tr w14:paraId="01A28498">
        <w:tblPrEx>
          <w:tblCellMar>
            <w:top w:w="0" w:type="dxa"/>
            <w:left w:w="108" w:type="dxa"/>
            <w:bottom w:w="0" w:type="dxa"/>
            <w:right w:w="108" w:type="dxa"/>
          </w:tblCellMar>
        </w:tblPrEx>
        <w:trPr>
          <w:trHeight w:val="390" w:hRule="atLeast"/>
        </w:trPr>
        <w:tc>
          <w:tcPr>
            <w:tcW w:w="384" w:type="pct"/>
            <w:tcBorders>
              <w:top w:val="single" w:color="000000" w:sz="8" w:space="0"/>
              <w:left w:val="single" w:color="000000" w:sz="8" w:space="0"/>
              <w:bottom w:val="single" w:color="000000" w:sz="8" w:space="0"/>
              <w:right w:val="single" w:color="000000" w:sz="8" w:space="0"/>
            </w:tcBorders>
            <w:noWrap/>
            <w:vAlign w:val="center"/>
          </w:tcPr>
          <w:p w14:paraId="38F94CF6">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序号</w:t>
            </w:r>
          </w:p>
        </w:tc>
        <w:tc>
          <w:tcPr>
            <w:tcW w:w="775" w:type="pct"/>
            <w:tcBorders>
              <w:top w:val="single" w:color="000000" w:sz="8" w:space="0"/>
              <w:left w:val="single" w:color="000000" w:sz="8" w:space="0"/>
              <w:bottom w:val="single" w:color="auto" w:sz="4" w:space="0"/>
              <w:right w:val="single" w:color="000000" w:sz="8" w:space="0"/>
            </w:tcBorders>
            <w:noWrap/>
            <w:vAlign w:val="center"/>
          </w:tcPr>
          <w:p w14:paraId="000DF9D0">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货物名称</w:t>
            </w:r>
          </w:p>
        </w:tc>
        <w:tc>
          <w:tcPr>
            <w:tcW w:w="2261" w:type="pct"/>
            <w:tcBorders>
              <w:top w:val="single" w:color="000000" w:sz="8" w:space="0"/>
              <w:left w:val="nil"/>
              <w:bottom w:val="single" w:color="auto" w:sz="4" w:space="0"/>
              <w:right w:val="single" w:color="000000" w:sz="8" w:space="0"/>
            </w:tcBorders>
            <w:noWrap/>
            <w:vAlign w:val="center"/>
          </w:tcPr>
          <w:p w14:paraId="608E9016">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规格型号</w:t>
            </w:r>
          </w:p>
        </w:tc>
        <w:tc>
          <w:tcPr>
            <w:tcW w:w="504" w:type="pct"/>
            <w:tcBorders>
              <w:top w:val="single" w:color="000000" w:sz="8" w:space="0"/>
              <w:left w:val="nil"/>
              <w:bottom w:val="single" w:color="auto" w:sz="4" w:space="0"/>
              <w:right w:val="single" w:color="000000" w:sz="8" w:space="0"/>
            </w:tcBorders>
            <w:noWrap/>
            <w:vAlign w:val="center"/>
          </w:tcPr>
          <w:p w14:paraId="098A0EF6">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单价</w:t>
            </w:r>
          </w:p>
        </w:tc>
        <w:tc>
          <w:tcPr>
            <w:tcW w:w="375" w:type="pct"/>
            <w:tcBorders>
              <w:top w:val="single" w:color="000000" w:sz="8" w:space="0"/>
              <w:left w:val="nil"/>
              <w:bottom w:val="single" w:color="auto" w:sz="4" w:space="0"/>
              <w:right w:val="single" w:color="000000" w:sz="8" w:space="0"/>
            </w:tcBorders>
            <w:noWrap/>
            <w:vAlign w:val="center"/>
          </w:tcPr>
          <w:p w14:paraId="02E8FC46">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数量</w:t>
            </w:r>
          </w:p>
        </w:tc>
        <w:tc>
          <w:tcPr>
            <w:tcW w:w="698" w:type="pct"/>
            <w:tcBorders>
              <w:top w:val="single" w:color="000000" w:sz="8" w:space="0"/>
              <w:left w:val="nil"/>
              <w:bottom w:val="single" w:color="auto" w:sz="4" w:space="0"/>
              <w:right w:val="single" w:color="000000" w:sz="8" w:space="0"/>
            </w:tcBorders>
            <w:noWrap/>
            <w:vAlign w:val="center"/>
          </w:tcPr>
          <w:p w14:paraId="5402947F">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总价</w:t>
            </w:r>
          </w:p>
        </w:tc>
      </w:tr>
      <w:tr w14:paraId="466BFCF3">
        <w:tblPrEx>
          <w:tblCellMar>
            <w:top w:w="0" w:type="dxa"/>
            <w:left w:w="108" w:type="dxa"/>
            <w:bottom w:w="0" w:type="dxa"/>
            <w:right w:w="108" w:type="dxa"/>
          </w:tblCellMar>
        </w:tblPrEx>
        <w:trPr>
          <w:trHeight w:val="1337" w:hRule="atLeast"/>
        </w:trPr>
        <w:tc>
          <w:tcPr>
            <w:tcW w:w="384" w:type="pct"/>
            <w:tcBorders>
              <w:top w:val="nil"/>
              <w:left w:val="single" w:color="000000" w:sz="8" w:space="0"/>
              <w:bottom w:val="single" w:color="000000" w:sz="8" w:space="0"/>
              <w:right w:val="single" w:color="auto" w:sz="4" w:space="0"/>
            </w:tcBorders>
            <w:noWrap/>
            <w:vAlign w:val="center"/>
          </w:tcPr>
          <w:p w14:paraId="2D5E5B1F">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1</w:t>
            </w:r>
          </w:p>
        </w:tc>
        <w:tc>
          <w:tcPr>
            <w:tcW w:w="775" w:type="pct"/>
            <w:tcBorders>
              <w:top w:val="single" w:color="auto" w:sz="4" w:space="0"/>
              <w:left w:val="single" w:color="auto" w:sz="4" w:space="0"/>
              <w:bottom w:val="single" w:color="auto" w:sz="4" w:space="0"/>
              <w:right w:val="single" w:color="auto" w:sz="4" w:space="0"/>
            </w:tcBorders>
            <w:vAlign w:val="center"/>
          </w:tcPr>
          <w:p w14:paraId="50D41437">
            <w:pPr>
              <w:widowControl/>
              <w:adjustRightInd w:val="0"/>
              <w:snapToGrid w:val="0"/>
              <w:jc w:val="center"/>
              <w:textAlignment w:val="center"/>
              <w:rPr>
                <w:rFonts w:hint="eastAsia" w:ascii="仿宋" w:hAnsi="仿宋" w:eastAsia="仿宋" w:cs="仿宋"/>
                <w:sz w:val="24"/>
              </w:rPr>
            </w:pPr>
            <w:r>
              <w:rPr>
                <w:rFonts w:hint="eastAsia" w:ascii="仿宋" w:hAnsi="仿宋" w:eastAsia="仿宋" w:cs="仿宋"/>
                <w:kern w:val="0"/>
                <w:sz w:val="24"/>
                <w:lang w:bidi="ar"/>
              </w:rPr>
              <w:t>履带式洗碗机1</w:t>
            </w:r>
          </w:p>
        </w:tc>
        <w:tc>
          <w:tcPr>
            <w:tcW w:w="2261" w:type="pct"/>
            <w:tcBorders>
              <w:top w:val="single" w:color="auto" w:sz="4" w:space="0"/>
              <w:left w:val="single" w:color="auto" w:sz="4" w:space="0"/>
              <w:bottom w:val="single" w:color="auto" w:sz="4" w:space="0"/>
              <w:right w:val="single" w:color="auto" w:sz="4" w:space="0"/>
            </w:tcBorders>
            <w:vAlign w:val="center"/>
          </w:tcPr>
          <w:p w14:paraId="194CF3FC">
            <w:pPr>
              <w:widowControl/>
              <w:spacing w:line="360" w:lineRule="auto"/>
              <w:jc w:val="left"/>
              <w:textAlignment w:val="center"/>
              <w:rPr>
                <w:rFonts w:hint="eastAsia" w:ascii="仿宋" w:hAnsi="仿宋" w:eastAsia="仿宋" w:cs="仿宋"/>
                <w:sz w:val="24"/>
              </w:rPr>
            </w:pPr>
          </w:p>
        </w:tc>
        <w:tc>
          <w:tcPr>
            <w:tcW w:w="504" w:type="pct"/>
            <w:tcBorders>
              <w:top w:val="single" w:color="auto" w:sz="4" w:space="0"/>
              <w:left w:val="single" w:color="auto" w:sz="4" w:space="0"/>
              <w:bottom w:val="single" w:color="auto" w:sz="4" w:space="0"/>
              <w:right w:val="single" w:color="auto" w:sz="4" w:space="0"/>
            </w:tcBorders>
            <w:noWrap/>
            <w:vAlign w:val="center"/>
          </w:tcPr>
          <w:p w14:paraId="3AC90DA9">
            <w:pPr>
              <w:widowControl/>
              <w:spacing w:line="360" w:lineRule="auto"/>
              <w:jc w:val="center"/>
              <w:textAlignment w:val="center"/>
              <w:rPr>
                <w:rFonts w:hint="eastAsia" w:ascii="仿宋" w:hAnsi="仿宋" w:eastAsia="仿宋" w:cs="仿宋"/>
                <w:sz w:val="24"/>
              </w:rPr>
            </w:pPr>
          </w:p>
        </w:tc>
        <w:tc>
          <w:tcPr>
            <w:tcW w:w="375" w:type="pct"/>
            <w:tcBorders>
              <w:top w:val="single" w:color="auto" w:sz="4" w:space="0"/>
              <w:left w:val="single" w:color="auto" w:sz="4" w:space="0"/>
              <w:bottom w:val="single" w:color="auto" w:sz="4" w:space="0"/>
              <w:right w:val="single" w:color="auto" w:sz="4" w:space="0"/>
            </w:tcBorders>
            <w:noWrap/>
            <w:vAlign w:val="center"/>
          </w:tcPr>
          <w:p w14:paraId="577DE96F">
            <w:pPr>
              <w:widowControl/>
              <w:spacing w:line="360" w:lineRule="auto"/>
              <w:jc w:val="center"/>
              <w:textAlignment w:val="center"/>
              <w:rPr>
                <w:rFonts w:hint="eastAsia" w:ascii="仿宋" w:hAnsi="仿宋" w:eastAsia="仿宋" w:cs="仿宋"/>
                <w:sz w:val="24"/>
              </w:rPr>
            </w:pPr>
            <w:r>
              <w:rPr>
                <w:rFonts w:hint="eastAsia" w:ascii="仿宋" w:hAnsi="仿宋" w:eastAsia="仿宋" w:cs="仿宋"/>
                <w:sz w:val="24"/>
              </w:rPr>
              <w:t>4台</w:t>
            </w:r>
          </w:p>
        </w:tc>
        <w:tc>
          <w:tcPr>
            <w:tcW w:w="698" w:type="pct"/>
            <w:tcBorders>
              <w:top w:val="single" w:color="auto" w:sz="4" w:space="0"/>
              <w:left w:val="single" w:color="auto" w:sz="4" w:space="0"/>
              <w:bottom w:val="single" w:color="auto" w:sz="4" w:space="0"/>
              <w:right w:val="single" w:color="auto" w:sz="4" w:space="0"/>
            </w:tcBorders>
            <w:noWrap/>
            <w:vAlign w:val="center"/>
          </w:tcPr>
          <w:p w14:paraId="51F596FC">
            <w:pPr>
              <w:widowControl/>
              <w:spacing w:line="360" w:lineRule="auto"/>
              <w:jc w:val="center"/>
              <w:textAlignment w:val="center"/>
              <w:rPr>
                <w:rFonts w:hint="eastAsia" w:ascii="仿宋" w:hAnsi="仿宋" w:eastAsia="仿宋" w:cs="仿宋"/>
                <w:sz w:val="24"/>
              </w:rPr>
            </w:pPr>
          </w:p>
        </w:tc>
      </w:tr>
      <w:tr w14:paraId="35C2619C">
        <w:tblPrEx>
          <w:tblCellMar>
            <w:top w:w="0" w:type="dxa"/>
            <w:left w:w="108" w:type="dxa"/>
            <w:bottom w:w="0" w:type="dxa"/>
            <w:right w:w="108" w:type="dxa"/>
          </w:tblCellMar>
        </w:tblPrEx>
        <w:trPr>
          <w:trHeight w:val="1337" w:hRule="atLeast"/>
        </w:trPr>
        <w:tc>
          <w:tcPr>
            <w:tcW w:w="384" w:type="pct"/>
            <w:tcBorders>
              <w:top w:val="nil"/>
              <w:left w:val="single" w:color="000000" w:sz="8" w:space="0"/>
              <w:bottom w:val="single" w:color="000000" w:sz="8" w:space="0"/>
              <w:right w:val="single" w:color="auto" w:sz="4" w:space="0"/>
            </w:tcBorders>
            <w:noWrap/>
            <w:vAlign w:val="center"/>
          </w:tcPr>
          <w:p w14:paraId="354AD784">
            <w:pPr>
              <w:widowControl/>
              <w:spacing w:line="360" w:lineRule="auto"/>
              <w:jc w:val="center"/>
              <w:textAlignment w:val="center"/>
              <w:rPr>
                <w:rFonts w:hint="eastAsia" w:ascii="仿宋" w:hAnsi="仿宋" w:eastAsia="仿宋" w:cs="仿宋"/>
                <w:kern w:val="0"/>
                <w:sz w:val="24"/>
              </w:rPr>
            </w:pPr>
            <w:r>
              <w:rPr>
                <w:rFonts w:hint="eastAsia" w:ascii="仿宋" w:hAnsi="仿宋" w:eastAsia="仿宋" w:cs="仿宋"/>
                <w:kern w:val="0"/>
                <w:sz w:val="24"/>
              </w:rPr>
              <w:t>2</w:t>
            </w:r>
          </w:p>
        </w:tc>
        <w:tc>
          <w:tcPr>
            <w:tcW w:w="775" w:type="pct"/>
            <w:tcBorders>
              <w:top w:val="single" w:color="auto" w:sz="4" w:space="0"/>
              <w:left w:val="single" w:color="auto" w:sz="4" w:space="0"/>
              <w:bottom w:val="single" w:color="auto" w:sz="4" w:space="0"/>
              <w:right w:val="single" w:color="auto" w:sz="4" w:space="0"/>
            </w:tcBorders>
            <w:vAlign w:val="center"/>
          </w:tcPr>
          <w:p w14:paraId="14E66DE8">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lang w:bidi="ar"/>
              </w:rPr>
              <w:t>履带式洗碗机2</w:t>
            </w:r>
          </w:p>
        </w:tc>
        <w:tc>
          <w:tcPr>
            <w:tcW w:w="2261" w:type="pct"/>
            <w:tcBorders>
              <w:top w:val="single" w:color="auto" w:sz="4" w:space="0"/>
              <w:left w:val="single" w:color="auto" w:sz="4" w:space="0"/>
              <w:bottom w:val="single" w:color="auto" w:sz="4" w:space="0"/>
              <w:right w:val="single" w:color="auto" w:sz="4" w:space="0"/>
            </w:tcBorders>
            <w:vAlign w:val="center"/>
          </w:tcPr>
          <w:p w14:paraId="71B8D29D">
            <w:pPr>
              <w:widowControl/>
              <w:spacing w:line="360" w:lineRule="auto"/>
              <w:jc w:val="left"/>
              <w:textAlignment w:val="center"/>
              <w:rPr>
                <w:rFonts w:hint="eastAsia" w:ascii="仿宋" w:hAnsi="仿宋" w:eastAsia="仿宋" w:cs="仿宋"/>
                <w:sz w:val="24"/>
              </w:rPr>
            </w:pPr>
          </w:p>
        </w:tc>
        <w:tc>
          <w:tcPr>
            <w:tcW w:w="504" w:type="pct"/>
            <w:tcBorders>
              <w:top w:val="single" w:color="auto" w:sz="4" w:space="0"/>
              <w:left w:val="single" w:color="auto" w:sz="4" w:space="0"/>
              <w:bottom w:val="single" w:color="auto" w:sz="4" w:space="0"/>
              <w:right w:val="single" w:color="auto" w:sz="4" w:space="0"/>
            </w:tcBorders>
            <w:noWrap/>
            <w:vAlign w:val="center"/>
          </w:tcPr>
          <w:p w14:paraId="124B9634">
            <w:pPr>
              <w:widowControl/>
              <w:spacing w:line="360" w:lineRule="auto"/>
              <w:jc w:val="center"/>
              <w:textAlignment w:val="center"/>
              <w:rPr>
                <w:rFonts w:hint="eastAsia" w:ascii="仿宋" w:hAnsi="仿宋" w:eastAsia="仿宋" w:cs="仿宋"/>
                <w:sz w:val="24"/>
              </w:rPr>
            </w:pPr>
          </w:p>
        </w:tc>
        <w:tc>
          <w:tcPr>
            <w:tcW w:w="375" w:type="pct"/>
            <w:tcBorders>
              <w:top w:val="single" w:color="auto" w:sz="4" w:space="0"/>
              <w:left w:val="single" w:color="auto" w:sz="4" w:space="0"/>
              <w:bottom w:val="single" w:color="auto" w:sz="4" w:space="0"/>
              <w:right w:val="single" w:color="auto" w:sz="4" w:space="0"/>
            </w:tcBorders>
            <w:noWrap/>
            <w:vAlign w:val="center"/>
          </w:tcPr>
          <w:p w14:paraId="7E003D8A">
            <w:pPr>
              <w:widowControl/>
              <w:spacing w:line="360" w:lineRule="auto"/>
              <w:jc w:val="center"/>
              <w:textAlignment w:val="center"/>
              <w:rPr>
                <w:rFonts w:hint="eastAsia" w:ascii="仿宋" w:hAnsi="仿宋" w:eastAsia="仿宋" w:cs="仿宋"/>
                <w:sz w:val="24"/>
              </w:rPr>
            </w:pPr>
            <w:r>
              <w:rPr>
                <w:rFonts w:hint="eastAsia" w:ascii="仿宋" w:hAnsi="仿宋" w:eastAsia="仿宋" w:cs="仿宋"/>
                <w:sz w:val="24"/>
              </w:rPr>
              <w:t>1台</w:t>
            </w:r>
          </w:p>
        </w:tc>
        <w:tc>
          <w:tcPr>
            <w:tcW w:w="698" w:type="pct"/>
            <w:tcBorders>
              <w:top w:val="single" w:color="auto" w:sz="4" w:space="0"/>
              <w:left w:val="single" w:color="auto" w:sz="4" w:space="0"/>
              <w:bottom w:val="single" w:color="auto" w:sz="4" w:space="0"/>
              <w:right w:val="single" w:color="auto" w:sz="4" w:space="0"/>
            </w:tcBorders>
            <w:noWrap/>
            <w:vAlign w:val="center"/>
          </w:tcPr>
          <w:p w14:paraId="75764118">
            <w:pPr>
              <w:widowControl/>
              <w:spacing w:line="360" w:lineRule="auto"/>
              <w:jc w:val="center"/>
              <w:textAlignment w:val="center"/>
              <w:rPr>
                <w:rFonts w:hint="eastAsia" w:ascii="仿宋" w:hAnsi="仿宋" w:eastAsia="仿宋" w:cs="仿宋"/>
                <w:sz w:val="24"/>
              </w:rPr>
            </w:pPr>
          </w:p>
        </w:tc>
      </w:tr>
      <w:tr w14:paraId="287FEB61">
        <w:tblPrEx>
          <w:tblCellMar>
            <w:top w:w="0" w:type="dxa"/>
            <w:left w:w="108" w:type="dxa"/>
            <w:bottom w:w="0" w:type="dxa"/>
            <w:right w:w="108" w:type="dxa"/>
          </w:tblCellMar>
        </w:tblPrEx>
        <w:trPr>
          <w:trHeight w:val="1337" w:hRule="atLeast"/>
        </w:trPr>
        <w:tc>
          <w:tcPr>
            <w:tcW w:w="384" w:type="pct"/>
            <w:tcBorders>
              <w:top w:val="nil"/>
              <w:left w:val="single" w:color="000000" w:sz="8" w:space="0"/>
              <w:bottom w:val="single" w:color="000000" w:sz="8" w:space="0"/>
              <w:right w:val="single" w:color="auto" w:sz="4" w:space="0"/>
            </w:tcBorders>
            <w:noWrap/>
            <w:vAlign w:val="center"/>
          </w:tcPr>
          <w:p w14:paraId="2DB38588">
            <w:pPr>
              <w:widowControl/>
              <w:spacing w:line="360" w:lineRule="auto"/>
              <w:jc w:val="center"/>
              <w:textAlignment w:val="center"/>
              <w:rPr>
                <w:rFonts w:hint="eastAsia" w:ascii="仿宋" w:hAnsi="仿宋" w:eastAsia="仿宋" w:cs="仿宋"/>
                <w:kern w:val="0"/>
                <w:sz w:val="24"/>
              </w:rPr>
            </w:pPr>
            <w:r>
              <w:rPr>
                <w:rFonts w:hint="eastAsia" w:ascii="仿宋" w:hAnsi="仿宋" w:eastAsia="仿宋" w:cs="仿宋"/>
                <w:kern w:val="0"/>
                <w:sz w:val="24"/>
              </w:rPr>
              <w:t>3</w:t>
            </w:r>
          </w:p>
        </w:tc>
        <w:tc>
          <w:tcPr>
            <w:tcW w:w="775" w:type="pct"/>
            <w:tcBorders>
              <w:top w:val="single" w:color="auto" w:sz="4" w:space="0"/>
              <w:left w:val="single" w:color="auto" w:sz="4" w:space="0"/>
              <w:bottom w:val="single" w:color="auto" w:sz="4" w:space="0"/>
              <w:right w:val="single" w:color="auto" w:sz="4" w:space="0"/>
            </w:tcBorders>
            <w:vAlign w:val="center"/>
          </w:tcPr>
          <w:p w14:paraId="12AB088E">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lang w:bidi="ar"/>
              </w:rPr>
              <w:t>罩式洗碗机（蒸汽热回收型）</w:t>
            </w:r>
          </w:p>
        </w:tc>
        <w:tc>
          <w:tcPr>
            <w:tcW w:w="2261" w:type="pct"/>
            <w:tcBorders>
              <w:top w:val="single" w:color="auto" w:sz="4" w:space="0"/>
              <w:left w:val="single" w:color="auto" w:sz="4" w:space="0"/>
              <w:bottom w:val="single" w:color="auto" w:sz="4" w:space="0"/>
              <w:right w:val="single" w:color="auto" w:sz="4" w:space="0"/>
            </w:tcBorders>
            <w:vAlign w:val="center"/>
          </w:tcPr>
          <w:p w14:paraId="677CD41C">
            <w:pPr>
              <w:widowControl/>
              <w:spacing w:line="360" w:lineRule="auto"/>
              <w:jc w:val="left"/>
              <w:textAlignment w:val="center"/>
              <w:rPr>
                <w:rFonts w:hint="eastAsia" w:ascii="仿宋" w:hAnsi="仿宋" w:eastAsia="仿宋" w:cs="仿宋"/>
                <w:sz w:val="24"/>
              </w:rPr>
            </w:pPr>
          </w:p>
        </w:tc>
        <w:tc>
          <w:tcPr>
            <w:tcW w:w="504" w:type="pct"/>
            <w:tcBorders>
              <w:top w:val="single" w:color="auto" w:sz="4" w:space="0"/>
              <w:left w:val="single" w:color="auto" w:sz="4" w:space="0"/>
              <w:bottom w:val="single" w:color="auto" w:sz="4" w:space="0"/>
              <w:right w:val="single" w:color="auto" w:sz="4" w:space="0"/>
            </w:tcBorders>
            <w:noWrap/>
            <w:vAlign w:val="center"/>
          </w:tcPr>
          <w:p w14:paraId="09A5719C">
            <w:pPr>
              <w:widowControl/>
              <w:spacing w:line="360" w:lineRule="auto"/>
              <w:jc w:val="center"/>
              <w:textAlignment w:val="center"/>
              <w:rPr>
                <w:rFonts w:hint="eastAsia" w:ascii="仿宋" w:hAnsi="仿宋" w:eastAsia="仿宋" w:cs="仿宋"/>
                <w:sz w:val="24"/>
              </w:rPr>
            </w:pPr>
          </w:p>
        </w:tc>
        <w:tc>
          <w:tcPr>
            <w:tcW w:w="375" w:type="pct"/>
            <w:tcBorders>
              <w:top w:val="single" w:color="auto" w:sz="4" w:space="0"/>
              <w:left w:val="single" w:color="auto" w:sz="4" w:space="0"/>
              <w:bottom w:val="single" w:color="auto" w:sz="4" w:space="0"/>
              <w:right w:val="single" w:color="auto" w:sz="4" w:space="0"/>
            </w:tcBorders>
            <w:noWrap/>
            <w:vAlign w:val="center"/>
          </w:tcPr>
          <w:p w14:paraId="31C7AAE0">
            <w:pPr>
              <w:widowControl/>
              <w:spacing w:line="360" w:lineRule="auto"/>
              <w:jc w:val="center"/>
              <w:textAlignment w:val="center"/>
              <w:rPr>
                <w:rFonts w:hint="eastAsia" w:ascii="仿宋" w:hAnsi="仿宋" w:eastAsia="仿宋" w:cs="仿宋"/>
                <w:sz w:val="24"/>
              </w:rPr>
            </w:pPr>
            <w:r>
              <w:rPr>
                <w:rFonts w:hint="eastAsia" w:ascii="仿宋" w:hAnsi="仿宋" w:eastAsia="仿宋" w:cs="仿宋"/>
                <w:sz w:val="24"/>
              </w:rPr>
              <w:t>1台</w:t>
            </w:r>
          </w:p>
        </w:tc>
        <w:tc>
          <w:tcPr>
            <w:tcW w:w="698" w:type="pct"/>
            <w:tcBorders>
              <w:top w:val="single" w:color="auto" w:sz="4" w:space="0"/>
              <w:left w:val="single" w:color="auto" w:sz="4" w:space="0"/>
              <w:bottom w:val="single" w:color="auto" w:sz="4" w:space="0"/>
              <w:right w:val="single" w:color="auto" w:sz="4" w:space="0"/>
            </w:tcBorders>
            <w:noWrap/>
            <w:vAlign w:val="center"/>
          </w:tcPr>
          <w:p w14:paraId="271AA5CC">
            <w:pPr>
              <w:widowControl/>
              <w:spacing w:line="360" w:lineRule="auto"/>
              <w:jc w:val="center"/>
              <w:textAlignment w:val="center"/>
              <w:rPr>
                <w:rFonts w:hint="eastAsia" w:ascii="仿宋" w:hAnsi="仿宋" w:eastAsia="仿宋" w:cs="仿宋"/>
                <w:sz w:val="24"/>
              </w:rPr>
            </w:pPr>
          </w:p>
        </w:tc>
      </w:tr>
      <w:tr w14:paraId="76F5A51E">
        <w:tblPrEx>
          <w:tblCellMar>
            <w:top w:w="0" w:type="dxa"/>
            <w:left w:w="108" w:type="dxa"/>
            <w:bottom w:w="0" w:type="dxa"/>
            <w:right w:w="108" w:type="dxa"/>
          </w:tblCellMar>
        </w:tblPrEx>
        <w:trPr>
          <w:trHeight w:val="390" w:hRule="atLeast"/>
        </w:trPr>
        <w:tc>
          <w:tcPr>
            <w:tcW w:w="384" w:type="pct"/>
            <w:tcBorders>
              <w:top w:val="nil"/>
              <w:left w:val="single" w:color="000000" w:sz="8" w:space="0"/>
              <w:bottom w:val="single" w:color="000000" w:sz="8" w:space="0"/>
              <w:right w:val="nil"/>
            </w:tcBorders>
            <w:noWrap/>
            <w:vAlign w:val="center"/>
          </w:tcPr>
          <w:p w14:paraId="25297AAF">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2</w:t>
            </w:r>
          </w:p>
        </w:tc>
        <w:tc>
          <w:tcPr>
            <w:tcW w:w="775" w:type="pct"/>
            <w:tcBorders>
              <w:top w:val="single" w:color="auto" w:sz="4" w:space="0"/>
              <w:left w:val="single" w:color="000000" w:sz="8" w:space="0"/>
              <w:bottom w:val="single" w:color="000000" w:sz="8" w:space="0"/>
              <w:right w:val="single" w:color="000000" w:sz="4" w:space="0"/>
            </w:tcBorders>
            <w:noWrap/>
            <w:vAlign w:val="center"/>
          </w:tcPr>
          <w:p w14:paraId="2A1499BF">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含税合计</w:t>
            </w:r>
          </w:p>
        </w:tc>
        <w:tc>
          <w:tcPr>
            <w:tcW w:w="3142" w:type="pct"/>
            <w:gridSpan w:val="3"/>
            <w:tcBorders>
              <w:top w:val="single" w:color="auto" w:sz="4" w:space="0"/>
              <w:left w:val="nil"/>
              <w:bottom w:val="single" w:color="000000" w:sz="8" w:space="0"/>
              <w:right w:val="single" w:color="000000" w:sz="8" w:space="0"/>
            </w:tcBorders>
            <w:noWrap/>
            <w:vAlign w:val="center"/>
          </w:tcPr>
          <w:p w14:paraId="4C06324E">
            <w:pPr>
              <w:widowControl/>
              <w:spacing w:line="360" w:lineRule="auto"/>
              <w:jc w:val="center"/>
              <w:textAlignment w:val="center"/>
              <w:rPr>
                <w:rFonts w:hint="eastAsia" w:ascii="仿宋" w:hAnsi="仿宋" w:eastAsia="仿宋" w:cs="仿宋"/>
                <w:sz w:val="24"/>
              </w:rPr>
            </w:pPr>
            <w:r>
              <w:rPr>
                <w:rFonts w:hint="eastAsia" w:ascii="仿宋" w:hAnsi="仿宋" w:eastAsia="仿宋" w:cs="仿宋"/>
                <w:kern w:val="0"/>
                <w:sz w:val="24"/>
              </w:rPr>
              <w:t>大写：</w:t>
            </w:r>
          </w:p>
        </w:tc>
        <w:tc>
          <w:tcPr>
            <w:tcW w:w="698" w:type="pct"/>
            <w:tcBorders>
              <w:top w:val="single" w:color="auto" w:sz="4" w:space="0"/>
              <w:left w:val="nil"/>
              <w:bottom w:val="single" w:color="000000" w:sz="8" w:space="0"/>
              <w:right w:val="single" w:color="000000" w:sz="8" w:space="0"/>
            </w:tcBorders>
            <w:noWrap/>
            <w:vAlign w:val="center"/>
          </w:tcPr>
          <w:p w14:paraId="3E985117">
            <w:pPr>
              <w:widowControl/>
              <w:spacing w:line="360" w:lineRule="auto"/>
              <w:jc w:val="center"/>
              <w:textAlignment w:val="center"/>
              <w:rPr>
                <w:rFonts w:hint="eastAsia" w:ascii="仿宋" w:hAnsi="仿宋" w:eastAsia="仿宋" w:cs="仿宋"/>
                <w:sz w:val="24"/>
              </w:rPr>
            </w:pPr>
          </w:p>
        </w:tc>
      </w:tr>
    </w:tbl>
    <w:p w14:paraId="565E6D49">
      <w:pPr>
        <w:spacing w:line="360" w:lineRule="auto"/>
        <w:ind w:firstLine="480" w:firstLineChars="200"/>
        <w:rPr>
          <w:rFonts w:hint="eastAsia" w:ascii="仿宋" w:hAnsi="仿宋" w:eastAsia="仿宋" w:cs="仿宋"/>
          <w:sz w:val="24"/>
        </w:rPr>
      </w:pPr>
      <w:r>
        <w:rPr>
          <w:rFonts w:hint="eastAsia" w:ascii="仿宋" w:hAnsi="仿宋" w:eastAsia="仿宋" w:cs="仿宋"/>
          <w:sz w:val="24"/>
        </w:rPr>
        <w:t>产品技术参数：详见附件一。</w:t>
      </w:r>
    </w:p>
    <w:p w14:paraId="62471344">
      <w:p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二、交货安装地点和方式：</w:t>
      </w:r>
    </w:p>
    <w:p w14:paraId="6CAEEC68">
      <w:pPr>
        <w:spacing w:line="360" w:lineRule="auto"/>
        <w:ind w:firstLine="480" w:firstLineChars="200"/>
        <w:rPr>
          <w:rFonts w:hint="eastAsia" w:ascii="仿宋" w:hAnsi="仿宋" w:eastAsia="仿宋" w:cs="仿宋"/>
          <w:sz w:val="24"/>
        </w:rPr>
      </w:pPr>
      <w:r>
        <w:rPr>
          <w:rFonts w:hint="eastAsia" w:ascii="仿宋" w:hAnsi="仿宋" w:eastAsia="仿宋" w:cs="仿宋"/>
          <w:sz w:val="24"/>
        </w:rPr>
        <w:t>（一）交货安装地点：西安市机关事务服务中心指定地点。</w:t>
      </w:r>
    </w:p>
    <w:p w14:paraId="475B52FE">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（二）交货安装期限：合同签订后，30个工作日内完成交货及调试。</w:t>
      </w:r>
    </w:p>
    <w:p w14:paraId="73B42A8F">
      <w:pPr>
        <w:tabs>
          <w:tab w:val="left" w:pos="480"/>
        </w:tabs>
        <w:spacing w:line="360" w:lineRule="auto"/>
        <w:ind w:firstLine="402" w:firstLineChars="200"/>
        <w:rPr>
          <w:rFonts w:hint="eastAsia" w:ascii="仿宋" w:hAnsi="仿宋" w:eastAsia="仿宋" w:cs="仿宋"/>
          <w:b/>
          <w:spacing w:val="-20"/>
          <w:kern w:val="0"/>
          <w:sz w:val="24"/>
        </w:rPr>
      </w:pPr>
      <w:r>
        <w:rPr>
          <w:rFonts w:hint="eastAsia" w:ascii="仿宋" w:hAnsi="仿宋" w:eastAsia="仿宋" w:cs="仿宋"/>
          <w:b/>
          <w:spacing w:val="-20"/>
          <w:kern w:val="0"/>
          <w:sz w:val="24"/>
        </w:rPr>
        <w:t>三、货物服务内容</w:t>
      </w:r>
    </w:p>
    <w:p w14:paraId="252F647C">
      <w:pPr>
        <w:pStyle w:val="3"/>
        <w:spacing w:line="360" w:lineRule="auto"/>
        <w:ind w:firstLine="514" w:firstLineChars="200"/>
        <w:rPr>
          <w:rFonts w:hint="eastAsia" w:ascii="仿宋" w:hAnsi="仿宋" w:eastAsia="仿宋" w:cs="仿宋"/>
          <w:spacing w:val="8"/>
          <w:sz w:val="24"/>
        </w:rPr>
      </w:pPr>
      <w:r>
        <w:rPr>
          <w:rFonts w:hint="eastAsia" w:ascii="仿宋" w:hAnsi="仿宋" w:eastAsia="仿宋" w:cs="仿宋"/>
          <w:spacing w:val="8"/>
          <w:sz w:val="24"/>
        </w:rPr>
        <w:t>提供该货物的技术培训、技术支持和维修巡检服务，服务内容包括安装培训、安装服务、试运行指导服务；根据客户要求进行设备安装，安装完毕后提供详细的中文技术文档，同时提供跟产培训。</w:t>
      </w:r>
    </w:p>
    <w:p w14:paraId="49FA1975">
      <w:p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三、合同价款</w:t>
      </w:r>
    </w:p>
    <w:p w14:paraId="7AAF1442">
      <w:pPr>
        <w:spacing w:line="360" w:lineRule="auto"/>
        <w:ind w:firstLine="480" w:firstLineChars="200"/>
        <w:rPr>
          <w:rFonts w:hint="eastAsia" w:ascii="仿宋" w:hAnsi="仿宋" w:eastAsia="仿宋" w:cs="仿宋"/>
          <w:sz w:val="24"/>
        </w:rPr>
      </w:pPr>
      <w:r>
        <w:rPr>
          <w:rFonts w:hint="eastAsia" w:ascii="仿宋" w:hAnsi="仿宋" w:eastAsia="仿宋" w:cs="仿宋"/>
          <w:sz w:val="24"/>
        </w:rPr>
        <w:t>（一）合同总价款为人民币（大写）xx元整；¥</w:t>
      </w:r>
      <w:r>
        <w:rPr>
          <w:rFonts w:hint="eastAsia" w:ascii="仿宋" w:hAnsi="仿宋" w:eastAsia="仿宋" w:cs="仿宋"/>
          <w:sz w:val="24"/>
          <w:u w:val="single"/>
        </w:rPr>
        <w:t>xx</w:t>
      </w:r>
      <w:r>
        <w:rPr>
          <w:rFonts w:hint="eastAsia" w:ascii="仿宋" w:hAnsi="仿宋" w:eastAsia="仿宋" w:cs="仿宋"/>
          <w:sz w:val="24"/>
        </w:rPr>
        <w:t>元。</w:t>
      </w:r>
    </w:p>
    <w:p w14:paraId="0EEC4E42">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（二）合同总价包括但不限于：设备费、运输费、人工费、安装费、检测费及其他伴随费用、税费等完成本项目所需的一切费用。</w:t>
      </w:r>
    </w:p>
    <w:p w14:paraId="1CA5A81C">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（三）合同总价一次性包死，不受市场价格变化因素的影响。</w:t>
      </w:r>
    </w:p>
    <w:p w14:paraId="649F3DA5">
      <w:p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四、款项结算</w:t>
      </w:r>
    </w:p>
    <w:p w14:paraId="7C2FABEA">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（一）结算比例;一次性付款。</w:t>
      </w:r>
    </w:p>
    <w:p w14:paraId="1D7EE8E0">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（二）支付方式：银行转账。</w:t>
      </w:r>
    </w:p>
    <w:p w14:paraId="04F30F4A">
      <w:pPr>
        <w:spacing w:line="360" w:lineRule="auto"/>
        <w:ind w:firstLine="960" w:firstLineChars="400"/>
        <w:rPr>
          <w:rFonts w:hint="eastAsia" w:ascii="仿宋" w:hAnsi="仿宋" w:eastAsia="仿宋" w:cs="仿宋"/>
          <w:sz w:val="24"/>
        </w:rPr>
      </w:pPr>
      <w:r>
        <w:rPr>
          <w:rFonts w:hint="eastAsia" w:ascii="仿宋" w:hAnsi="仿宋" w:eastAsia="仿宋" w:cs="仿宋"/>
          <w:sz w:val="24"/>
        </w:rPr>
        <w:t>乙方信息如下：</w:t>
      </w:r>
    </w:p>
    <w:p w14:paraId="0FA57A1C">
      <w:pPr>
        <w:pStyle w:val="2"/>
        <w:spacing w:line="360" w:lineRule="auto"/>
        <w:ind w:firstLine="960" w:firstLineChars="400"/>
        <w:rPr>
          <w:rFonts w:hint="eastAsia" w:ascii="仿宋" w:hAnsi="仿宋" w:eastAsia="仿宋" w:cs="仿宋"/>
          <w:sz w:val="24"/>
        </w:rPr>
      </w:pPr>
      <w:r>
        <w:rPr>
          <w:rFonts w:hint="eastAsia" w:ascii="仿宋" w:hAnsi="仿宋" w:eastAsia="仿宋" w:cs="仿宋"/>
          <w:sz w:val="24"/>
        </w:rPr>
        <w:t>开户行：</w:t>
      </w:r>
    </w:p>
    <w:p w14:paraId="5597ABB8">
      <w:pPr>
        <w:spacing w:line="360" w:lineRule="auto"/>
        <w:ind w:firstLine="960" w:firstLineChars="400"/>
        <w:rPr>
          <w:rFonts w:hint="eastAsia" w:ascii="仿宋" w:hAnsi="仿宋" w:eastAsia="仿宋" w:cs="仿宋"/>
          <w:sz w:val="24"/>
        </w:rPr>
      </w:pPr>
      <w:r>
        <w:rPr>
          <w:rFonts w:hint="eastAsia" w:ascii="仿宋" w:hAnsi="仿宋" w:eastAsia="仿宋" w:cs="仿宋"/>
          <w:sz w:val="24"/>
        </w:rPr>
        <w:t>户名：</w:t>
      </w:r>
    </w:p>
    <w:p w14:paraId="2321CFBF">
      <w:pPr>
        <w:pStyle w:val="2"/>
        <w:spacing w:line="360" w:lineRule="auto"/>
        <w:ind w:firstLine="960" w:firstLineChars="400"/>
        <w:rPr>
          <w:rFonts w:hint="eastAsia" w:ascii="仿宋" w:hAnsi="仿宋" w:eastAsia="仿宋" w:cs="仿宋"/>
          <w:sz w:val="24"/>
        </w:rPr>
      </w:pPr>
      <w:r>
        <w:rPr>
          <w:rFonts w:hint="eastAsia" w:ascii="仿宋" w:hAnsi="仿宋" w:eastAsia="仿宋" w:cs="仿宋"/>
          <w:sz w:val="24"/>
        </w:rPr>
        <w:t>账号：</w:t>
      </w:r>
    </w:p>
    <w:p w14:paraId="25D78369">
      <w:pPr>
        <w:spacing w:line="360" w:lineRule="auto"/>
        <w:ind w:firstLine="960" w:firstLineChars="400"/>
        <w:rPr>
          <w:rFonts w:hint="eastAsia" w:ascii="仿宋" w:hAnsi="仿宋" w:eastAsia="仿宋" w:cs="仿宋"/>
          <w:sz w:val="24"/>
        </w:rPr>
      </w:pPr>
      <w:r>
        <w:rPr>
          <w:rFonts w:hint="eastAsia" w:ascii="仿宋" w:hAnsi="仿宋" w:eastAsia="仿宋" w:cs="仿宋"/>
          <w:sz w:val="24"/>
        </w:rPr>
        <w:t>纳税人识别号：</w:t>
      </w:r>
    </w:p>
    <w:p w14:paraId="17C70B21">
      <w:pPr>
        <w:spacing w:line="360" w:lineRule="auto"/>
        <w:ind w:firstLine="960" w:firstLineChars="400"/>
        <w:rPr>
          <w:rFonts w:hint="eastAsia" w:ascii="仿宋" w:hAnsi="仿宋" w:eastAsia="仿宋" w:cs="仿宋"/>
          <w:sz w:val="24"/>
        </w:rPr>
      </w:pPr>
      <w:r>
        <w:rPr>
          <w:rFonts w:hint="eastAsia" w:ascii="仿宋" w:hAnsi="仿宋" w:eastAsia="仿宋" w:cs="仿宋"/>
          <w:sz w:val="24"/>
        </w:rPr>
        <w:t>地址：</w:t>
      </w:r>
    </w:p>
    <w:p w14:paraId="6CE6874B">
      <w:pPr>
        <w:spacing w:line="360" w:lineRule="auto"/>
        <w:ind w:firstLine="480" w:firstLineChars="200"/>
        <w:rPr>
          <w:rFonts w:hint="eastAsia" w:ascii="仿宋" w:hAnsi="仿宋" w:eastAsia="仿宋" w:cs="仿宋"/>
          <w:sz w:val="24"/>
        </w:rPr>
      </w:pPr>
      <w:r>
        <w:rPr>
          <w:rFonts w:hint="eastAsia" w:ascii="仿宋" w:hAnsi="仿宋" w:eastAsia="仿宋" w:cs="仿宋"/>
          <w:sz w:val="24"/>
        </w:rPr>
        <w:t>（三）结算方式：自最终验收合格之日起，达到付款条件起30个工作日内，支付合同总金额的100.0%</w:t>
      </w:r>
    </w:p>
    <w:p w14:paraId="48571053">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（四）付款方式：银行转账，甲方付款前，乙方应先向甲方提供等额发票及付款申请，否则甲方有权暂不付款，乙方仍应履行合同义务。</w:t>
      </w:r>
    </w:p>
    <w:p w14:paraId="745C8FA7">
      <w:pPr>
        <w:spacing w:line="360" w:lineRule="auto"/>
        <w:ind w:firstLine="402" w:firstLineChars="200"/>
        <w:rPr>
          <w:rFonts w:hint="eastAsia" w:ascii="仿宋" w:hAnsi="仿宋" w:eastAsia="仿宋" w:cs="仿宋"/>
          <w:b/>
          <w:spacing w:val="-20"/>
          <w:kern w:val="0"/>
          <w:sz w:val="24"/>
        </w:rPr>
      </w:pPr>
      <w:r>
        <w:rPr>
          <w:rFonts w:hint="eastAsia" w:ascii="仿宋" w:hAnsi="仿宋" w:eastAsia="仿宋" w:cs="仿宋"/>
          <w:b/>
          <w:spacing w:val="-20"/>
          <w:kern w:val="0"/>
          <w:sz w:val="24"/>
        </w:rPr>
        <w:t>五、双方的权利和义务</w:t>
      </w:r>
    </w:p>
    <w:p w14:paraId="2F3674A1">
      <w:pPr>
        <w:spacing w:line="360" w:lineRule="auto"/>
        <w:ind w:firstLine="480" w:firstLineChars="200"/>
        <w:rPr>
          <w:rFonts w:hint="eastAsia" w:ascii="仿宋" w:hAnsi="仿宋" w:eastAsia="仿宋" w:cs="仿宋"/>
          <w:sz w:val="24"/>
        </w:rPr>
      </w:pPr>
      <w:r>
        <w:rPr>
          <w:rFonts w:hint="eastAsia" w:ascii="仿宋" w:hAnsi="仿宋" w:eastAsia="仿宋" w:cs="仿宋"/>
          <w:sz w:val="24"/>
        </w:rPr>
        <w:t>（一）甲方的权利和义务</w:t>
      </w:r>
    </w:p>
    <w:p w14:paraId="1C55706B">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1、负责检查监督乙方的实施及制度的执行情况。</w:t>
      </w:r>
    </w:p>
    <w:p w14:paraId="447BF0DB">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2、根据本合同规定，按时向乙方支付应付服务费用。</w:t>
      </w:r>
    </w:p>
    <w:p w14:paraId="5AF918CC">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3、国家法律、法规所规定由甲方承担的其它责任。</w:t>
      </w:r>
    </w:p>
    <w:p w14:paraId="58FE613B">
      <w:pPr>
        <w:numPr>
          <w:ilvl w:val="0"/>
          <w:numId w:val="2"/>
        </w:numPr>
        <w:spacing w:line="360" w:lineRule="auto"/>
        <w:ind w:firstLine="480" w:firstLineChars="200"/>
        <w:rPr>
          <w:rFonts w:hint="eastAsia" w:ascii="仿宋" w:hAnsi="仿宋" w:eastAsia="仿宋" w:cs="仿宋"/>
          <w:sz w:val="24"/>
        </w:rPr>
      </w:pPr>
      <w:r>
        <w:rPr>
          <w:rFonts w:hint="eastAsia" w:ascii="仿宋" w:hAnsi="仿宋" w:eastAsia="仿宋" w:cs="仿宋"/>
          <w:sz w:val="24"/>
        </w:rPr>
        <w:t>乙方的权利和义务</w:t>
      </w:r>
    </w:p>
    <w:p w14:paraId="62EEA477">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1、根据本合同的规定向甲方收取合同价款。</w:t>
      </w:r>
    </w:p>
    <w:p w14:paraId="684769D5">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2、5日内向甲方通告本项目服务范围内有关服务的重大事项，配合处理投诉。</w:t>
      </w:r>
    </w:p>
    <w:p w14:paraId="7F98827B">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3、乙方应按照合同约定的交货时间完成项目安装交付，并经甲方验收合格。</w:t>
      </w:r>
    </w:p>
    <w:p w14:paraId="4E3CB88E">
      <w:pPr>
        <w:numPr>
          <w:ilvl w:val="0"/>
          <w:numId w:val="3"/>
        </w:num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质量保证</w:t>
      </w:r>
    </w:p>
    <w:p w14:paraId="18C13B5A">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1、质保期：自最终验收合格之日起整体质保期2年。</w:t>
      </w:r>
    </w:p>
    <w:p w14:paraId="31825E52">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2、质保期内系统出现故障时，乙方须提供7×24小时服务响应；并在接到采购人通知后2小时内响应，4小时内到达现场实施维修。24小时仍未排除故障、恢复正常运转的，由乙方提供同类型备品、备件等。</w:t>
      </w:r>
    </w:p>
    <w:p w14:paraId="341F2FA6">
      <w:pPr>
        <w:spacing w:line="360" w:lineRule="auto"/>
        <w:ind w:firstLine="402" w:firstLineChars="200"/>
        <w:rPr>
          <w:rFonts w:hint="eastAsia" w:ascii="仿宋" w:hAnsi="仿宋" w:eastAsia="仿宋" w:cs="仿宋"/>
          <w:b/>
          <w:spacing w:val="-20"/>
          <w:kern w:val="0"/>
          <w:sz w:val="24"/>
        </w:rPr>
      </w:pPr>
      <w:r>
        <w:rPr>
          <w:rFonts w:hint="eastAsia" w:ascii="仿宋" w:hAnsi="仿宋" w:eastAsia="仿宋" w:cs="仿宋"/>
          <w:b/>
          <w:spacing w:val="-20"/>
          <w:kern w:val="0"/>
          <w:sz w:val="24"/>
        </w:rPr>
        <w:t>七、质量验收标准或规范</w:t>
      </w:r>
    </w:p>
    <w:p w14:paraId="06D6328F">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（一）乙方</w:t>
      </w:r>
      <w:r>
        <w:rPr>
          <w:rFonts w:hint="eastAsia" w:ascii="仿宋" w:hAnsi="仿宋" w:eastAsia="仿宋" w:cs="仿宋"/>
          <w:kern w:val="0"/>
          <w:sz w:val="24"/>
        </w:rPr>
        <w:t>部署安装完成并自检合格后邀请甲方进行验收。甲方确认乙方的自检内容后，组织乙方（必要时请有关专家，由此产生的专家费由乙方承担）进行验收，验收合格后，项目验收单作为对服务的最终认可。</w:t>
      </w:r>
    </w:p>
    <w:p w14:paraId="39353B98">
      <w:pPr>
        <w:spacing w:line="360" w:lineRule="auto"/>
        <w:ind w:firstLine="480" w:firstLineChars="200"/>
        <w:rPr>
          <w:rFonts w:hint="eastAsia" w:ascii="仿宋" w:hAnsi="仿宋" w:eastAsia="仿宋" w:cs="仿宋"/>
          <w:b/>
          <w:sz w:val="24"/>
        </w:rPr>
      </w:pPr>
      <w:r>
        <w:rPr>
          <w:rFonts w:hint="eastAsia" w:ascii="仿宋" w:hAnsi="仿宋" w:eastAsia="仿宋" w:cs="仿宋"/>
          <w:sz w:val="24"/>
        </w:rPr>
        <w:t>（二）验收依据：</w:t>
      </w:r>
    </w:p>
    <w:p w14:paraId="6C3D24C5">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1、本合同及附件文本；</w:t>
      </w:r>
    </w:p>
    <w:p w14:paraId="63E9F12E">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2、合同签订时国家及行业现行的标准和技术规范。</w:t>
      </w:r>
    </w:p>
    <w:p w14:paraId="5A469ADF">
      <w:pPr>
        <w:pStyle w:val="3"/>
        <w:spacing w:line="360" w:lineRule="auto"/>
        <w:ind w:firstLine="472" w:firstLineChars="196"/>
        <w:rPr>
          <w:rFonts w:hint="eastAsia" w:ascii="仿宋" w:hAnsi="仿宋" w:eastAsia="仿宋" w:cs="仿宋"/>
          <w:sz w:val="24"/>
        </w:rPr>
      </w:pPr>
      <w:r>
        <w:rPr>
          <w:rFonts w:hint="eastAsia" w:ascii="仿宋" w:hAnsi="仿宋" w:eastAsia="仿宋" w:cs="仿宋"/>
          <w:sz w:val="24"/>
        </w:rPr>
        <w:t xml:space="preserve">2.1.乙方须保证所提供的产品质量可靠，进货渠道正常，配置合理，技术性能完全满足文件要求； </w:t>
      </w:r>
    </w:p>
    <w:p w14:paraId="17505636">
      <w:pPr>
        <w:pStyle w:val="3"/>
        <w:spacing w:line="360" w:lineRule="auto"/>
        <w:ind w:firstLine="472" w:firstLineChars="196"/>
        <w:rPr>
          <w:rFonts w:hint="eastAsia" w:ascii="仿宋" w:hAnsi="仿宋" w:eastAsia="仿宋" w:cs="仿宋"/>
          <w:sz w:val="24"/>
        </w:rPr>
      </w:pPr>
      <w:r>
        <w:rPr>
          <w:rFonts w:hint="eastAsia" w:ascii="仿宋" w:hAnsi="仿宋" w:eastAsia="仿宋" w:cs="仿宋"/>
          <w:sz w:val="24"/>
        </w:rPr>
        <w:t>2.2.若产品有质量问题，由乙方负责解决并承担费用，且不得延期。（产品质量应符合国标标准和本合同附件的要求）</w:t>
      </w:r>
    </w:p>
    <w:p w14:paraId="2618E027">
      <w:pPr>
        <w:pStyle w:val="3"/>
        <w:spacing w:line="360" w:lineRule="auto"/>
        <w:ind w:firstLine="472" w:firstLineChars="196"/>
        <w:rPr>
          <w:rFonts w:hint="eastAsia" w:ascii="仿宋" w:hAnsi="仿宋" w:eastAsia="仿宋" w:cs="仿宋"/>
          <w:sz w:val="24"/>
        </w:rPr>
      </w:pPr>
      <w:r>
        <w:rPr>
          <w:rFonts w:hint="eastAsia" w:ascii="仿宋" w:hAnsi="仿宋" w:eastAsia="仿宋" w:cs="仿宋"/>
          <w:sz w:val="24"/>
        </w:rPr>
        <w:t>2.3.按《中华人民共和国民法典》中的相关条款执行。</w:t>
      </w:r>
    </w:p>
    <w:p w14:paraId="3D1506C7">
      <w:pPr>
        <w:pStyle w:val="3"/>
        <w:spacing w:line="360" w:lineRule="auto"/>
        <w:ind w:firstLine="472" w:firstLineChars="196"/>
        <w:rPr>
          <w:rFonts w:hint="eastAsia" w:ascii="仿宋" w:hAnsi="仿宋" w:eastAsia="仿宋" w:cs="仿宋"/>
          <w:sz w:val="24"/>
        </w:rPr>
      </w:pPr>
      <w:r>
        <w:rPr>
          <w:rFonts w:hint="eastAsia" w:ascii="仿宋" w:hAnsi="仿宋" w:eastAsia="仿宋" w:cs="仿宋"/>
          <w:sz w:val="24"/>
        </w:rPr>
        <w:t>3、验收时间</w:t>
      </w:r>
    </w:p>
    <w:p w14:paraId="314193AC">
      <w:pPr>
        <w:pStyle w:val="3"/>
        <w:spacing w:line="360" w:lineRule="auto"/>
        <w:ind w:firstLine="472" w:firstLineChars="196"/>
        <w:rPr>
          <w:rFonts w:hint="eastAsia" w:ascii="仿宋" w:hAnsi="仿宋" w:eastAsia="仿宋" w:cs="仿宋"/>
          <w:sz w:val="24"/>
        </w:rPr>
      </w:pPr>
      <w:r>
        <w:rPr>
          <w:rFonts w:hint="eastAsia" w:ascii="仿宋" w:hAnsi="仿宋" w:eastAsia="仿宋" w:cs="仿宋"/>
          <w:sz w:val="24"/>
        </w:rPr>
        <w:t>3.1在本项目实施部署完成后，乙方提供验收书面申请，甲方在接到通知后的10日内需要组织验收并办理相关手续。</w:t>
      </w:r>
    </w:p>
    <w:p w14:paraId="4F557339">
      <w:pPr>
        <w:pStyle w:val="3"/>
        <w:spacing w:line="360" w:lineRule="auto"/>
        <w:ind w:firstLine="472" w:firstLineChars="196"/>
        <w:rPr>
          <w:rFonts w:hint="eastAsia" w:ascii="仿宋" w:hAnsi="仿宋" w:eastAsia="仿宋" w:cs="仿宋"/>
          <w:sz w:val="24"/>
        </w:rPr>
      </w:pPr>
      <w:r>
        <w:rPr>
          <w:rFonts w:hint="eastAsia" w:ascii="仿宋" w:hAnsi="仿宋" w:eastAsia="仿宋" w:cs="仿宋"/>
          <w:sz w:val="24"/>
        </w:rPr>
        <w:t>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w:t>
      </w:r>
    </w:p>
    <w:p w14:paraId="517DDB82">
      <w:pPr>
        <w:spacing w:line="360" w:lineRule="auto"/>
        <w:ind w:firstLine="470" w:firstLineChars="196"/>
        <w:rPr>
          <w:rFonts w:hint="eastAsia" w:ascii="仿宋" w:hAnsi="仿宋" w:eastAsia="仿宋" w:cs="仿宋"/>
          <w:sz w:val="24"/>
        </w:rPr>
      </w:pPr>
      <w:r>
        <w:rPr>
          <w:rFonts w:hint="eastAsia" w:ascii="仿宋" w:hAnsi="仿宋" w:eastAsia="仿宋" w:cs="仿宋"/>
          <w:sz w:val="24"/>
        </w:rPr>
        <w:t>3.3甲方出具加盖甲方公章的验收合格证书视为验收合格</w:t>
      </w:r>
    </w:p>
    <w:p w14:paraId="4CE0E090">
      <w:pPr>
        <w:spacing w:line="360" w:lineRule="auto"/>
        <w:ind w:firstLine="480" w:firstLineChars="200"/>
        <w:rPr>
          <w:rFonts w:hint="eastAsia" w:ascii="仿宋" w:hAnsi="仿宋" w:eastAsia="仿宋" w:cs="仿宋"/>
          <w:sz w:val="24"/>
        </w:rPr>
      </w:pPr>
      <w:r>
        <w:rPr>
          <w:rFonts w:hint="eastAsia" w:ascii="仿宋" w:hAnsi="仿宋" w:eastAsia="仿宋" w:cs="仿宋"/>
          <w:sz w:val="24"/>
        </w:rPr>
        <w:t>（三）乙方向甲方提交服务实施过程中的所有资料。以便甲方日后管理和维护。</w:t>
      </w:r>
    </w:p>
    <w:p w14:paraId="566CA5F7">
      <w:p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八、违约责任</w:t>
      </w:r>
    </w:p>
    <w:p w14:paraId="7D5D8A60">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（一）按《中华人民共和国民法典》中的相关条款执行。</w:t>
      </w:r>
    </w:p>
    <w:p w14:paraId="3873A2CF">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未按合同要求提供服务或服务质量不能满足合同要求，甲方有权依据《中华人民共和国民法典》有关条款及合同约定解除合同，合同自甲方书面解除通知到达乙方时解除，此外，乙方还应退还甲方已支付的全部合同价款，并承担合同总价款30%的违约金。</w:t>
      </w:r>
    </w:p>
    <w:p w14:paraId="39C1E9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（三）在本合同履行过程中，双方因违约或造成对方经济、社会效益等损失的应当赔偿。</w:t>
      </w:r>
    </w:p>
    <w:p w14:paraId="2D1A2E60">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（四）乙方提供的服务不符合本项目相关文件和本合同规定的，甲方有权拒绝接受服务且拒绝付款，并不承担逾期付款的违约责任，并且乙方须向甲方支付本合同总价款30%的违约金。</w:t>
      </w:r>
    </w:p>
    <w:p w14:paraId="25F46D71">
      <w:pPr>
        <w:spacing w:line="360" w:lineRule="auto"/>
        <w:ind w:firstLine="480" w:firstLineChars="200"/>
        <w:rPr>
          <w:rFonts w:hint="eastAsia" w:ascii="仿宋" w:hAnsi="仿宋" w:eastAsia="仿宋" w:cs="仿宋"/>
          <w:sz w:val="24"/>
        </w:rPr>
      </w:pPr>
      <w:r>
        <w:rPr>
          <w:rFonts w:hint="eastAsia" w:ascii="仿宋" w:hAnsi="仿宋" w:eastAsia="仿宋" w:cs="仿宋"/>
          <w:sz w:val="24"/>
        </w:rPr>
        <w:t>（五）乙方未能按照本合同约定时间提供服务或完成约定的项目服务内容的，从逾期之日起每日按本合同总价款</w:t>
      </w:r>
      <w:r>
        <w:rPr>
          <w:rFonts w:hint="eastAsia" w:ascii="仿宋" w:hAnsi="仿宋" w:eastAsia="仿宋" w:cs="仿宋"/>
          <w:sz w:val="24"/>
          <w:u w:val="single"/>
        </w:rPr>
        <w:t>1%</w:t>
      </w:r>
      <w:r>
        <w:rPr>
          <w:rFonts w:hint="eastAsia" w:ascii="仿宋" w:hAnsi="仿宋" w:eastAsia="仿宋" w:cs="仿宋"/>
          <w:sz w:val="24"/>
        </w:rPr>
        <w:t>的数额向甲方支付违约金；逾期</w:t>
      </w:r>
      <w:r>
        <w:rPr>
          <w:rFonts w:hint="eastAsia" w:ascii="仿宋" w:hAnsi="仿宋" w:eastAsia="仿宋" w:cs="仿宋"/>
          <w:sz w:val="24"/>
          <w:u w:val="single"/>
        </w:rPr>
        <w:t>60</w:t>
      </w:r>
      <w:r>
        <w:rPr>
          <w:rFonts w:hint="eastAsia" w:ascii="仿宋" w:hAnsi="仿宋" w:eastAsia="仿宋" w:cs="仿宋"/>
          <w:sz w:val="24"/>
        </w:rPr>
        <w:t>日以上的，甲方有权单方解除本合同，合同自甲方书面解除通知到达乙方时解除，此外，乙方还应退还甲方已支付的全部合同价款，并承担合同总价款</w:t>
      </w:r>
      <w:r>
        <w:rPr>
          <w:rFonts w:hint="eastAsia" w:ascii="仿宋" w:hAnsi="仿宋" w:eastAsia="仿宋" w:cs="仿宋"/>
          <w:sz w:val="24"/>
          <w:u w:val="single"/>
        </w:rPr>
        <w:t>30%</w:t>
      </w:r>
      <w:r>
        <w:rPr>
          <w:rFonts w:hint="eastAsia" w:ascii="仿宋" w:hAnsi="仿宋" w:eastAsia="仿宋" w:cs="仿宋"/>
          <w:sz w:val="24"/>
        </w:rPr>
        <w:t>的违约金，若违约金不足以弥补甲方损失的，乙方还应就甲方的损失另行全部赔偿。</w:t>
      </w:r>
    </w:p>
    <w:p w14:paraId="25C5BA1A">
      <w:pPr>
        <w:spacing w:line="360" w:lineRule="auto"/>
        <w:ind w:firstLine="480" w:firstLineChars="200"/>
        <w:rPr>
          <w:rFonts w:hint="eastAsia" w:ascii="仿宋" w:hAnsi="仿宋" w:eastAsia="仿宋" w:cs="仿宋"/>
          <w:sz w:val="24"/>
        </w:rPr>
      </w:pPr>
      <w:r>
        <w:rPr>
          <w:rFonts w:hint="eastAsia" w:ascii="仿宋" w:hAnsi="仿宋" w:eastAsia="仿宋" w:cs="仿宋"/>
          <w:sz w:val="24"/>
        </w:rPr>
        <w:t>（六）未经甲方同意，乙方不得擅自将本合同服务转包或分包第三方承担。</w:t>
      </w:r>
    </w:p>
    <w:p w14:paraId="6099A6DF">
      <w:pPr>
        <w:tabs>
          <w:tab w:val="left" w:pos="480"/>
        </w:tabs>
        <w:spacing w:line="360" w:lineRule="auto"/>
        <w:ind w:firstLine="402" w:firstLineChars="200"/>
        <w:rPr>
          <w:rFonts w:hint="eastAsia" w:ascii="仿宋" w:hAnsi="仿宋" w:eastAsia="仿宋" w:cs="仿宋"/>
          <w:b/>
          <w:spacing w:val="-20"/>
          <w:kern w:val="0"/>
          <w:sz w:val="24"/>
        </w:rPr>
      </w:pPr>
      <w:r>
        <w:rPr>
          <w:rFonts w:hint="eastAsia" w:ascii="仿宋" w:hAnsi="仿宋" w:eastAsia="仿宋" w:cs="仿宋"/>
          <w:b/>
          <w:spacing w:val="-20"/>
          <w:kern w:val="0"/>
          <w:sz w:val="24"/>
        </w:rPr>
        <w:t>九、争议解决</w:t>
      </w:r>
    </w:p>
    <w:p w14:paraId="54575896">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（一）本合同在履行过程中发生的争议，由甲、乙双方当事人协商解决，协商不成的按下列第</w:t>
      </w:r>
      <w:r>
        <w:rPr>
          <w:rFonts w:hint="eastAsia" w:ascii="仿宋" w:hAnsi="仿宋" w:eastAsia="仿宋" w:cs="仿宋"/>
          <w:sz w:val="24"/>
          <w:u w:val="single"/>
        </w:rPr>
        <w:t xml:space="preserve">  2  </w:t>
      </w:r>
      <w:r>
        <w:rPr>
          <w:rFonts w:hint="eastAsia" w:ascii="仿宋" w:hAnsi="仿宋" w:eastAsia="仿宋" w:cs="仿宋"/>
          <w:sz w:val="24"/>
        </w:rPr>
        <w:t>种方式解决：</w:t>
      </w:r>
    </w:p>
    <w:p w14:paraId="1070536F">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1、提交西安仲裁委员会仲裁；</w:t>
      </w:r>
    </w:p>
    <w:p w14:paraId="7E788AA0">
      <w:pPr>
        <w:spacing w:line="360" w:lineRule="auto"/>
        <w:ind w:firstLine="480" w:firstLineChars="200"/>
        <w:rPr>
          <w:rFonts w:hint="eastAsia" w:ascii="仿宋" w:hAnsi="仿宋" w:eastAsia="仿宋" w:cs="仿宋"/>
          <w:sz w:val="24"/>
        </w:rPr>
      </w:pPr>
      <w:r>
        <w:rPr>
          <w:rFonts w:hint="eastAsia" w:ascii="仿宋" w:hAnsi="仿宋" w:eastAsia="仿宋" w:cs="仿宋"/>
          <w:sz w:val="24"/>
        </w:rPr>
        <w:t>2、依法向甲方所在地人民法院起诉。</w:t>
      </w:r>
    </w:p>
    <w:p w14:paraId="3E85ACBB">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（二）本条款为独立条款，本合同的无效、变更、解除和终止均不影响本条款的效力。</w:t>
      </w:r>
    </w:p>
    <w:p w14:paraId="0CF95831">
      <w:pPr>
        <w:spacing w:line="360" w:lineRule="auto"/>
        <w:ind w:firstLine="402" w:firstLineChars="200"/>
        <w:rPr>
          <w:rFonts w:hint="eastAsia" w:ascii="仿宋" w:hAnsi="仿宋" w:eastAsia="仿宋" w:cs="仿宋"/>
          <w:sz w:val="24"/>
        </w:rPr>
      </w:pPr>
      <w:r>
        <w:rPr>
          <w:rFonts w:hint="eastAsia" w:ascii="仿宋" w:hAnsi="仿宋" w:eastAsia="仿宋" w:cs="仿宋"/>
          <w:b/>
          <w:spacing w:val="-20"/>
          <w:kern w:val="0"/>
          <w:sz w:val="24"/>
        </w:rPr>
        <w:t>十、不可抗力及免责</w:t>
      </w:r>
    </w:p>
    <w:p w14:paraId="6FB694F8">
      <w:pPr>
        <w:spacing w:line="360" w:lineRule="auto"/>
        <w:ind w:firstLine="480" w:firstLineChars="200"/>
        <w:rPr>
          <w:rFonts w:hint="eastAsia" w:ascii="仿宋" w:hAnsi="仿宋" w:eastAsia="仿宋" w:cs="仿宋"/>
          <w:sz w:val="24"/>
        </w:rPr>
      </w:pPr>
      <w:r>
        <w:rPr>
          <w:rFonts w:hint="eastAsia" w:ascii="仿宋" w:hAnsi="仿宋" w:eastAsia="仿宋" w:cs="仿宋"/>
          <w:sz w:val="24"/>
        </w:rPr>
        <w:t>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5738DE22">
      <w:pPr>
        <w:spacing w:line="360" w:lineRule="auto"/>
        <w:ind w:firstLine="480" w:firstLineChars="200"/>
        <w:rPr>
          <w:rFonts w:hint="eastAsia" w:ascii="仿宋" w:hAnsi="仿宋" w:eastAsia="仿宋" w:cs="仿宋"/>
          <w:sz w:val="24"/>
        </w:rPr>
      </w:pPr>
      <w:r>
        <w:rPr>
          <w:rFonts w:hint="eastAsia" w:ascii="仿宋" w:hAnsi="仿宋" w:eastAsia="仿宋" w:cs="仿宋"/>
          <w:sz w:val="24"/>
        </w:rPr>
        <w:t>2、如政府管理部门提出要求的，乙方将暂停或终止提供相应服务，且不承担任何责任，未提供服务部分费用应予以退回。</w:t>
      </w:r>
    </w:p>
    <w:p w14:paraId="58B8736C">
      <w:p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十一、合同生效</w:t>
      </w:r>
    </w:p>
    <w:p w14:paraId="57E0A506">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1、本合同一式</w:t>
      </w:r>
      <w:r>
        <w:rPr>
          <w:rFonts w:hint="eastAsia" w:ascii="仿宋" w:hAnsi="仿宋" w:eastAsia="仿宋" w:cs="仿宋"/>
          <w:sz w:val="24"/>
          <w:u w:val="single"/>
        </w:rPr>
        <w:t xml:space="preserve">   </w:t>
      </w:r>
      <w:r>
        <w:rPr>
          <w:rFonts w:hint="eastAsia" w:ascii="仿宋" w:hAnsi="仿宋" w:eastAsia="仿宋" w:cs="仿宋"/>
          <w:sz w:val="24"/>
        </w:rPr>
        <w:t>份，甲方持</w:t>
      </w:r>
      <w:r>
        <w:rPr>
          <w:rFonts w:hint="eastAsia" w:ascii="仿宋" w:hAnsi="仿宋" w:eastAsia="仿宋" w:cs="仿宋"/>
          <w:sz w:val="24"/>
          <w:u w:val="single"/>
        </w:rPr>
        <w:t xml:space="preserve">   </w:t>
      </w:r>
      <w:r>
        <w:rPr>
          <w:rFonts w:hint="eastAsia" w:ascii="仿宋" w:hAnsi="仿宋" w:eastAsia="仿宋" w:cs="仿宋"/>
          <w:sz w:val="24"/>
        </w:rPr>
        <w:t>份，乙方持</w:t>
      </w:r>
      <w:r>
        <w:rPr>
          <w:rFonts w:hint="eastAsia" w:ascii="仿宋" w:hAnsi="仿宋" w:eastAsia="仿宋" w:cs="仿宋"/>
          <w:sz w:val="24"/>
          <w:u w:val="single"/>
        </w:rPr>
        <w:t xml:space="preserve">   </w:t>
      </w:r>
      <w:r>
        <w:rPr>
          <w:rFonts w:hint="eastAsia" w:ascii="仿宋" w:hAnsi="仿宋" w:eastAsia="仿宋" w:cs="仿宋"/>
          <w:sz w:val="24"/>
        </w:rPr>
        <w:t>份，本合同甲、乙双方签字盖章后生效。</w:t>
      </w:r>
    </w:p>
    <w:p w14:paraId="5ECA7059">
      <w:pPr>
        <w:spacing w:line="360" w:lineRule="auto"/>
        <w:ind w:firstLine="480" w:firstLineChars="200"/>
        <w:rPr>
          <w:rFonts w:hint="eastAsia" w:ascii="仿宋" w:hAnsi="仿宋" w:eastAsia="仿宋" w:cs="仿宋"/>
          <w:sz w:val="24"/>
        </w:rPr>
      </w:pPr>
      <w:r>
        <w:rPr>
          <w:rFonts w:hint="eastAsia" w:ascii="仿宋" w:hAnsi="仿宋" w:eastAsia="仿宋" w:cs="仿宋"/>
          <w:sz w:val="24"/>
        </w:rPr>
        <w:t>2、如果本合同的任何条款在任何时候变成不合法、无效或不可强制执行而不从根本上影响本合同的效力时，本合同的其他条款不受影响。</w:t>
      </w:r>
    </w:p>
    <w:p w14:paraId="2FBEC5CC">
      <w:pPr>
        <w:spacing w:line="360" w:lineRule="auto"/>
        <w:ind w:firstLine="480" w:firstLineChars="200"/>
        <w:rPr>
          <w:rFonts w:hint="eastAsia" w:ascii="仿宋" w:hAnsi="仿宋" w:eastAsia="仿宋" w:cs="仿宋"/>
          <w:sz w:val="24"/>
        </w:rPr>
      </w:pPr>
      <w:r>
        <w:rPr>
          <w:rFonts w:hint="eastAsia" w:ascii="仿宋" w:hAnsi="仿宋" w:eastAsia="仿宋" w:cs="仿宋"/>
          <w:sz w:val="24"/>
        </w:rPr>
        <w:t>3、除本合同另有约定外，未经甲乙双方书面确认，任何一方不得自行变更或修改本合同。</w:t>
      </w:r>
    </w:p>
    <w:p w14:paraId="3E4E60D2">
      <w:pPr>
        <w:spacing w:line="360" w:lineRule="auto"/>
        <w:ind w:firstLine="480" w:firstLineChars="200"/>
        <w:rPr>
          <w:rFonts w:hint="eastAsia" w:ascii="仿宋" w:hAnsi="仿宋" w:eastAsia="仿宋" w:cs="仿宋"/>
          <w:sz w:val="24"/>
        </w:rPr>
      </w:pPr>
      <w:r>
        <w:rPr>
          <w:rFonts w:hint="eastAsia" w:ascii="仿宋" w:hAnsi="仿宋" w:eastAsia="仿宋" w:cs="仿宋"/>
          <w:sz w:val="24"/>
        </w:rPr>
        <w:t>4、双方同意，附件为本合同不可分割的部分。若附件与合同正文有任何冲突，以合同正文为准。</w:t>
      </w:r>
    </w:p>
    <w:p w14:paraId="38C06BB3">
      <w:pPr>
        <w:tabs>
          <w:tab w:val="left" w:pos="480"/>
        </w:tabs>
        <w:spacing w:line="360" w:lineRule="auto"/>
        <w:ind w:firstLine="394" w:firstLineChars="196"/>
        <w:rPr>
          <w:rFonts w:hint="eastAsia" w:ascii="仿宋" w:hAnsi="仿宋" w:eastAsia="仿宋" w:cs="仿宋"/>
          <w:b/>
          <w:spacing w:val="-20"/>
          <w:kern w:val="0"/>
          <w:sz w:val="24"/>
        </w:rPr>
      </w:pPr>
      <w:r>
        <w:rPr>
          <w:rFonts w:hint="eastAsia" w:ascii="仿宋" w:hAnsi="仿宋" w:eastAsia="仿宋" w:cs="仿宋"/>
          <w:b/>
          <w:spacing w:val="-20"/>
          <w:kern w:val="0"/>
          <w:sz w:val="24"/>
        </w:rPr>
        <w:t>十二、其他事项</w:t>
      </w:r>
    </w:p>
    <w:p w14:paraId="04E19C11">
      <w:pPr>
        <w:spacing w:line="360" w:lineRule="auto"/>
        <w:ind w:firstLine="480" w:firstLineChars="200"/>
        <w:rPr>
          <w:rFonts w:hint="eastAsia" w:ascii="仿宋" w:hAnsi="仿宋" w:eastAsia="仿宋" w:cs="仿宋"/>
          <w:sz w:val="24"/>
        </w:rPr>
      </w:pPr>
      <w:r>
        <w:rPr>
          <w:rFonts w:hint="eastAsia" w:ascii="仿宋" w:hAnsi="仿宋" w:eastAsia="仿宋" w:cs="仿宋"/>
          <w:sz w:val="24"/>
        </w:rPr>
        <w:t>（一）合同附件均成为合同不可分割的部分。</w:t>
      </w:r>
    </w:p>
    <w:p w14:paraId="720F59A9">
      <w:pPr>
        <w:spacing w:line="360" w:lineRule="auto"/>
        <w:ind w:firstLine="480" w:firstLineChars="200"/>
        <w:rPr>
          <w:rFonts w:hint="eastAsia" w:ascii="仿宋" w:hAnsi="仿宋" w:eastAsia="仿宋" w:cs="仿宋"/>
          <w:spacing w:val="-20"/>
          <w:kern w:val="0"/>
          <w:sz w:val="24"/>
        </w:rPr>
      </w:pPr>
      <w:r>
        <w:rPr>
          <w:rFonts w:hint="eastAsia" w:ascii="仿宋" w:hAnsi="仿宋" w:eastAsia="仿宋" w:cs="仿宋"/>
          <w:sz w:val="24"/>
        </w:rPr>
        <w:t>（二）合同未尽事宜，由甲、乙双方协商补充合同，与原合同具有同等法律效力。</w:t>
      </w:r>
    </w:p>
    <w:p w14:paraId="56F0D114">
      <w:pPr>
        <w:rPr>
          <w:rFonts w:hint="eastAsia" w:ascii="仿宋" w:hAnsi="仿宋" w:eastAsia="仿宋" w:cs="仿宋"/>
          <w:sz w:val="24"/>
        </w:rPr>
      </w:pPr>
      <w:r>
        <w:rPr>
          <w:rFonts w:hint="eastAsia" w:ascii="仿宋" w:hAnsi="仿宋" w:eastAsia="仿宋" w:cs="仿宋"/>
          <w:spacing w:val="-20"/>
          <w:kern w:val="0"/>
          <w:sz w:val="24"/>
        </w:rPr>
        <w:br w:type="page"/>
      </w:r>
      <w:r>
        <w:rPr>
          <w:rFonts w:hint="eastAsia" w:ascii="仿宋" w:hAnsi="仿宋" w:eastAsia="仿宋" w:cs="仿宋"/>
          <w:spacing w:val="-20"/>
          <w:kern w:val="0"/>
          <w:sz w:val="24"/>
        </w:rPr>
        <w:t>（合同签署页）</w:t>
      </w:r>
    </w:p>
    <w:tbl>
      <w:tblPr>
        <w:tblStyle w:val="4"/>
        <w:tblW w:w="48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4190"/>
      </w:tblGrid>
      <w:tr w14:paraId="7198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69" w:type="pct"/>
            <w:tcBorders>
              <w:top w:val="single" w:color="auto" w:sz="4" w:space="0"/>
              <w:left w:val="single" w:color="auto" w:sz="4" w:space="0"/>
              <w:bottom w:val="single" w:color="auto" w:sz="4" w:space="0"/>
              <w:right w:val="single" w:color="auto" w:sz="4" w:space="0"/>
            </w:tcBorders>
            <w:noWrap/>
          </w:tcPr>
          <w:p w14:paraId="1172AD21">
            <w:pPr>
              <w:autoSpaceDE w:val="0"/>
              <w:autoSpaceDN w:val="0"/>
              <w:adjustRightInd w:val="0"/>
              <w:spacing w:line="276" w:lineRule="auto"/>
              <w:jc w:val="center"/>
              <w:rPr>
                <w:rFonts w:hint="eastAsia" w:ascii="仿宋" w:hAnsi="仿宋" w:eastAsia="仿宋" w:cs="仿宋"/>
                <w:spacing w:val="-20"/>
                <w:kern w:val="0"/>
                <w:sz w:val="24"/>
              </w:rPr>
            </w:pPr>
            <w:r>
              <w:rPr>
                <w:rFonts w:hint="eastAsia" w:ascii="仿宋" w:hAnsi="仿宋" w:eastAsia="仿宋" w:cs="仿宋"/>
                <w:spacing w:val="-20"/>
                <w:kern w:val="0"/>
                <w:sz w:val="24"/>
              </w:rPr>
              <w:t>甲  方</w:t>
            </w:r>
          </w:p>
        </w:tc>
        <w:tc>
          <w:tcPr>
            <w:tcW w:w="2530" w:type="pct"/>
            <w:tcBorders>
              <w:top w:val="single" w:color="auto" w:sz="4" w:space="0"/>
              <w:left w:val="single" w:color="auto" w:sz="4" w:space="0"/>
              <w:bottom w:val="single" w:color="auto" w:sz="4" w:space="0"/>
              <w:right w:val="single" w:color="auto" w:sz="4" w:space="0"/>
            </w:tcBorders>
            <w:noWrap/>
          </w:tcPr>
          <w:p w14:paraId="482FE6C7">
            <w:pPr>
              <w:autoSpaceDE w:val="0"/>
              <w:autoSpaceDN w:val="0"/>
              <w:adjustRightInd w:val="0"/>
              <w:spacing w:line="276" w:lineRule="auto"/>
              <w:jc w:val="center"/>
              <w:rPr>
                <w:rFonts w:hint="eastAsia" w:ascii="仿宋" w:hAnsi="仿宋" w:eastAsia="仿宋" w:cs="仿宋"/>
                <w:spacing w:val="-20"/>
                <w:kern w:val="0"/>
                <w:sz w:val="24"/>
              </w:rPr>
            </w:pPr>
            <w:r>
              <w:rPr>
                <w:rFonts w:hint="eastAsia" w:ascii="仿宋" w:hAnsi="仿宋" w:eastAsia="仿宋" w:cs="仿宋"/>
                <w:spacing w:val="-20"/>
                <w:kern w:val="0"/>
                <w:sz w:val="24"/>
              </w:rPr>
              <w:t>乙  方</w:t>
            </w:r>
          </w:p>
        </w:tc>
      </w:tr>
      <w:tr w14:paraId="55A4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rPr>
        <w:tc>
          <w:tcPr>
            <w:tcW w:w="2469" w:type="pct"/>
            <w:tcBorders>
              <w:top w:val="single" w:color="auto" w:sz="4" w:space="0"/>
              <w:left w:val="single" w:color="auto" w:sz="4" w:space="0"/>
              <w:bottom w:val="single" w:color="auto" w:sz="4" w:space="0"/>
              <w:right w:val="single" w:color="auto" w:sz="4" w:space="0"/>
            </w:tcBorders>
            <w:noWrap/>
            <w:vAlign w:val="center"/>
          </w:tcPr>
          <w:p w14:paraId="201FAE41">
            <w:pPr>
              <w:autoSpaceDE w:val="0"/>
              <w:autoSpaceDN w:val="0"/>
              <w:adjustRightInd w:val="0"/>
              <w:spacing w:line="276" w:lineRule="auto"/>
              <w:ind w:firstLine="700" w:firstLineChars="350"/>
              <w:jc w:val="left"/>
              <w:rPr>
                <w:rFonts w:hint="eastAsia" w:ascii="仿宋" w:hAnsi="仿宋" w:eastAsia="仿宋" w:cs="仿宋"/>
                <w:spacing w:val="-20"/>
                <w:kern w:val="0"/>
                <w:sz w:val="24"/>
              </w:rPr>
            </w:pPr>
            <w:r>
              <w:rPr>
                <w:rFonts w:hint="eastAsia" w:ascii="仿宋" w:hAnsi="仿宋" w:eastAsia="仿宋" w:cs="仿宋"/>
                <w:spacing w:val="-20"/>
                <w:kern w:val="0"/>
                <w:sz w:val="24"/>
              </w:rPr>
              <w:t>（盖章）</w:t>
            </w:r>
          </w:p>
        </w:tc>
        <w:tc>
          <w:tcPr>
            <w:tcW w:w="2530" w:type="pct"/>
            <w:tcBorders>
              <w:top w:val="single" w:color="auto" w:sz="4" w:space="0"/>
              <w:left w:val="single" w:color="auto" w:sz="4" w:space="0"/>
              <w:bottom w:val="single" w:color="auto" w:sz="4" w:space="0"/>
              <w:right w:val="single" w:color="auto" w:sz="4" w:space="0"/>
            </w:tcBorders>
            <w:noWrap/>
            <w:vAlign w:val="center"/>
          </w:tcPr>
          <w:p w14:paraId="68DF2BCB">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（盖章）</w:t>
            </w:r>
          </w:p>
        </w:tc>
      </w:tr>
      <w:tr w14:paraId="73CF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2469" w:type="pct"/>
            <w:tcBorders>
              <w:top w:val="single" w:color="auto" w:sz="4" w:space="0"/>
              <w:left w:val="single" w:color="auto" w:sz="4" w:space="0"/>
              <w:bottom w:val="single" w:color="auto" w:sz="4" w:space="0"/>
              <w:right w:val="single" w:color="auto" w:sz="4" w:space="0"/>
            </w:tcBorders>
            <w:noWrap/>
          </w:tcPr>
          <w:p w14:paraId="62E9FFE2">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 xml:space="preserve">地址：  </w:t>
            </w:r>
          </w:p>
        </w:tc>
        <w:tc>
          <w:tcPr>
            <w:tcW w:w="2530" w:type="pct"/>
            <w:tcBorders>
              <w:top w:val="single" w:color="auto" w:sz="4" w:space="0"/>
              <w:left w:val="single" w:color="auto" w:sz="4" w:space="0"/>
              <w:bottom w:val="single" w:color="auto" w:sz="4" w:space="0"/>
              <w:right w:val="single" w:color="auto" w:sz="4" w:space="0"/>
            </w:tcBorders>
            <w:noWrap/>
          </w:tcPr>
          <w:p w14:paraId="3FDC9413">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地址：</w:t>
            </w:r>
          </w:p>
        </w:tc>
      </w:tr>
      <w:tr w14:paraId="65534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469" w:type="pct"/>
            <w:tcBorders>
              <w:top w:val="single" w:color="auto" w:sz="4" w:space="0"/>
              <w:left w:val="single" w:color="auto" w:sz="4" w:space="0"/>
              <w:bottom w:val="single" w:color="auto" w:sz="4" w:space="0"/>
              <w:right w:val="single" w:color="auto" w:sz="4" w:space="0"/>
            </w:tcBorders>
            <w:noWrap/>
          </w:tcPr>
          <w:p w14:paraId="1781096A">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 xml:space="preserve">邮编： </w:t>
            </w:r>
          </w:p>
        </w:tc>
        <w:tc>
          <w:tcPr>
            <w:tcW w:w="2530" w:type="pct"/>
            <w:tcBorders>
              <w:top w:val="single" w:color="auto" w:sz="4" w:space="0"/>
              <w:left w:val="single" w:color="auto" w:sz="4" w:space="0"/>
              <w:bottom w:val="single" w:color="auto" w:sz="4" w:space="0"/>
              <w:right w:val="single" w:color="auto" w:sz="4" w:space="0"/>
            </w:tcBorders>
            <w:noWrap/>
          </w:tcPr>
          <w:p w14:paraId="41153D7F">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邮编：</w:t>
            </w:r>
          </w:p>
        </w:tc>
      </w:tr>
      <w:tr w14:paraId="70FD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469" w:type="pct"/>
            <w:tcBorders>
              <w:top w:val="single" w:color="auto" w:sz="4" w:space="0"/>
              <w:left w:val="single" w:color="auto" w:sz="4" w:space="0"/>
              <w:bottom w:val="single" w:color="auto" w:sz="4" w:space="0"/>
              <w:right w:val="single" w:color="auto" w:sz="4" w:space="0"/>
            </w:tcBorders>
            <w:noWrap/>
          </w:tcPr>
          <w:p w14:paraId="0CA9073C">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法定代表人：（签字）</w:t>
            </w:r>
          </w:p>
        </w:tc>
        <w:tc>
          <w:tcPr>
            <w:tcW w:w="2530" w:type="pct"/>
            <w:tcBorders>
              <w:top w:val="single" w:color="auto" w:sz="4" w:space="0"/>
              <w:left w:val="single" w:color="auto" w:sz="4" w:space="0"/>
              <w:bottom w:val="single" w:color="auto" w:sz="4" w:space="0"/>
              <w:right w:val="single" w:color="auto" w:sz="4" w:space="0"/>
            </w:tcBorders>
            <w:noWrap/>
          </w:tcPr>
          <w:p w14:paraId="032AB45B">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法定代表人：（签字）</w:t>
            </w:r>
          </w:p>
        </w:tc>
      </w:tr>
      <w:tr w14:paraId="1177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469" w:type="pct"/>
            <w:tcBorders>
              <w:top w:val="single" w:color="auto" w:sz="4" w:space="0"/>
              <w:left w:val="single" w:color="auto" w:sz="4" w:space="0"/>
              <w:bottom w:val="single" w:color="auto" w:sz="4" w:space="0"/>
              <w:right w:val="single" w:color="auto" w:sz="4" w:space="0"/>
            </w:tcBorders>
            <w:noWrap/>
          </w:tcPr>
          <w:p w14:paraId="2A2A1432">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经办人：（签字）</w:t>
            </w:r>
          </w:p>
        </w:tc>
        <w:tc>
          <w:tcPr>
            <w:tcW w:w="2530" w:type="pct"/>
            <w:tcBorders>
              <w:top w:val="single" w:color="auto" w:sz="4" w:space="0"/>
              <w:left w:val="single" w:color="auto" w:sz="4" w:space="0"/>
              <w:bottom w:val="single" w:color="auto" w:sz="4" w:space="0"/>
              <w:right w:val="single" w:color="auto" w:sz="4" w:space="0"/>
            </w:tcBorders>
            <w:noWrap/>
          </w:tcPr>
          <w:p w14:paraId="49D0D683">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经办人：（签字）</w:t>
            </w:r>
          </w:p>
        </w:tc>
      </w:tr>
      <w:tr w14:paraId="1D47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469" w:type="pct"/>
            <w:tcBorders>
              <w:top w:val="single" w:color="auto" w:sz="4" w:space="0"/>
              <w:left w:val="single" w:color="auto" w:sz="4" w:space="0"/>
              <w:bottom w:val="single" w:color="auto" w:sz="4" w:space="0"/>
              <w:right w:val="single" w:color="auto" w:sz="4" w:space="0"/>
            </w:tcBorders>
            <w:noWrap/>
          </w:tcPr>
          <w:p w14:paraId="43B9FC85">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电话：</w:t>
            </w:r>
            <w:r>
              <w:rPr>
                <w:rFonts w:hint="eastAsia" w:ascii="仿宋" w:hAnsi="仿宋" w:eastAsia="仿宋" w:cs="仿宋"/>
                <w:sz w:val="24"/>
                <w:u w:val="single"/>
              </w:rPr>
              <w:t xml:space="preserve">                    </w:t>
            </w:r>
          </w:p>
        </w:tc>
        <w:tc>
          <w:tcPr>
            <w:tcW w:w="2530" w:type="pct"/>
            <w:tcBorders>
              <w:top w:val="single" w:color="auto" w:sz="4" w:space="0"/>
              <w:left w:val="single" w:color="auto" w:sz="4" w:space="0"/>
              <w:bottom w:val="single" w:color="auto" w:sz="4" w:space="0"/>
              <w:right w:val="single" w:color="auto" w:sz="4" w:space="0"/>
            </w:tcBorders>
            <w:noWrap/>
          </w:tcPr>
          <w:p w14:paraId="3B65C152">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电话：</w:t>
            </w:r>
          </w:p>
        </w:tc>
      </w:tr>
      <w:tr w14:paraId="33C64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469" w:type="pct"/>
            <w:tcBorders>
              <w:top w:val="single" w:color="auto" w:sz="4" w:space="0"/>
              <w:left w:val="single" w:color="auto" w:sz="4" w:space="0"/>
              <w:bottom w:val="single" w:color="auto" w:sz="4" w:space="0"/>
              <w:right w:val="single" w:color="auto" w:sz="4" w:space="0"/>
            </w:tcBorders>
            <w:noWrap/>
          </w:tcPr>
          <w:p w14:paraId="1792E86A">
            <w:pPr>
              <w:autoSpaceDE w:val="0"/>
              <w:autoSpaceDN w:val="0"/>
              <w:adjustRightInd w:val="0"/>
              <w:spacing w:line="276" w:lineRule="auto"/>
              <w:jc w:val="left"/>
              <w:rPr>
                <w:rFonts w:hint="eastAsia" w:ascii="仿宋" w:hAnsi="仿宋" w:eastAsia="仿宋" w:cs="仿宋"/>
                <w:spacing w:val="-20"/>
                <w:kern w:val="0"/>
                <w:sz w:val="24"/>
              </w:rPr>
            </w:pPr>
          </w:p>
        </w:tc>
        <w:tc>
          <w:tcPr>
            <w:tcW w:w="2530" w:type="pct"/>
            <w:tcBorders>
              <w:top w:val="single" w:color="auto" w:sz="4" w:space="0"/>
              <w:left w:val="single" w:color="auto" w:sz="4" w:space="0"/>
              <w:bottom w:val="single" w:color="auto" w:sz="4" w:space="0"/>
              <w:right w:val="single" w:color="auto" w:sz="4" w:space="0"/>
            </w:tcBorders>
            <w:noWrap/>
          </w:tcPr>
          <w:p w14:paraId="1846CD8D">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z w:val="24"/>
              </w:rPr>
              <w:t>开户行：</w:t>
            </w:r>
          </w:p>
        </w:tc>
      </w:tr>
      <w:tr w14:paraId="3CD2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469" w:type="pct"/>
            <w:tcBorders>
              <w:top w:val="single" w:color="auto" w:sz="4" w:space="0"/>
              <w:left w:val="single" w:color="auto" w:sz="4" w:space="0"/>
              <w:bottom w:val="single" w:color="auto" w:sz="4" w:space="0"/>
              <w:right w:val="single" w:color="auto" w:sz="4" w:space="0"/>
            </w:tcBorders>
            <w:noWrap/>
          </w:tcPr>
          <w:p w14:paraId="167C8E75">
            <w:pPr>
              <w:autoSpaceDE w:val="0"/>
              <w:autoSpaceDN w:val="0"/>
              <w:adjustRightInd w:val="0"/>
              <w:spacing w:line="276" w:lineRule="auto"/>
              <w:jc w:val="left"/>
              <w:rPr>
                <w:rFonts w:hint="eastAsia" w:ascii="仿宋" w:hAnsi="仿宋" w:eastAsia="仿宋" w:cs="仿宋"/>
                <w:spacing w:val="-20"/>
                <w:kern w:val="0"/>
                <w:sz w:val="24"/>
              </w:rPr>
            </w:pPr>
          </w:p>
        </w:tc>
        <w:tc>
          <w:tcPr>
            <w:tcW w:w="2530" w:type="pct"/>
            <w:tcBorders>
              <w:top w:val="single" w:color="auto" w:sz="4" w:space="0"/>
              <w:left w:val="single" w:color="auto" w:sz="4" w:space="0"/>
              <w:bottom w:val="single" w:color="auto" w:sz="4" w:space="0"/>
              <w:right w:val="single" w:color="auto" w:sz="4" w:space="0"/>
            </w:tcBorders>
            <w:noWrap/>
          </w:tcPr>
          <w:p w14:paraId="10B08B9D">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账号：</w:t>
            </w:r>
          </w:p>
        </w:tc>
      </w:tr>
      <w:tr w14:paraId="26C6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469" w:type="pct"/>
            <w:tcBorders>
              <w:top w:val="single" w:color="auto" w:sz="4" w:space="0"/>
              <w:left w:val="single" w:color="auto" w:sz="4" w:space="0"/>
              <w:bottom w:val="single" w:color="auto" w:sz="4" w:space="0"/>
              <w:right w:val="single" w:color="auto" w:sz="4" w:space="0"/>
            </w:tcBorders>
            <w:noWrap/>
          </w:tcPr>
          <w:p w14:paraId="373502F2">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日期：   年   月   日</w:t>
            </w:r>
          </w:p>
        </w:tc>
        <w:tc>
          <w:tcPr>
            <w:tcW w:w="2530" w:type="pct"/>
            <w:tcBorders>
              <w:top w:val="single" w:color="auto" w:sz="4" w:space="0"/>
              <w:left w:val="single" w:color="auto" w:sz="4" w:space="0"/>
              <w:bottom w:val="single" w:color="auto" w:sz="4" w:space="0"/>
              <w:right w:val="single" w:color="auto" w:sz="4" w:space="0"/>
            </w:tcBorders>
            <w:noWrap/>
          </w:tcPr>
          <w:p w14:paraId="39297857">
            <w:pPr>
              <w:autoSpaceDE w:val="0"/>
              <w:autoSpaceDN w:val="0"/>
              <w:adjustRightInd w:val="0"/>
              <w:spacing w:line="276" w:lineRule="auto"/>
              <w:jc w:val="left"/>
              <w:rPr>
                <w:rFonts w:hint="eastAsia" w:ascii="仿宋" w:hAnsi="仿宋" w:eastAsia="仿宋" w:cs="仿宋"/>
                <w:spacing w:val="-20"/>
                <w:kern w:val="0"/>
                <w:sz w:val="24"/>
              </w:rPr>
            </w:pPr>
            <w:r>
              <w:rPr>
                <w:rFonts w:hint="eastAsia" w:ascii="仿宋" w:hAnsi="仿宋" w:eastAsia="仿宋" w:cs="仿宋"/>
                <w:spacing w:val="-20"/>
                <w:kern w:val="0"/>
                <w:sz w:val="24"/>
              </w:rPr>
              <w:t>日期：   年   月   日</w:t>
            </w:r>
          </w:p>
        </w:tc>
      </w:tr>
    </w:tbl>
    <w:p w14:paraId="69E850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BA8F1"/>
    <w:multiLevelType w:val="singleLevel"/>
    <w:tmpl w:val="86BBA8F1"/>
    <w:lvl w:ilvl="0" w:tentative="0">
      <w:start w:val="2"/>
      <w:numFmt w:val="chineseCounting"/>
      <w:suff w:val="nothing"/>
      <w:lvlText w:val="（%1）"/>
      <w:lvlJc w:val="left"/>
      <w:rPr>
        <w:rFonts w:hint="eastAsia"/>
      </w:rPr>
    </w:lvl>
  </w:abstractNum>
  <w:abstractNum w:abstractNumId="1">
    <w:nsid w:val="AB7093EC"/>
    <w:multiLevelType w:val="singleLevel"/>
    <w:tmpl w:val="AB7093EC"/>
    <w:lvl w:ilvl="0" w:tentative="0">
      <w:start w:val="6"/>
      <w:numFmt w:val="chineseCounting"/>
      <w:suff w:val="nothing"/>
      <w:lvlText w:val="%1、"/>
      <w:lvlJc w:val="left"/>
      <w:rPr>
        <w:rFonts w:hint="eastAsia"/>
      </w:rPr>
    </w:lvl>
  </w:abstractNum>
  <w:abstractNum w:abstractNumId="2">
    <w:nsid w:val="BCE411EC"/>
    <w:multiLevelType w:val="singleLevel"/>
    <w:tmpl w:val="BCE411E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E2560"/>
    <w:rsid w:val="05AC4062"/>
    <w:rsid w:val="087A5F30"/>
    <w:rsid w:val="148F7029"/>
    <w:rsid w:val="184E0FA9"/>
    <w:rsid w:val="1DBC00DE"/>
    <w:rsid w:val="2BED2C84"/>
    <w:rsid w:val="307C26FF"/>
    <w:rsid w:val="33DE2560"/>
    <w:rsid w:val="704A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unhideWhenUsed/>
    <w:qFormat/>
    <w:uiPriority w:val="0"/>
    <w:rPr>
      <w:rFonts w:ascii="Times New Roman" w:hAnsi="Times New Roman"/>
      <w:b/>
      <w:sz w:val="28"/>
      <w:szCs w:val="24"/>
    </w:rPr>
  </w:style>
  <w:style w:type="paragraph" w:customStyle="1" w:styleId="6">
    <w:name w:val="Body text|5"/>
    <w:basedOn w:val="1"/>
    <w:qFormat/>
    <w:uiPriority w:val="0"/>
    <w:pPr>
      <w:spacing w:after="480" w:line="500" w:lineRule="exact"/>
    </w:pPr>
    <w:rPr>
      <w:rFonts w:ascii="宋体" w:hAnsi="宋体" w:eastAsia="宋体" w:cs="宋体"/>
      <w:sz w:val="32"/>
      <w:szCs w:val="32"/>
      <w:lang w:val="zh-TW" w:eastAsia="zh-TW" w:bidi="zh-TW"/>
    </w:rPr>
  </w:style>
  <w:style w:type="paragraph" w:customStyle="1" w:styleId="7">
    <w:name w:val="Body text|7"/>
    <w:basedOn w:val="1"/>
    <w:qFormat/>
    <w:uiPriority w:val="0"/>
    <w:pPr>
      <w:spacing w:after="100" w:line="1130" w:lineRule="exact"/>
      <w:jc w:val="center"/>
    </w:pPr>
    <w:rPr>
      <w:rFonts w:ascii="宋体" w:hAnsi="宋体" w:eastAsia="宋体" w:cs="宋体"/>
      <w:sz w:val="74"/>
      <w:szCs w:val="74"/>
      <w:lang w:val="zh-TW" w:eastAsia="zh-TW" w:bidi="zh-TW"/>
    </w:rPr>
  </w:style>
  <w:style w:type="paragraph" w:customStyle="1" w:styleId="8">
    <w:name w:val="Body text|6"/>
    <w:basedOn w:val="1"/>
    <w:qFormat/>
    <w:uiPriority w:val="0"/>
    <w:pPr>
      <w:spacing w:after="100"/>
      <w:jc w:val="center"/>
    </w:pPr>
    <w:rPr>
      <w:sz w:val="30"/>
      <w:szCs w:val="30"/>
    </w:rPr>
  </w:style>
  <w:style w:type="paragraph" w:customStyle="1" w:styleId="9">
    <w:name w:val="Heading #2|1"/>
    <w:basedOn w:val="1"/>
    <w:qFormat/>
    <w:uiPriority w:val="0"/>
    <w:pPr>
      <w:jc w:val="center"/>
      <w:outlineLvl w:val="1"/>
    </w:pPr>
    <w:rPr>
      <w:rFonts w:ascii="宋体" w:hAnsi="宋体" w:eastAsia="宋体" w:cs="宋体"/>
      <w:sz w:val="44"/>
      <w:szCs w:val="44"/>
      <w:lang w:val="zh-TW" w:eastAsia="zh-TW" w:bidi="zh-TW"/>
    </w:rPr>
  </w:style>
  <w:style w:type="paragraph" w:customStyle="1" w:styleId="10">
    <w:name w:val="Body text|2"/>
    <w:basedOn w:val="1"/>
    <w:qFormat/>
    <w:uiPriority w:val="0"/>
    <w:pPr>
      <w:spacing w:line="432" w:lineRule="auto"/>
    </w:pPr>
    <w:rPr>
      <w:rFonts w:ascii="宋体" w:hAnsi="宋体" w:eastAsia="宋体" w:cs="宋体"/>
      <w:lang w:val="zh-TW" w:eastAsia="zh-TW" w:bidi="zh-TW"/>
    </w:rPr>
  </w:style>
  <w:style w:type="paragraph" w:customStyle="1" w:styleId="11">
    <w:name w:val="Body text|1"/>
    <w:basedOn w:val="1"/>
    <w:qFormat/>
    <w:uiPriority w:val="0"/>
    <w:pPr>
      <w:spacing w:line="425" w:lineRule="exact"/>
      <w:ind w:firstLine="540"/>
    </w:pPr>
    <w:rPr>
      <w:rFonts w:ascii="宋体" w:hAnsi="宋体" w:eastAsia="宋体" w:cs="宋体"/>
      <w:sz w:val="28"/>
      <w:szCs w:val="28"/>
      <w:lang w:val="zh-TW" w:eastAsia="zh-TW" w:bidi="zh-TW"/>
    </w:rPr>
  </w:style>
  <w:style w:type="paragraph" w:customStyle="1" w:styleId="12">
    <w:name w:val="Table caption|1"/>
    <w:basedOn w:val="1"/>
    <w:qFormat/>
    <w:uiPriority w:val="0"/>
    <w:rPr>
      <w:rFonts w:ascii="宋体" w:hAnsi="宋体" w:eastAsia="宋体" w:cs="宋体"/>
      <w:sz w:val="28"/>
      <w:szCs w:val="28"/>
      <w:lang w:val="zh-TW" w:eastAsia="zh-TW" w:bidi="zh-TW"/>
    </w:rPr>
  </w:style>
  <w:style w:type="paragraph" w:customStyle="1" w:styleId="13">
    <w:name w:val="Other|1"/>
    <w:basedOn w:val="1"/>
    <w:qFormat/>
    <w:uiPriority w:val="0"/>
    <w:pPr>
      <w:spacing w:line="432" w:lineRule="auto"/>
    </w:pPr>
    <w:rPr>
      <w:rFonts w:ascii="宋体" w:hAnsi="宋体" w:eastAsia="宋体" w:cs="宋体"/>
      <w:lang w:val="zh-TW" w:eastAsia="zh-TW" w:bidi="zh-TW"/>
    </w:rPr>
  </w:style>
  <w:style w:type="paragraph" w:customStyle="1" w:styleId="14">
    <w:name w:val="Body text|4"/>
    <w:basedOn w:val="1"/>
    <w:qFormat/>
    <w:uiPriority w:val="0"/>
    <w:pPr>
      <w:ind w:firstLine="540"/>
    </w:pPr>
    <w:rPr>
      <w:sz w:val="22"/>
      <w:szCs w:val="2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Header or footer|1"/>
    <w:basedOn w:val="1"/>
    <w:qFormat/>
    <w:uiPriority w:val="0"/>
    <w:rPr>
      <w:sz w:val="22"/>
      <w:szCs w:val="22"/>
      <w:lang w:val="zh-TW" w:eastAsia="zh-TW" w:bidi="zh-TW"/>
    </w:rPr>
  </w:style>
  <w:style w:type="paragraph" w:customStyle="1" w:styleId="17">
    <w:name w:val="Header or footer|2"/>
    <w:basedOn w:val="1"/>
    <w:qFormat/>
    <w:uiPriority w:val="0"/>
    <w:rPr>
      <w:sz w:val="20"/>
      <w:szCs w:val="20"/>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2677</Words>
  <Characters>2739</Characters>
  <Lines>0</Lines>
  <Paragraphs>0</Paragraphs>
  <TotalTime>0</TotalTime>
  <ScaleCrop>false</ScaleCrop>
  <LinksUpToDate>false</LinksUpToDate>
  <CharactersWithSpaces>2801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2025-08-07T07:26:00Z</dcterms:created>
  <dc:creator>89757</dc:creator>
  <cp:lastModifiedBy>中技</cp:lastModifiedBy>
  <dcterms:modified xsi:type="dcterms:W3CDTF">2026-08-12T09:28:50Z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0E1B902858D4459BA101B4A59303B798_11</vt:lpwstr>
  </property>
  <property fmtid="{D5CDD505-2E9C-101B-9397-08002B2CF9AE}" pid="4" name="KSOTemplateDocerSaveRecord">
    <vt:lpwstr>eyJoZGlkIjoiYjY1OWZmN2YwYjlkNTNiNTA5NjRhNGNmYzlmZmM3MzciLCJ1c2VySWQiOiI0MzQ4NTIyNDMifQ==</vt:lpwstr>
  </property>
</Properties>
</file>