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6B1ED4">
      <w:pPr>
        <w:keepNext w:val="0"/>
        <w:keepLines w:val="0"/>
        <w:pageBreakBefore w:val="0"/>
        <w:widowControl w:val="0"/>
        <w:kinsoku/>
        <w:wordWrap/>
        <w:overflowPunct/>
        <w:topLinePunct w:val="0"/>
        <w:autoSpaceDE/>
        <w:autoSpaceDN/>
        <w:bidi w:val="0"/>
        <w:adjustRightInd/>
        <w:snapToGrid/>
        <w:spacing w:after="157" w:afterLines="50" w:line="640" w:lineRule="exact"/>
        <w:jc w:val="center"/>
        <w:textAlignment w:val="auto"/>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陕西渭南黄河湿地2026年省级黄河流域</w:t>
      </w:r>
    </w:p>
    <w:p w14:paraId="758D7969">
      <w:pPr>
        <w:keepNext w:val="0"/>
        <w:keepLines w:val="0"/>
        <w:pageBreakBefore w:val="0"/>
        <w:widowControl w:val="0"/>
        <w:kinsoku/>
        <w:wordWrap/>
        <w:overflowPunct/>
        <w:topLinePunct w:val="0"/>
        <w:autoSpaceDE/>
        <w:autoSpaceDN/>
        <w:bidi w:val="0"/>
        <w:adjustRightInd/>
        <w:snapToGrid/>
        <w:spacing w:after="157" w:afterLines="50" w:line="640" w:lineRule="exact"/>
        <w:jc w:val="center"/>
        <w:textAlignment w:val="auto"/>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生态保护和高质量发展资金项目</w:t>
      </w:r>
    </w:p>
    <w:p w14:paraId="5DA5A0BD">
      <w:pPr>
        <w:keepNext w:val="0"/>
        <w:keepLines w:val="0"/>
        <w:pageBreakBefore w:val="0"/>
        <w:widowControl w:val="0"/>
        <w:kinsoku/>
        <w:wordWrap/>
        <w:overflowPunct/>
        <w:topLinePunct w:val="0"/>
        <w:autoSpaceDE/>
        <w:autoSpaceDN/>
        <w:bidi w:val="0"/>
        <w:adjustRightInd/>
        <w:snapToGrid/>
        <w:spacing w:after="157" w:afterLines="50" w:line="640" w:lineRule="exact"/>
        <w:jc w:val="center"/>
        <w:textAlignment w:val="auto"/>
        <w:rPr>
          <w:rFonts w:hint="eastAsia" w:ascii="方正小标宋_GBK" w:hAnsi="方正小标宋_GBK" w:eastAsia="方正小标宋_GBK" w:cs="方正小标宋_GBK"/>
          <w:b w:val="0"/>
          <w:bCs w:val="0"/>
          <w:sz w:val="44"/>
          <w:szCs w:val="44"/>
          <w:lang w:eastAsia="zh-CN"/>
        </w:rPr>
      </w:pPr>
      <w:r>
        <w:rPr>
          <w:rFonts w:hint="eastAsia" w:ascii="宋体" w:hAnsi="宋体" w:eastAsia="宋体" w:cs="宋体"/>
          <w:b/>
          <w:bCs/>
          <w:sz w:val="44"/>
          <w:szCs w:val="44"/>
          <w:lang w:eastAsia="zh-CN"/>
        </w:rPr>
        <w:t>采购需求</w:t>
      </w:r>
    </w:p>
    <w:p w14:paraId="25966273">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宋体"/>
          <w:sz w:val="30"/>
          <w:szCs w:val="30"/>
        </w:rPr>
      </w:pPr>
      <w:r>
        <w:rPr>
          <w:rFonts w:hint="eastAsia" w:ascii="黑体" w:hAnsi="黑体" w:eastAsia="黑体" w:cs="宋体"/>
          <w:sz w:val="30"/>
          <w:szCs w:val="30"/>
        </w:rPr>
        <w:t>一、基本要求</w:t>
      </w:r>
    </w:p>
    <w:p w14:paraId="6AD0BE92">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2" w:firstLineChars="200"/>
        <w:textAlignment w:val="baseline"/>
        <w:rPr>
          <w:rFonts w:hint="eastAsia" w:ascii="仿宋" w:hAnsi="仿宋" w:eastAsia="仿宋" w:cs="仿宋"/>
          <w:bCs/>
          <w:sz w:val="30"/>
          <w:szCs w:val="30"/>
          <w:lang w:val="en-US" w:eastAsia="zh-CN"/>
        </w:rPr>
      </w:pPr>
      <w:r>
        <w:rPr>
          <w:rFonts w:hint="eastAsia" w:ascii="仿宋" w:hAnsi="仿宋" w:eastAsia="仿宋" w:cs="仿宋"/>
          <w:b/>
          <w:bCs w:val="0"/>
          <w:sz w:val="30"/>
          <w:szCs w:val="30"/>
          <w:lang w:eastAsia="zh-CN"/>
        </w:rPr>
        <w:t>1</w:t>
      </w:r>
      <w:r>
        <w:rPr>
          <w:rFonts w:hint="eastAsia" w:ascii="仿宋" w:hAnsi="仿宋" w:eastAsia="仿宋" w:cs="仿宋"/>
          <w:b/>
          <w:bCs w:val="0"/>
          <w:sz w:val="30"/>
          <w:szCs w:val="30"/>
          <w:lang w:val="en-US" w:eastAsia="zh-CN"/>
        </w:rPr>
        <w:t>.</w:t>
      </w:r>
      <w:r>
        <w:rPr>
          <w:rFonts w:hint="eastAsia" w:ascii="仿宋" w:hAnsi="仿宋" w:eastAsia="仿宋" w:cs="仿宋"/>
          <w:b/>
          <w:bCs w:val="0"/>
          <w:sz w:val="30"/>
          <w:szCs w:val="30"/>
          <w:lang w:eastAsia="zh-CN"/>
        </w:rPr>
        <w:t>功能要求：</w:t>
      </w:r>
      <w:r>
        <w:rPr>
          <w:rFonts w:hint="eastAsia" w:ascii="仿宋" w:hAnsi="仿宋" w:eastAsia="仿宋" w:cs="仿宋"/>
          <w:bCs/>
          <w:sz w:val="30"/>
          <w:szCs w:val="30"/>
          <w:lang w:val="en-US" w:eastAsia="zh-CN"/>
        </w:rPr>
        <w:t>聚焦生态实效、长效管护，确保各项修复工程、管护设施落地见效，切实解决保护区生态保护突出问题，持续改善湿地生态环境质量、优化野生鸟类栖息环境、提升保护区综合管护能力，推动区域湿地生态系统良性循环、生物多样性稳步提升，实现生态保护长效可持续发展。</w:t>
      </w:r>
    </w:p>
    <w:p w14:paraId="69156956">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2" w:firstLineChars="200"/>
        <w:textAlignment w:val="baseline"/>
        <w:rPr>
          <w:rFonts w:hint="default" w:ascii="仿宋" w:hAnsi="仿宋" w:eastAsia="仿宋" w:cs="仿宋"/>
          <w:bCs/>
          <w:sz w:val="30"/>
          <w:szCs w:val="30"/>
          <w:lang w:val="en-US" w:eastAsia="zh-CN"/>
        </w:rPr>
      </w:pPr>
      <w:r>
        <w:rPr>
          <w:rFonts w:hint="eastAsia" w:ascii="仿宋" w:hAnsi="仿宋" w:eastAsia="仿宋" w:cs="宋体"/>
          <w:b/>
          <w:bCs/>
          <w:sz w:val="30"/>
          <w:szCs w:val="30"/>
        </w:rPr>
        <w:t>2</w:t>
      </w:r>
      <w:r>
        <w:rPr>
          <w:rFonts w:hint="eastAsia" w:ascii="仿宋" w:hAnsi="仿宋" w:eastAsia="仿宋" w:cs="宋体"/>
          <w:b/>
          <w:bCs/>
          <w:sz w:val="30"/>
          <w:szCs w:val="30"/>
          <w:lang w:val="en-US" w:eastAsia="zh-CN"/>
        </w:rPr>
        <w:t>.</w:t>
      </w:r>
      <w:r>
        <w:rPr>
          <w:rFonts w:hint="eastAsia" w:ascii="仿宋" w:hAnsi="仿宋" w:eastAsia="仿宋" w:cs="宋体"/>
          <w:b/>
          <w:bCs/>
          <w:sz w:val="30"/>
          <w:szCs w:val="30"/>
        </w:rPr>
        <w:t>采购项目需要落实的政府采购政策：</w:t>
      </w:r>
      <w:r>
        <w:rPr>
          <w:rFonts w:hint="eastAsia" w:ascii="仿宋" w:hAnsi="仿宋" w:eastAsia="仿宋" w:cs="仿宋"/>
          <w:bCs/>
          <w:sz w:val="30"/>
          <w:szCs w:val="30"/>
          <w:lang w:eastAsia="zh-CN"/>
        </w:rPr>
        <w:t>（1）《政府采购促进中小企业发展管理办法》（财库〔2020〕46号）、（2）《关于进一步加大政府采购支持中小企业力度的通知》（财库〔2022〕19号）、（3）《关于政府采购支持监狱企业发展有关问题的通知》（财库〔2014〕68号）、（4）《关于促进残疾人就业政府采购政策的通知》（财库〔2017〕141号）、（5）《财政部发展改革委生态环境部市场监管总局关于调整优化节能产品、环境标志产品政府采购执行机制的通知》（财库〔2019〕9号）；（6）《关于印发环境标志产品政府采购品目清单的通知》（财库〔2019〕18号）；（7）《关于印发节能产品政府采购品目清单的通知》（财库〔2019〕19号）；（8）《财政部农业农村部国家乡村振兴局关于运用政府采购政策支持乡村产业振兴的通知》（财库〔2021〕19 号）。（9）《关于深入开展政府采购脱贫地区农副产品工作推进乡村产业振兴的实施意见》（财库〔2021〕20号）。（10）《陕西省财政厅关于加快推进我省中小企业政府采购信用融资工作的通知》（陕财办采〔2020〕15号）（11）《陕西省财政厅关于印发陕西省中小企业政府采购信用融资办法》（陕财办采〔2018〕23号）；（12）陕西省财政厅关于进一步加强政府绿色采购有关问题的通知（陕财办采〔2021〕29号）（13）《商品包装政府采购需求标准（试行）》和《快递包装政府采购需求标准（试行）》（财办库〔2020〕123号）；（14）其他需要落实的政府采购政策。</w:t>
      </w:r>
    </w:p>
    <w:p w14:paraId="40284C54">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default" w:ascii="仿宋" w:hAnsi="仿宋" w:eastAsia="仿宋" w:cs="仿宋"/>
          <w:bCs/>
          <w:color w:val="000000" w:themeColor="text1"/>
          <w:sz w:val="30"/>
          <w:szCs w:val="30"/>
          <w:lang w:val="en-US" w:eastAsia="zh-CN"/>
          <w14:textFill>
            <w14:solidFill>
              <w14:schemeClr w14:val="tx1"/>
            </w14:solidFill>
          </w14:textFill>
        </w:rPr>
      </w:pPr>
      <w:r>
        <w:rPr>
          <w:rFonts w:hint="eastAsia" w:ascii="仿宋" w:hAnsi="仿宋" w:eastAsia="仿宋" w:cs="仿宋"/>
          <w:bCs/>
          <w:color w:val="000000" w:themeColor="text1"/>
          <w:sz w:val="30"/>
          <w:szCs w:val="30"/>
          <w:lang w:eastAsia="zh-CN"/>
          <w14:textFill>
            <w14:solidFill>
              <w14:schemeClr w14:val="tx1"/>
            </w14:solidFill>
          </w14:textFill>
        </w:rPr>
        <w:t>3</w:t>
      </w:r>
      <w:r>
        <w:rPr>
          <w:rFonts w:hint="eastAsia" w:ascii="仿宋" w:hAnsi="仿宋" w:eastAsia="仿宋" w:cs="仿宋"/>
          <w:bCs/>
          <w:color w:val="000000" w:themeColor="text1"/>
          <w:sz w:val="30"/>
          <w:szCs w:val="30"/>
          <w:lang w:val="en-US" w:eastAsia="zh-CN"/>
          <w14:textFill>
            <w14:solidFill>
              <w14:schemeClr w14:val="tx1"/>
            </w14:solidFill>
          </w14:textFill>
        </w:rPr>
        <w:t>.</w:t>
      </w:r>
      <w:r>
        <w:rPr>
          <w:rFonts w:hint="eastAsia" w:ascii="仿宋" w:hAnsi="仿宋" w:eastAsia="仿宋" w:cs="仿宋"/>
          <w:bCs/>
          <w:color w:val="000000" w:themeColor="text1"/>
          <w:sz w:val="30"/>
          <w:szCs w:val="30"/>
          <w:lang w:eastAsia="zh-CN"/>
          <w14:textFill>
            <w14:solidFill>
              <w14:schemeClr w14:val="tx1"/>
            </w14:solidFill>
          </w14:textFill>
        </w:rPr>
        <w:t>服务期限：</w:t>
      </w:r>
      <w:r>
        <w:rPr>
          <w:rFonts w:hint="eastAsia" w:ascii="仿宋_GB2312" w:hAnsi="仿宋_GB2312" w:eastAsia="仿宋_GB2312" w:cs="仿宋_GB2312"/>
          <w:bCs w:val="0"/>
          <w:color w:val="000000" w:themeColor="text1"/>
          <w:sz w:val="32"/>
          <w:szCs w:val="32"/>
          <w14:textFill>
            <w14:solidFill>
              <w14:schemeClr w14:val="tx1"/>
            </w14:solidFill>
          </w14:textFill>
        </w:rPr>
        <w:t>12个月</w:t>
      </w:r>
    </w:p>
    <w:p w14:paraId="1573754A">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color w:val="000000" w:themeColor="text1"/>
          <w:sz w:val="30"/>
          <w:szCs w:val="30"/>
          <w:lang w:val="en-US" w:eastAsia="zh-CN"/>
          <w14:textFill>
            <w14:solidFill>
              <w14:schemeClr w14:val="tx1"/>
            </w14:solidFill>
          </w14:textFill>
        </w:rPr>
      </w:pPr>
      <w:r>
        <w:rPr>
          <w:rFonts w:hint="eastAsia" w:ascii="仿宋" w:hAnsi="仿宋" w:eastAsia="仿宋" w:cs="仿宋"/>
          <w:bCs/>
          <w:color w:val="000000" w:themeColor="text1"/>
          <w:sz w:val="30"/>
          <w:szCs w:val="30"/>
          <w:lang w:eastAsia="zh-CN"/>
          <w14:textFill>
            <w14:solidFill>
              <w14:schemeClr w14:val="tx1"/>
            </w14:solidFill>
          </w14:textFill>
        </w:rPr>
        <w:t>4</w:t>
      </w:r>
      <w:r>
        <w:rPr>
          <w:rFonts w:hint="eastAsia" w:ascii="仿宋" w:hAnsi="仿宋" w:eastAsia="仿宋" w:cs="仿宋"/>
          <w:bCs/>
          <w:color w:val="000000" w:themeColor="text1"/>
          <w:sz w:val="30"/>
          <w:szCs w:val="30"/>
          <w:lang w:val="en-US" w:eastAsia="zh-CN"/>
          <w14:textFill>
            <w14:solidFill>
              <w14:schemeClr w14:val="tx1"/>
            </w14:solidFill>
          </w14:textFill>
        </w:rPr>
        <w:t>.</w:t>
      </w:r>
      <w:r>
        <w:rPr>
          <w:rFonts w:hint="eastAsia" w:ascii="仿宋" w:hAnsi="仿宋" w:eastAsia="仿宋" w:cs="仿宋"/>
          <w:bCs/>
          <w:color w:val="000000" w:themeColor="text1"/>
          <w:sz w:val="30"/>
          <w:szCs w:val="30"/>
          <w:lang w:eastAsia="zh-CN"/>
          <w14:textFill>
            <w14:solidFill>
              <w14:schemeClr w14:val="tx1"/>
            </w14:solidFill>
          </w14:textFill>
        </w:rPr>
        <w:t>服务地点：</w:t>
      </w:r>
      <w:r>
        <w:rPr>
          <w:rFonts w:hint="eastAsia" w:ascii="仿宋_GB2312" w:hAnsi="仿宋_GB2312" w:eastAsia="仿宋_GB2312" w:cs="仿宋_GB2312"/>
          <w:color w:val="000000" w:themeColor="text1"/>
          <w:spacing w:val="-11"/>
          <w:sz w:val="32"/>
          <w:szCs w:val="32"/>
          <w:lang w:val="en-US" w:eastAsia="zh-CN"/>
          <w14:textFill>
            <w14:solidFill>
              <w14:schemeClr w14:val="tx1"/>
            </w14:solidFill>
          </w14:textFill>
        </w:rPr>
        <w:t>陕西渭南黄河省级重要湿地</w:t>
      </w: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w:t>
      </w:r>
      <w:r>
        <w:rPr>
          <w:rFonts w:hint="eastAsia" w:ascii="仿宋_GB2312" w:hAnsi="仿宋_GB2312" w:eastAsia="仿宋_GB2312" w:cs="仿宋_GB2312"/>
          <w:color w:val="000000" w:themeColor="text1"/>
          <w:spacing w:val="-11"/>
          <w:sz w:val="32"/>
          <w:szCs w:val="32"/>
          <w14:textFill>
            <w14:solidFill>
              <w14:schemeClr w14:val="tx1"/>
            </w14:solidFill>
          </w14:textFill>
        </w:rPr>
        <w:t>陕西黄河湿地省级自然保护区</w:t>
      </w: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w:t>
      </w:r>
    </w:p>
    <w:p w14:paraId="346D9ED3">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color w:val="000000" w:themeColor="text1"/>
          <w:sz w:val="30"/>
          <w:szCs w:val="30"/>
          <w:lang w:eastAsia="zh-CN"/>
          <w14:textFill>
            <w14:solidFill>
              <w14:schemeClr w14:val="tx1"/>
            </w14:solidFill>
          </w14:textFill>
        </w:rPr>
      </w:pPr>
      <w:r>
        <w:rPr>
          <w:rFonts w:hint="eastAsia" w:ascii="仿宋" w:hAnsi="仿宋" w:eastAsia="仿宋" w:cs="仿宋"/>
          <w:bCs/>
          <w:color w:val="000000" w:themeColor="text1"/>
          <w:sz w:val="30"/>
          <w:szCs w:val="30"/>
          <w:lang w:eastAsia="zh-CN"/>
          <w14:textFill>
            <w14:solidFill>
              <w14:schemeClr w14:val="tx1"/>
            </w14:solidFill>
          </w14:textFill>
        </w:rPr>
        <w:t>5</w:t>
      </w:r>
      <w:r>
        <w:rPr>
          <w:rFonts w:hint="eastAsia" w:ascii="仿宋" w:hAnsi="仿宋" w:eastAsia="仿宋" w:cs="仿宋"/>
          <w:bCs/>
          <w:color w:val="000000" w:themeColor="text1"/>
          <w:sz w:val="30"/>
          <w:szCs w:val="30"/>
          <w:lang w:val="en-US" w:eastAsia="zh-CN"/>
          <w14:textFill>
            <w14:solidFill>
              <w14:schemeClr w14:val="tx1"/>
            </w14:solidFill>
          </w14:textFill>
        </w:rPr>
        <w:t>.</w:t>
      </w:r>
      <w:r>
        <w:rPr>
          <w:rFonts w:hint="eastAsia" w:ascii="仿宋" w:hAnsi="仿宋" w:eastAsia="仿宋" w:cs="仿宋"/>
          <w:bCs/>
          <w:color w:val="000000" w:themeColor="text1"/>
          <w:sz w:val="30"/>
          <w:szCs w:val="30"/>
          <w:lang w:eastAsia="zh-CN"/>
          <w14:textFill>
            <w14:solidFill>
              <w14:schemeClr w14:val="tx1"/>
            </w14:solidFill>
          </w14:textFill>
        </w:rPr>
        <w:t>是否面向中小企业采购：是，专门面向</w:t>
      </w:r>
      <w:r>
        <w:rPr>
          <w:rFonts w:hint="eastAsia" w:ascii="仿宋" w:hAnsi="仿宋" w:eastAsia="仿宋" w:cs="仿宋"/>
          <w:bCs/>
          <w:color w:val="000000" w:themeColor="text1"/>
          <w:sz w:val="30"/>
          <w:szCs w:val="30"/>
          <w:lang w:val="en-US" w:eastAsia="zh-CN"/>
          <w14:textFill>
            <w14:solidFill>
              <w14:schemeClr w14:val="tx1"/>
            </w14:solidFill>
          </w14:textFill>
        </w:rPr>
        <w:t>中小</w:t>
      </w:r>
      <w:r>
        <w:rPr>
          <w:rFonts w:hint="eastAsia" w:ascii="仿宋" w:hAnsi="仿宋" w:eastAsia="仿宋" w:cs="仿宋"/>
          <w:bCs/>
          <w:color w:val="000000" w:themeColor="text1"/>
          <w:sz w:val="30"/>
          <w:szCs w:val="30"/>
          <w:lang w:eastAsia="zh-CN"/>
          <w14:textFill>
            <w14:solidFill>
              <w14:schemeClr w14:val="tx1"/>
            </w14:solidFill>
          </w14:textFill>
        </w:rPr>
        <w:t>企业</w:t>
      </w:r>
    </w:p>
    <w:p w14:paraId="1D9C96C9">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黑体" w:hAnsi="黑体" w:eastAsia="黑体" w:cs="宋体"/>
          <w:sz w:val="30"/>
          <w:szCs w:val="30"/>
        </w:rPr>
      </w:pPr>
      <w:r>
        <w:rPr>
          <w:rFonts w:hint="eastAsia" w:ascii="黑体" w:hAnsi="黑体" w:eastAsia="黑体" w:cs="宋体"/>
          <w:sz w:val="30"/>
          <w:szCs w:val="30"/>
        </w:rPr>
        <w:t>二、需执行的国家相关标准、行业标准、地方标准或者其他标准、规范标准</w:t>
      </w:r>
      <w:bookmarkStart w:id="0" w:name="_Toc26384"/>
      <w:bookmarkStart w:id="1" w:name="_Toc31446"/>
      <w:bookmarkStart w:id="2" w:name="_Toc19083"/>
      <w:bookmarkStart w:id="3" w:name="_Toc8800"/>
    </w:p>
    <w:bookmarkEnd w:id="0"/>
    <w:bookmarkEnd w:id="1"/>
    <w:bookmarkEnd w:id="2"/>
    <w:bookmarkEnd w:id="3"/>
    <w:p w14:paraId="43692DF3">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2" w:firstLineChars="200"/>
        <w:textAlignment w:val="baseline"/>
        <w:rPr>
          <w:rFonts w:hint="eastAsia" w:ascii="仿宋" w:hAnsi="仿宋" w:eastAsia="仿宋" w:cs="仿宋"/>
          <w:b/>
          <w:bCs w:val="0"/>
          <w:sz w:val="30"/>
          <w:szCs w:val="30"/>
          <w:lang w:eastAsia="zh-CN"/>
        </w:rPr>
      </w:pPr>
      <w:r>
        <w:rPr>
          <w:rFonts w:hint="eastAsia" w:ascii="仿宋" w:hAnsi="仿宋" w:eastAsia="仿宋" w:cs="仿宋"/>
          <w:b/>
          <w:bCs w:val="0"/>
          <w:sz w:val="30"/>
          <w:szCs w:val="30"/>
          <w:lang w:val="en-US" w:eastAsia="zh-CN"/>
        </w:rPr>
        <w:t>1.法律</w:t>
      </w:r>
      <w:r>
        <w:rPr>
          <w:rFonts w:hint="eastAsia" w:ascii="仿宋" w:hAnsi="仿宋" w:eastAsia="仿宋" w:cs="仿宋"/>
          <w:b/>
          <w:bCs w:val="0"/>
          <w:sz w:val="30"/>
          <w:szCs w:val="30"/>
          <w:lang w:eastAsia="zh-CN"/>
        </w:rPr>
        <w:t>法规</w:t>
      </w:r>
      <w:r>
        <w:rPr>
          <w:rFonts w:hint="eastAsia" w:ascii="仿宋" w:hAnsi="仿宋" w:eastAsia="仿宋" w:cs="仿宋"/>
          <w:b/>
          <w:bCs w:val="0"/>
          <w:sz w:val="30"/>
          <w:szCs w:val="30"/>
          <w:lang w:val="en-US" w:eastAsia="zh-CN"/>
        </w:rPr>
        <w:t>制度</w:t>
      </w:r>
    </w:p>
    <w:p w14:paraId="75C1F4E5">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《中华人民共和国湿地保护法》（2022</w:t>
      </w:r>
      <w:r>
        <w:rPr>
          <w:rFonts w:hint="eastAsia" w:ascii="仿宋" w:hAnsi="仿宋" w:eastAsia="仿宋" w:cs="仿宋"/>
          <w:bCs/>
          <w:sz w:val="30"/>
          <w:szCs w:val="30"/>
          <w:lang w:val="en-US" w:eastAsia="zh-CN"/>
        </w:rPr>
        <w:t>年</w:t>
      </w:r>
      <w:r>
        <w:rPr>
          <w:rFonts w:hint="eastAsia" w:ascii="仿宋" w:hAnsi="仿宋" w:eastAsia="仿宋" w:cs="仿宋"/>
          <w:bCs/>
          <w:sz w:val="30"/>
          <w:szCs w:val="30"/>
          <w:lang w:eastAsia="zh-CN"/>
        </w:rPr>
        <w:t>）；</w:t>
      </w:r>
    </w:p>
    <w:p w14:paraId="6E0D430E">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《中华人民共和国自然保护区条例》（20</w:t>
      </w:r>
      <w:r>
        <w:rPr>
          <w:rFonts w:hint="eastAsia" w:ascii="仿宋" w:hAnsi="仿宋" w:eastAsia="仿宋" w:cs="仿宋"/>
          <w:bCs/>
          <w:sz w:val="30"/>
          <w:szCs w:val="30"/>
          <w:lang w:val="en-US" w:eastAsia="zh-CN"/>
        </w:rPr>
        <w:t>26年</w:t>
      </w:r>
      <w:r>
        <w:rPr>
          <w:rFonts w:hint="eastAsia" w:ascii="仿宋" w:hAnsi="仿宋" w:eastAsia="仿宋" w:cs="仿宋"/>
          <w:bCs/>
          <w:sz w:val="30"/>
          <w:szCs w:val="30"/>
          <w:lang w:eastAsia="zh-CN"/>
        </w:rPr>
        <w:t>修订）</w:t>
      </w:r>
    </w:p>
    <w:p w14:paraId="19A532F7">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《中华人民共和国水法》（2016</w:t>
      </w:r>
      <w:r>
        <w:rPr>
          <w:rFonts w:hint="eastAsia" w:ascii="仿宋" w:hAnsi="仿宋" w:eastAsia="仿宋" w:cs="仿宋"/>
          <w:bCs/>
          <w:sz w:val="30"/>
          <w:szCs w:val="30"/>
          <w:lang w:val="en-US" w:eastAsia="zh-CN"/>
        </w:rPr>
        <w:t>年</w:t>
      </w:r>
      <w:r>
        <w:rPr>
          <w:rFonts w:hint="eastAsia" w:ascii="仿宋" w:hAnsi="仿宋" w:eastAsia="仿宋" w:cs="仿宋"/>
          <w:bCs/>
          <w:sz w:val="30"/>
          <w:szCs w:val="30"/>
          <w:lang w:eastAsia="zh-CN"/>
        </w:rPr>
        <w:t>）；</w:t>
      </w:r>
    </w:p>
    <w:p w14:paraId="2D09B927">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《中华人民共和国黄河保护法》（2023</w:t>
      </w:r>
      <w:r>
        <w:rPr>
          <w:rFonts w:hint="eastAsia" w:ascii="仿宋" w:hAnsi="仿宋" w:eastAsia="仿宋" w:cs="仿宋"/>
          <w:bCs/>
          <w:sz w:val="30"/>
          <w:szCs w:val="30"/>
          <w:lang w:val="en-US" w:eastAsia="zh-CN"/>
        </w:rPr>
        <w:t>年</w:t>
      </w:r>
      <w:r>
        <w:rPr>
          <w:rFonts w:hint="eastAsia" w:ascii="仿宋" w:hAnsi="仿宋" w:eastAsia="仿宋" w:cs="仿宋"/>
          <w:bCs/>
          <w:sz w:val="30"/>
          <w:szCs w:val="30"/>
          <w:lang w:eastAsia="zh-CN"/>
        </w:rPr>
        <w:t>）；</w:t>
      </w:r>
    </w:p>
    <w:p w14:paraId="7C5CC70D">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《中华人民共和国土地管理法》（2019</w:t>
      </w:r>
      <w:r>
        <w:rPr>
          <w:rFonts w:hint="eastAsia" w:ascii="仿宋" w:hAnsi="仿宋" w:eastAsia="仿宋" w:cs="仿宋"/>
          <w:bCs/>
          <w:sz w:val="30"/>
          <w:szCs w:val="30"/>
          <w:lang w:val="en-US" w:eastAsia="zh-CN"/>
        </w:rPr>
        <w:t>年</w:t>
      </w:r>
      <w:r>
        <w:rPr>
          <w:rFonts w:hint="eastAsia" w:ascii="仿宋" w:hAnsi="仿宋" w:eastAsia="仿宋" w:cs="仿宋"/>
          <w:bCs/>
          <w:sz w:val="30"/>
          <w:szCs w:val="30"/>
          <w:lang w:eastAsia="zh-CN"/>
        </w:rPr>
        <w:t>）；</w:t>
      </w:r>
    </w:p>
    <w:p w14:paraId="4C7172B2">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《中华人民共和国野生动物保护法》（2022修订）；</w:t>
      </w:r>
    </w:p>
    <w:p w14:paraId="1E078159">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《中华人民共和国河道管理条例》（2018</w:t>
      </w:r>
      <w:r>
        <w:rPr>
          <w:rFonts w:hint="eastAsia" w:ascii="仿宋" w:hAnsi="仿宋" w:eastAsia="仿宋" w:cs="仿宋"/>
          <w:bCs/>
          <w:sz w:val="30"/>
          <w:szCs w:val="30"/>
          <w:lang w:val="en-US" w:eastAsia="zh-CN"/>
        </w:rPr>
        <w:t>年</w:t>
      </w:r>
      <w:r>
        <w:rPr>
          <w:rFonts w:hint="eastAsia" w:ascii="仿宋" w:hAnsi="仿宋" w:eastAsia="仿宋" w:cs="仿宋"/>
          <w:bCs/>
          <w:sz w:val="30"/>
          <w:szCs w:val="30"/>
          <w:lang w:eastAsia="zh-CN"/>
        </w:rPr>
        <w:t>）；</w:t>
      </w:r>
    </w:p>
    <w:p w14:paraId="1F0D26EA">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《陕西省实施〈中华人民共和国野生动物保护法〉办法》（2023</w:t>
      </w:r>
      <w:r>
        <w:rPr>
          <w:rFonts w:hint="eastAsia" w:ascii="仿宋" w:hAnsi="仿宋" w:eastAsia="仿宋" w:cs="仿宋"/>
          <w:bCs/>
          <w:sz w:val="30"/>
          <w:szCs w:val="30"/>
          <w:lang w:val="en-US" w:eastAsia="zh-CN"/>
        </w:rPr>
        <w:t>年</w:t>
      </w:r>
      <w:r>
        <w:rPr>
          <w:rFonts w:hint="eastAsia" w:ascii="仿宋" w:hAnsi="仿宋" w:eastAsia="仿宋" w:cs="仿宋"/>
          <w:bCs/>
          <w:sz w:val="30"/>
          <w:szCs w:val="30"/>
          <w:lang w:eastAsia="zh-CN"/>
        </w:rPr>
        <w:t>修订）；</w:t>
      </w:r>
    </w:p>
    <w:p w14:paraId="2C9C18FC">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《陕西省湿地保护条例》（202</w:t>
      </w:r>
      <w:r>
        <w:rPr>
          <w:rFonts w:hint="eastAsia" w:ascii="仿宋" w:hAnsi="仿宋" w:eastAsia="仿宋" w:cs="仿宋"/>
          <w:bCs/>
          <w:sz w:val="30"/>
          <w:szCs w:val="30"/>
          <w:lang w:val="en-US" w:eastAsia="zh-CN"/>
        </w:rPr>
        <w:t>6年</w:t>
      </w:r>
      <w:r>
        <w:rPr>
          <w:rFonts w:hint="eastAsia" w:ascii="仿宋" w:hAnsi="仿宋" w:eastAsia="仿宋" w:cs="仿宋"/>
          <w:bCs/>
          <w:sz w:val="30"/>
          <w:szCs w:val="30"/>
          <w:lang w:eastAsia="zh-CN"/>
        </w:rPr>
        <w:t>修</w:t>
      </w:r>
      <w:r>
        <w:rPr>
          <w:rFonts w:hint="eastAsia" w:ascii="仿宋" w:hAnsi="仿宋" w:eastAsia="仿宋" w:cs="仿宋"/>
          <w:bCs/>
          <w:sz w:val="30"/>
          <w:szCs w:val="30"/>
          <w:lang w:val="en-US" w:eastAsia="zh-CN"/>
        </w:rPr>
        <w:t>正</w:t>
      </w:r>
      <w:r>
        <w:rPr>
          <w:rFonts w:hint="eastAsia" w:ascii="仿宋" w:hAnsi="仿宋" w:eastAsia="仿宋" w:cs="仿宋"/>
          <w:bCs/>
          <w:sz w:val="30"/>
          <w:szCs w:val="30"/>
          <w:lang w:eastAsia="zh-CN"/>
        </w:rPr>
        <w:t>）；</w:t>
      </w:r>
    </w:p>
    <w:p w14:paraId="2B6638BA">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《渭南市湿地保护条例》（202</w:t>
      </w:r>
      <w:r>
        <w:rPr>
          <w:rFonts w:hint="eastAsia" w:ascii="仿宋" w:hAnsi="仿宋" w:eastAsia="仿宋" w:cs="仿宋"/>
          <w:bCs/>
          <w:sz w:val="30"/>
          <w:szCs w:val="30"/>
          <w:lang w:val="en-US" w:eastAsia="zh-CN"/>
        </w:rPr>
        <w:t>6年</w:t>
      </w:r>
      <w:r>
        <w:rPr>
          <w:rFonts w:hint="eastAsia" w:ascii="仿宋" w:hAnsi="仿宋" w:eastAsia="仿宋" w:cs="仿宋"/>
          <w:bCs/>
          <w:sz w:val="30"/>
          <w:szCs w:val="30"/>
          <w:lang w:eastAsia="zh-CN"/>
        </w:rPr>
        <w:t>修</w:t>
      </w:r>
      <w:r>
        <w:rPr>
          <w:rFonts w:hint="eastAsia" w:ascii="仿宋" w:hAnsi="仿宋" w:eastAsia="仿宋" w:cs="仿宋"/>
          <w:bCs/>
          <w:sz w:val="30"/>
          <w:szCs w:val="30"/>
          <w:lang w:val="en-US" w:eastAsia="zh-CN"/>
        </w:rPr>
        <w:t>正</w:t>
      </w:r>
      <w:r>
        <w:rPr>
          <w:rFonts w:hint="eastAsia" w:ascii="仿宋" w:hAnsi="仿宋" w:eastAsia="仿宋" w:cs="仿宋"/>
          <w:bCs/>
          <w:sz w:val="30"/>
          <w:szCs w:val="30"/>
          <w:lang w:eastAsia="zh-CN"/>
        </w:rPr>
        <w:t>）；</w:t>
      </w:r>
    </w:p>
    <w:p w14:paraId="2CADD1F4">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《陕西省河道管理条例》（2024</w:t>
      </w:r>
      <w:r>
        <w:rPr>
          <w:rFonts w:hint="eastAsia" w:ascii="仿宋" w:hAnsi="仿宋" w:eastAsia="仿宋" w:cs="仿宋"/>
          <w:bCs/>
          <w:sz w:val="30"/>
          <w:szCs w:val="30"/>
          <w:lang w:val="en-US" w:eastAsia="zh-CN"/>
        </w:rPr>
        <w:t>年</w:t>
      </w:r>
      <w:r>
        <w:rPr>
          <w:rFonts w:hint="eastAsia" w:ascii="仿宋" w:hAnsi="仿宋" w:eastAsia="仿宋" w:cs="仿宋"/>
          <w:bCs/>
          <w:sz w:val="30"/>
          <w:szCs w:val="30"/>
          <w:lang w:eastAsia="zh-CN"/>
        </w:rPr>
        <w:t>第四次修正）；</w:t>
      </w:r>
    </w:p>
    <w:p w14:paraId="05261E6E">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《陕西省省级重要湿地管理办法》（陕林湿字〔2023〕469号）。</w:t>
      </w:r>
    </w:p>
    <w:p w14:paraId="38CFB1E8">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2" w:firstLineChars="200"/>
        <w:textAlignment w:val="baseline"/>
        <w:rPr>
          <w:rFonts w:hint="eastAsia" w:ascii="仿宋" w:hAnsi="仿宋" w:eastAsia="仿宋" w:cs="仿宋"/>
          <w:b/>
          <w:bCs w:val="0"/>
          <w:sz w:val="30"/>
          <w:szCs w:val="30"/>
          <w:lang w:eastAsia="zh-CN"/>
        </w:rPr>
      </w:pPr>
      <w:r>
        <w:rPr>
          <w:rFonts w:hint="eastAsia" w:ascii="仿宋" w:hAnsi="仿宋" w:eastAsia="仿宋" w:cs="仿宋"/>
          <w:b/>
          <w:bCs w:val="0"/>
          <w:sz w:val="30"/>
          <w:szCs w:val="30"/>
          <w:lang w:val="en-US" w:eastAsia="zh-CN"/>
        </w:rPr>
        <w:t>2.</w:t>
      </w:r>
      <w:r>
        <w:rPr>
          <w:rFonts w:hint="eastAsia" w:ascii="仿宋" w:hAnsi="仿宋" w:eastAsia="仿宋" w:cs="仿宋"/>
          <w:b/>
          <w:bCs w:val="0"/>
          <w:sz w:val="30"/>
          <w:szCs w:val="30"/>
          <w:lang w:eastAsia="zh-CN"/>
        </w:rPr>
        <w:t>政策文件</w:t>
      </w:r>
    </w:p>
    <w:p w14:paraId="6F782894">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关于印发《202</w:t>
      </w:r>
      <w:r>
        <w:rPr>
          <w:rFonts w:hint="eastAsia" w:ascii="仿宋" w:hAnsi="仿宋" w:eastAsia="仿宋" w:cs="仿宋"/>
          <w:bCs/>
          <w:sz w:val="30"/>
          <w:szCs w:val="30"/>
          <w:lang w:val="en-US" w:eastAsia="zh-CN"/>
        </w:rPr>
        <w:t>6</w:t>
      </w:r>
      <w:r>
        <w:rPr>
          <w:rFonts w:hint="eastAsia" w:ascii="仿宋" w:hAnsi="仿宋" w:eastAsia="仿宋" w:cs="仿宋"/>
          <w:bCs/>
          <w:sz w:val="30"/>
          <w:szCs w:val="30"/>
          <w:lang w:eastAsia="zh-CN"/>
        </w:rPr>
        <w:t>年省级黄河流域生态保护和高质量发展专项资金项目申报指南》的通知（陕发改黄河〔2025〕</w:t>
      </w:r>
      <w:r>
        <w:rPr>
          <w:rFonts w:hint="eastAsia" w:ascii="仿宋" w:hAnsi="仿宋" w:eastAsia="仿宋" w:cs="仿宋"/>
          <w:bCs/>
          <w:sz w:val="30"/>
          <w:szCs w:val="30"/>
          <w:lang w:val="en-US" w:eastAsia="zh-CN"/>
        </w:rPr>
        <w:t>1479</w:t>
      </w:r>
      <w:r>
        <w:rPr>
          <w:rFonts w:hint="eastAsia" w:ascii="仿宋" w:hAnsi="仿宋" w:eastAsia="仿宋" w:cs="仿宋"/>
          <w:bCs/>
          <w:sz w:val="30"/>
          <w:szCs w:val="30"/>
          <w:lang w:eastAsia="zh-CN"/>
        </w:rPr>
        <w:t>号）；</w:t>
      </w:r>
    </w:p>
    <w:p w14:paraId="22179454">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中共陕西省委 陕西省人民政府印发《陕西省黄河流域生态保护和高质量发展规划》（2022）；</w:t>
      </w:r>
    </w:p>
    <w:p w14:paraId="63A6BA51">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《陕西省黄河流域生态保护和高质量发展专项奖补实施方案》（2022）；</w:t>
      </w:r>
    </w:p>
    <w:p w14:paraId="175A31CC">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中共中央 国务院印发《黄河流域生态保护和高质量发展规划纲要》（2021）；</w:t>
      </w:r>
    </w:p>
    <w:p w14:paraId="176889A4">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陕西省林业局《关于下达202</w:t>
      </w:r>
      <w:r>
        <w:rPr>
          <w:rFonts w:hint="eastAsia" w:ascii="仿宋" w:hAnsi="仿宋" w:eastAsia="仿宋" w:cs="仿宋"/>
          <w:bCs/>
          <w:sz w:val="30"/>
          <w:szCs w:val="30"/>
          <w:lang w:val="en-US" w:eastAsia="zh-CN"/>
        </w:rPr>
        <w:t>6</w:t>
      </w:r>
      <w:r>
        <w:rPr>
          <w:rFonts w:hint="eastAsia" w:ascii="仿宋" w:hAnsi="仿宋" w:eastAsia="仿宋" w:cs="仿宋"/>
          <w:bCs/>
          <w:sz w:val="30"/>
          <w:szCs w:val="30"/>
          <w:lang w:eastAsia="zh-CN"/>
        </w:rPr>
        <w:t>年黄河流域生态保护和高质量发展专项资金计划的通知》(陕林财字﹝202</w:t>
      </w:r>
      <w:r>
        <w:rPr>
          <w:rFonts w:hint="eastAsia" w:ascii="仿宋" w:hAnsi="仿宋" w:eastAsia="仿宋" w:cs="仿宋"/>
          <w:bCs/>
          <w:sz w:val="30"/>
          <w:szCs w:val="30"/>
          <w:lang w:val="en-US" w:eastAsia="zh-CN"/>
        </w:rPr>
        <w:t>6</w:t>
      </w:r>
      <w:r>
        <w:rPr>
          <w:rFonts w:hint="eastAsia" w:ascii="仿宋" w:hAnsi="仿宋" w:eastAsia="仿宋" w:cs="仿宋"/>
          <w:bCs/>
          <w:sz w:val="30"/>
          <w:szCs w:val="30"/>
          <w:lang w:eastAsia="zh-CN"/>
        </w:rPr>
        <w:t>﹞</w:t>
      </w:r>
      <w:r>
        <w:rPr>
          <w:rFonts w:hint="eastAsia" w:ascii="仿宋" w:hAnsi="仿宋" w:eastAsia="仿宋" w:cs="仿宋"/>
          <w:bCs/>
          <w:sz w:val="30"/>
          <w:szCs w:val="30"/>
          <w:lang w:val="en-US" w:eastAsia="zh-CN"/>
        </w:rPr>
        <w:t>340</w:t>
      </w:r>
      <w:r>
        <w:rPr>
          <w:rFonts w:hint="eastAsia" w:ascii="仿宋" w:hAnsi="仿宋" w:eastAsia="仿宋" w:cs="仿宋"/>
          <w:bCs/>
          <w:sz w:val="30"/>
          <w:szCs w:val="30"/>
          <w:lang w:eastAsia="zh-CN"/>
        </w:rPr>
        <w:t>号)；</w:t>
      </w:r>
    </w:p>
    <w:p w14:paraId="2461C3BA">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《渭南市林业局关于下达202</w:t>
      </w:r>
      <w:r>
        <w:rPr>
          <w:rFonts w:hint="eastAsia" w:ascii="仿宋" w:hAnsi="仿宋" w:eastAsia="仿宋" w:cs="仿宋"/>
          <w:bCs/>
          <w:sz w:val="30"/>
          <w:szCs w:val="30"/>
          <w:lang w:val="en-US" w:eastAsia="zh-CN"/>
        </w:rPr>
        <w:t>6</w:t>
      </w:r>
      <w:r>
        <w:rPr>
          <w:rFonts w:hint="eastAsia" w:ascii="仿宋" w:hAnsi="仿宋" w:eastAsia="仿宋" w:cs="仿宋"/>
          <w:bCs/>
          <w:sz w:val="30"/>
          <w:szCs w:val="30"/>
          <w:lang w:eastAsia="zh-CN"/>
        </w:rPr>
        <w:t>年黄河流域生态保护和高质量发展专项资金计划的通知》(渭林发﹝202</w:t>
      </w:r>
      <w:r>
        <w:rPr>
          <w:rFonts w:hint="eastAsia" w:ascii="仿宋" w:hAnsi="仿宋" w:eastAsia="仿宋" w:cs="仿宋"/>
          <w:bCs/>
          <w:sz w:val="30"/>
          <w:szCs w:val="30"/>
          <w:lang w:val="en-US" w:eastAsia="zh-CN"/>
        </w:rPr>
        <w:t>6</w:t>
      </w:r>
      <w:r>
        <w:rPr>
          <w:rFonts w:hint="eastAsia" w:ascii="仿宋" w:hAnsi="仿宋" w:eastAsia="仿宋" w:cs="仿宋"/>
          <w:bCs/>
          <w:sz w:val="30"/>
          <w:szCs w:val="30"/>
          <w:lang w:eastAsia="zh-CN"/>
        </w:rPr>
        <w:t>﹞</w:t>
      </w:r>
      <w:r>
        <w:rPr>
          <w:rFonts w:hint="eastAsia" w:ascii="仿宋" w:hAnsi="仿宋" w:eastAsia="仿宋" w:cs="仿宋"/>
          <w:bCs/>
          <w:sz w:val="30"/>
          <w:szCs w:val="30"/>
          <w:lang w:val="en-US" w:eastAsia="zh-CN"/>
        </w:rPr>
        <w:t>140</w:t>
      </w:r>
      <w:r>
        <w:rPr>
          <w:rFonts w:hint="eastAsia" w:ascii="仿宋" w:hAnsi="仿宋" w:eastAsia="仿宋" w:cs="仿宋"/>
          <w:bCs/>
          <w:sz w:val="30"/>
          <w:szCs w:val="30"/>
          <w:lang w:eastAsia="zh-CN"/>
        </w:rPr>
        <w:t>号)；</w:t>
      </w:r>
    </w:p>
    <w:p w14:paraId="3FE46EED">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《陕西省级黄河流域生态保护和高质量发展专项资金管理办法》(陕财</w:t>
      </w:r>
      <w:r>
        <w:rPr>
          <w:rFonts w:hint="eastAsia" w:ascii="仿宋" w:hAnsi="仿宋" w:eastAsia="仿宋" w:cs="仿宋"/>
          <w:bCs/>
          <w:sz w:val="30"/>
          <w:szCs w:val="30"/>
          <w:lang w:val="en-US" w:eastAsia="zh-CN"/>
        </w:rPr>
        <w:t>办资环</w:t>
      </w:r>
      <w:r>
        <w:rPr>
          <w:rFonts w:hint="eastAsia" w:ascii="仿宋" w:hAnsi="仿宋" w:eastAsia="仿宋" w:cs="仿宋"/>
          <w:bCs/>
          <w:sz w:val="30"/>
          <w:szCs w:val="30"/>
          <w:lang w:eastAsia="zh-CN"/>
        </w:rPr>
        <w:t>﹝202</w:t>
      </w:r>
      <w:r>
        <w:rPr>
          <w:rFonts w:hint="eastAsia" w:ascii="仿宋" w:hAnsi="仿宋" w:eastAsia="仿宋" w:cs="仿宋"/>
          <w:bCs/>
          <w:sz w:val="30"/>
          <w:szCs w:val="30"/>
          <w:lang w:val="en-US" w:eastAsia="zh-CN"/>
        </w:rPr>
        <w:t>4</w:t>
      </w:r>
      <w:r>
        <w:rPr>
          <w:rFonts w:hint="eastAsia" w:ascii="仿宋" w:hAnsi="仿宋" w:eastAsia="仿宋" w:cs="仿宋"/>
          <w:bCs/>
          <w:sz w:val="30"/>
          <w:szCs w:val="30"/>
          <w:lang w:eastAsia="zh-CN"/>
        </w:rPr>
        <w:t>﹞</w:t>
      </w:r>
      <w:r>
        <w:rPr>
          <w:rFonts w:hint="eastAsia" w:ascii="仿宋" w:hAnsi="仿宋" w:eastAsia="仿宋" w:cs="仿宋"/>
          <w:bCs/>
          <w:sz w:val="30"/>
          <w:szCs w:val="30"/>
          <w:lang w:val="en-US" w:eastAsia="zh-CN"/>
        </w:rPr>
        <w:t>136</w:t>
      </w:r>
      <w:r>
        <w:rPr>
          <w:rFonts w:hint="eastAsia" w:ascii="仿宋" w:hAnsi="仿宋" w:eastAsia="仿宋" w:cs="仿宋"/>
          <w:bCs/>
          <w:sz w:val="30"/>
          <w:szCs w:val="30"/>
          <w:lang w:eastAsia="zh-CN"/>
        </w:rPr>
        <w:t>号)；</w:t>
      </w:r>
    </w:p>
    <w:p w14:paraId="2EF3BFCB">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自然资源部 生态环境部 国家林业和草原局《关于加强生态保护红线管理的通知（试行）》（自然资发〔2022〕142号）；</w:t>
      </w:r>
    </w:p>
    <w:p w14:paraId="5C4DCBCF">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自然资源部关于印发《国土空间调查、规划、用途管制用地用海分类指南》的通知（自然资发〔2023〕234号）；</w:t>
      </w:r>
    </w:p>
    <w:p w14:paraId="43A0BE25">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陕西省自然资源厅 陕西省生态环境厅 陕西省林业局《关于加强生态保护红线管理的通知（试行）》（陕自然资规〔2023〕2号）；</w:t>
      </w:r>
    </w:p>
    <w:p w14:paraId="483CDB3D">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国家林业和草原局 自然资源部生态环境部 住房和城乡建设部水利部 农业农村部关于印发《重要湿地修复方案编制指南》的通知（林湿发〔2022〕125号）；</w:t>
      </w:r>
    </w:p>
    <w:p w14:paraId="7C65BFE6">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国家林业和草原局关于印发《陆生野生动物重要栖息地认定暂行办法》的通知（林护发〔2023〕116号）。</w:t>
      </w:r>
    </w:p>
    <w:p w14:paraId="1E76870E">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《渭南市财政局关于下达202</w:t>
      </w:r>
      <w:r>
        <w:rPr>
          <w:rFonts w:hint="eastAsia" w:ascii="仿宋" w:hAnsi="仿宋" w:eastAsia="仿宋" w:cs="仿宋"/>
          <w:bCs/>
          <w:sz w:val="30"/>
          <w:szCs w:val="30"/>
          <w:lang w:val="en-US" w:eastAsia="zh-CN"/>
        </w:rPr>
        <w:t>6</w:t>
      </w:r>
      <w:r>
        <w:rPr>
          <w:rFonts w:hint="eastAsia" w:ascii="仿宋" w:hAnsi="仿宋" w:eastAsia="仿宋" w:cs="仿宋"/>
          <w:bCs/>
          <w:sz w:val="30"/>
          <w:szCs w:val="30"/>
          <w:lang w:eastAsia="zh-CN"/>
        </w:rPr>
        <w:t>年省级黄河流域生态保护和高质量发展专项资金（重要湿地保护治理方向）预算的通知》（渭财办预〔202</w:t>
      </w:r>
      <w:r>
        <w:rPr>
          <w:rFonts w:hint="eastAsia" w:ascii="仿宋" w:hAnsi="仿宋" w:eastAsia="仿宋" w:cs="仿宋"/>
          <w:bCs/>
          <w:sz w:val="30"/>
          <w:szCs w:val="30"/>
          <w:lang w:val="en-US" w:eastAsia="zh-CN"/>
        </w:rPr>
        <w:t>6</w:t>
      </w:r>
      <w:r>
        <w:rPr>
          <w:rFonts w:hint="eastAsia" w:ascii="仿宋" w:hAnsi="仿宋" w:eastAsia="仿宋" w:cs="仿宋"/>
          <w:bCs/>
          <w:sz w:val="30"/>
          <w:szCs w:val="30"/>
          <w:lang w:eastAsia="zh-CN"/>
        </w:rPr>
        <w:t>〕</w:t>
      </w:r>
      <w:r>
        <w:rPr>
          <w:rFonts w:hint="eastAsia" w:ascii="仿宋" w:hAnsi="仿宋" w:eastAsia="仿宋" w:cs="仿宋"/>
          <w:bCs/>
          <w:sz w:val="30"/>
          <w:szCs w:val="30"/>
          <w:lang w:val="en-US" w:eastAsia="zh-CN"/>
        </w:rPr>
        <w:t>399</w:t>
      </w:r>
      <w:r>
        <w:rPr>
          <w:rFonts w:hint="eastAsia" w:ascii="仿宋" w:hAnsi="仿宋" w:eastAsia="仿宋" w:cs="仿宋"/>
          <w:bCs/>
          <w:sz w:val="30"/>
          <w:szCs w:val="30"/>
          <w:lang w:eastAsia="zh-CN"/>
        </w:rPr>
        <w:t>号）。</w:t>
      </w:r>
    </w:p>
    <w:p w14:paraId="251878E8">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《国家重点保护野生动物名录》（2021年2月1日发布）；</w:t>
      </w:r>
    </w:p>
    <w:p w14:paraId="4807359E">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bookmarkStart w:id="4" w:name="OLE_LINK8"/>
      <w:r>
        <w:rPr>
          <w:rFonts w:hint="eastAsia" w:ascii="仿宋" w:hAnsi="仿宋" w:eastAsia="仿宋" w:cs="仿宋"/>
          <w:bCs/>
          <w:sz w:val="30"/>
          <w:szCs w:val="30"/>
          <w:lang w:eastAsia="zh-CN"/>
        </w:rPr>
        <w:t>《国家重点保护野生植物名录》</w:t>
      </w:r>
      <w:bookmarkEnd w:id="4"/>
      <w:r>
        <w:rPr>
          <w:rFonts w:hint="eastAsia" w:ascii="仿宋" w:hAnsi="仿宋" w:eastAsia="仿宋" w:cs="仿宋"/>
          <w:bCs/>
          <w:sz w:val="30"/>
          <w:szCs w:val="30"/>
          <w:lang w:eastAsia="zh-CN"/>
        </w:rPr>
        <w:t>（2021年9月7日发布）；</w:t>
      </w:r>
    </w:p>
    <w:p w14:paraId="61491848">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《陕西省重点保护野生动物名录》（陕政函〔2022〕55号）；</w:t>
      </w:r>
    </w:p>
    <w:p w14:paraId="124D3607">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bookmarkStart w:id="5" w:name="OLE_LINK9"/>
      <w:r>
        <w:rPr>
          <w:rFonts w:hint="eastAsia" w:ascii="仿宋" w:hAnsi="仿宋" w:eastAsia="仿宋" w:cs="仿宋"/>
          <w:bCs/>
          <w:sz w:val="30"/>
          <w:szCs w:val="30"/>
          <w:lang w:eastAsia="zh-CN"/>
        </w:rPr>
        <w:t>《陕西省重点保护野生植物名录》</w:t>
      </w:r>
      <w:bookmarkEnd w:id="5"/>
      <w:r>
        <w:rPr>
          <w:rFonts w:hint="eastAsia" w:ascii="仿宋" w:hAnsi="仿宋" w:eastAsia="仿宋" w:cs="仿宋"/>
          <w:bCs/>
          <w:sz w:val="30"/>
          <w:szCs w:val="30"/>
          <w:lang w:eastAsia="zh-CN"/>
        </w:rPr>
        <w:t>（陕政函〔2022〕54号）；</w:t>
      </w:r>
    </w:p>
    <w:p w14:paraId="51420EF2">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val="en-US" w:eastAsia="zh-CN"/>
        </w:rPr>
      </w:pPr>
      <w:r>
        <w:rPr>
          <w:rFonts w:hint="eastAsia" w:ascii="仿宋" w:hAnsi="仿宋" w:eastAsia="仿宋" w:cs="仿宋"/>
          <w:bCs/>
          <w:sz w:val="30"/>
          <w:szCs w:val="30"/>
          <w:lang w:eastAsia="zh-CN"/>
        </w:rPr>
        <w:t>《国土空间调查、规划、用途管制用地用海分类指南》（自然资发〔2023〕234号）</w:t>
      </w:r>
      <w:r>
        <w:rPr>
          <w:rFonts w:hint="eastAsia" w:ascii="仿宋" w:hAnsi="仿宋" w:eastAsia="仿宋" w:cs="仿宋"/>
          <w:bCs/>
          <w:sz w:val="30"/>
          <w:szCs w:val="30"/>
          <w:lang w:val="en-US" w:eastAsia="zh-CN"/>
        </w:rPr>
        <w:t>；</w:t>
      </w:r>
    </w:p>
    <w:p w14:paraId="63A233C4">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《陕西省湿地保护规划（2025-2030）》（2025.1）。</w:t>
      </w:r>
      <w:bookmarkStart w:id="6" w:name="OLE_LINK7"/>
    </w:p>
    <w:bookmarkEnd w:id="6"/>
    <w:p w14:paraId="055EAC28">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2" w:firstLineChars="200"/>
        <w:textAlignment w:val="baseline"/>
        <w:rPr>
          <w:rFonts w:hint="eastAsia" w:ascii="仿宋" w:hAnsi="仿宋" w:eastAsia="仿宋" w:cs="仿宋"/>
          <w:b/>
          <w:bCs w:val="0"/>
          <w:sz w:val="30"/>
          <w:szCs w:val="30"/>
          <w:lang w:eastAsia="zh-CN"/>
        </w:rPr>
      </w:pPr>
      <w:bookmarkStart w:id="7" w:name="_Toc203473394"/>
      <w:r>
        <w:rPr>
          <w:rFonts w:hint="eastAsia" w:ascii="仿宋" w:hAnsi="仿宋" w:eastAsia="仿宋" w:cs="仿宋"/>
          <w:b/>
          <w:bCs w:val="0"/>
          <w:sz w:val="30"/>
          <w:szCs w:val="30"/>
          <w:lang w:val="en-US" w:eastAsia="zh-CN"/>
        </w:rPr>
        <w:t>3.</w:t>
      </w:r>
      <w:r>
        <w:rPr>
          <w:rFonts w:hint="eastAsia" w:ascii="仿宋" w:hAnsi="仿宋" w:eastAsia="仿宋" w:cs="仿宋"/>
          <w:b/>
          <w:bCs w:val="0"/>
          <w:sz w:val="30"/>
          <w:szCs w:val="30"/>
          <w:lang w:eastAsia="zh-CN"/>
        </w:rPr>
        <w:t>标准规范</w:t>
      </w:r>
      <w:bookmarkEnd w:id="7"/>
    </w:p>
    <w:p w14:paraId="4CD3E2A2">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《湿地保护工程项目建设标准》（建标196—2018）；</w:t>
      </w:r>
    </w:p>
    <w:p w14:paraId="1DBEADE1">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《自然保护区工程项目建设标准》（建标195-2018）</w:t>
      </w:r>
      <w:r>
        <w:rPr>
          <w:rFonts w:hint="eastAsia" w:ascii="仿宋" w:hAnsi="仿宋" w:eastAsia="仿宋" w:cs="仿宋"/>
          <w:bCs/>
          <w:sz w:val="30"/>
          <w:szCs w:val="30"/>
          <w:lang w:val="en-US" w:eastAsia="zh-CN"/>
        </w:rPr>
        <w:t>；</w:t>
      </w:r>
    </w:p>
    <w:p w14:paraId="1EE13B35">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《自然保护区设施标识规范》（LY/T1953—2011 ）</w:t>
      </w:r>
    </w:p>
    <w:p w14:paraId="09DFA2AA">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《全国生态状况调查评估技术规范—项目尺度生态影响评估》（HJ1175—2021）；</w:t>
      </w:r>
    </w:p>
    <w:p w14:paraId="423ADEB0">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《湿地生态质量评价技术规范》（HJ 1339—2023）；</w:t>
      </w:r>
    </w:p>
    <w:p w14:paraId="74A1CC39">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《湿地退化评估技术规范》（GB/T 42532—2023）；</w:t>
      </w:r>
    </w:p>
    <w:p w14:paraId="5A98FB1C">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bookmarkStart w:id="8" w:name="OLE_LINK12"/>
      <w:r>
        <w:rPr>
          <w:rFonts w:hint="eastAsia" w:ascii="仿宋" w:hAnsi="仿宋" w:eastAsia="仿宋" w:cs="仿宋"/>
          <w:bCs/>
          <w:sz w:val="30"/>
          <w:szCs w:val="30"/>
          <w:lang w:eastAsia="zh-CN"/>
        </w:rPr>
        <w:t>《</w:t>
      </w:r>
      <w:bookmarkStart w:id="9" w:name="OLE_LINK11"/>
      <w:r>
        <w:rPr>
          <w:rFonts w:hint="eastAsia" w:ascii="仿宋" w:hAnsi="仿宋" w:eastAsia="仿宋" w:cs="仿宋"/>
          <w:bCs/>
          <w:sz w:val="30"/>
          <w:szCs w:val="30"/>
          <w:lang w:eastAsia="zh-CN"/>
        </w:rPr>
        <w:t>湿地生态修复技术规程》</w:t>
      </w:r>
      <w:bookmarkEnd w:id="8"/>
      <w:bookmarkEnd w:id="9"/>
      <w:r>
        <w:rPr>
          <w:rFonts w:hint="eastAsia" w:ascii="仿宋" w:hAnsi="仿宋" w:eastAsia="仿宋" w:cs="仿宋"/>
          <w:bCs/>
          <w:sz w:val="30"/>
          <w:szCs w:val="30"/>
          <w:lang w:eastAsia="zh-CN"/>
        </w:rPr>
        <w:t>（LY/T3353-2023）；</w:t>
      </w:r>
    </w:p>
    <w:p w14:paraId="5BBB7B78">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《河流湿地修复技术规范》（DB61/T 1841—2024）；</w:t>
      </w:r>
    </w:p>
    <w:p w14:paraId="371A6A6D">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《湿地退化评估技术规范》（GB/T 42532—2023）；</w:t>
      </w:r>
    </w:p>
    <w:p w14:paraId="31B15509">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《生物多样性观测技术导则 鸟类》（HJ 710.3-2024）；</w:t>
      </w:r>
    </w:p>
    <w:p w14:paraId="36AD4230">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sz w:val="30"/>
          <w:szCs w:val="30"/>
          <w:lang w:eastAsia="zh-CN"/>
        </w:rPr>
      </w:pPr>
      <w:r>
        <w:rPr>
          <w:rFonts w:hint="eastAsia" w:ascii="仿宋" w:hAnsi="仿宋" w:eastAsia="仿宋" w:cs="仿宋"/>
          <w:bCs/>
          <w:sz w:val="30"/>
          <w:szCs w:val="30"/>
          <w:lang w:eastAsia="zh-CN"/>
        </w:rPr>
        <w:t>《野生动物调查技术规范</w:t>
      </w:r>
      <w:r>
        <w:rPr>
          <w:rFonts w:hint="eastAsia" w:ascii="仿宋" w:hAnsi="仿宋" w:eastAsia="仿宋" w:cs="仿宋"/>
          <w:bCs/>
          <w:sz w:val="30"/>
          <w:szCs w:val="30"/>
          <w:lang w:val="en-US" w:eastAsia="zh-CN"/>
        </w:rPr>
        <w:t xml:space="preserve"> </w:t>
      </w:r>
      <w:r>
        <w:rPr>
          <w:rFonts w:hint="eastAsia" w:ascii="仿宋" w:hAnsi="仿宋" w:eastAsia="仿宋" w:cs="仿宋"/>
          <w:bCs/>
          <w:sz w:val="30"/>
          <w:szCs w:val="30"/>
          <w:lang w:eastAsia="zh-CN"/>
        </w:rPr>
        <w:t>鸟类》（GB/T 35395-2017）。</w:t>
      </w:r>
    </w:p>
    <w:p w14:paraId="550FF0F0">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黑体" w:hAnsi="黑体" w:eastAsia="黑体" w:cs="黑体"/>
          <w:b w:val="0"/>
          <w:bCs w:val="0"/>
          <w:color w:val="auto"/>
          <w:sz w:val="30"/>
          <w:szCs w:val="30"/>
          <w:lang w:val="en-US" w:eastAsia="zh-CN"/>
        </w:rPr>
      </w:pPr>
      <w:r>
        <w:rPr>
          <w:rFonts w:hint="eastAsia" w:ascii="黑体" w:hAnsi="黑体" w:eastAsia="黑体" w:cs="黑体"/>
          <w:b w:val="0"/>
          <w:bCs w:val="0"/>
          <w:color w:val="auto"/>
          <w:kern w:val="2"/>
          <w:sz w:val="30"/>
          <w:szCs w:val="30"/>
          <w:lang w:val="en-US" w:eastAsia="zh-CN" w:bidi="ar-SA"/>
        </w:rPr>
        <w:t>三、</w:t>
      </w:r>
      <w:r>
        <w:rPr>
          <w:rFonts w:hint="eastAsia" w:ascii="黑体" w:hAnsi="黑体" w:eastAsia="黑体" w:cs="黑体"/>
          <w:b w:val="0"/>
          <w:bCs w:val="0"/>
          <w:color w:val="auto"/>
          <w:sz w:val="30"/>
          <w:szCs w:val="30"/>
          <w:lang w:val="en-US" w:eastAsia="zh-CN"/>
        </w:rPr>
        <w:t>服务指标的具体要求</w:t>
      </w:r>
    </w:p>
    <w:p w14:paraId="7DD22899">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40" w:firstLineChars="200"/>
        <w:textAlignment w:val="baseline"/>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陕西渭南黄河湿地2026年省级黄河流域生态保护和高质量发展资金项目主要建设内容以下4个方面。</w:t>
      </w:r>
    </w:p>
    <w:p w14:paraId="6EA799E8">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43" w:firstLineChars="200"/>
        <w:textAlignment w:val="baseline"/>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kern w:val="2"/>
          <w:sz w:val="32"/>
          <w:szCs w:val="32"/>
          <w:lang w:val="en-US" w:eastAsia="zh-CN" w:bidi="ar-SA"/>
        </w:rPr>
        <w:t>（1）</w:t>
      </w:r>
      <w:r>
        <w:rPr>
          <w:rFonts w:hint="eastAsia" w:ascii="仿宋_GB2312" w:hAnsi="仿宋_GB2312" w:eastAsia="仿宋_GB2312" w:cs="仿宋_GB2312"/>
          <w:b/>
          <w:bCs/>
          <w:sz w:val="32"/>
          <w:szCs w:val="32"/>
          <w:lang w:val="en-US" w:eastAsia="zh-CN"/>
        </w:rPr>
        <w:t>鸟类栖息地恢复</w:t>
      </w:r>
    </w:p>
    <w:p w14:paraId="4250DDFF">
      <w:pPr>
        <w:keepNext w:val="0"/>
        <w:keepLines w:val="0"/>
        <w:pageBreakBefore w:val="0"/>
        <w:widowControl w:val="0"/>
        <w:numPr>
          <w:ilvl w:val="0"/>
          <w:numId w:val="0"/>
        </w:numPr>
        <w:pBdr>
          <w:bottom w:val="single" w:color="FFFFFF" w:sz="4" w:space="31"/>
        </w:pBdr>
        <w:tabs>
          <w:tab w:val="left" w:pos="699"/>
        </w:tabs>
        <w:kinsoku/>
        <w:wordWrap/>
        <w:overflowPunct/>
        <w:topLinePunct w:val="0"/>
        <w:autoSpaceDE/>
        <w:autoSpaceDN/>
        <w:bidi w:val="0"/>
        <w:adjustRightInd/>
        <w:snapToGrid/>
        <w:spacing w:after="0" w:line="560" w:lineRule="exact"/>
        <w:ind w:firstLine="643" w:firstLineChars="200"/>
        <w:textAlignment w:val="baseline"/>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kern w:val="2"/>
          <w:sz w:val="32"/>
          <w:szCs w:val="32"/>
          <w:lang w:val="en-US" w:eastAsia="zh-CN" w:bidi="ar-SA"/>
        </w:rPr>
        <w:t>（2）</w:t>
      </w:r>
      <w:r>
        <w:rPr>
          <w:rFonts w:hint="eastAsia" w:ascii="仿宋_GB2312" w:hAnsi="仿宋_GB2312" w:eastAsia="仿宋_GB2312" w:cs="仿宋_GB2312"/>
          <w:b/>
          <w:bCs/>
          <w:sz w:val="32"/>
          <w:szCs w:val="32"/>
          <w:lang w:val="en-US" w:eastAsia="zh-CN"/>
        </w:rPr>
        <w:t>植被修复</w:t>
      </w:r>
    </w:p>
    <w:p w14:paraId="354331CB">
      <w:pPr>
        <w:keepNext w:val="0"/>
        <w:keepLines w:val="0"/>
        <w:pageBreakBefore w:val="0"/>
        <w:widowControl w:val="0"/>
        <w:numPr>
          <w:ilvl w:val="0"/>
          <w:numId w:val="0"/>
        </w:numPr>
        <w:pBdr>
          <w:bottom w:val="single" w:color="FFFFFF" w:sz="4" w:space="31"/>
        </w:pBdr>
        <w:tabs>
          <w:tab w:val="left" w:pos="699"/>
        </w:tabs>
        <w:kinsoku/>
        <w:wordWrap/>
        <w:overflowPunct/>
        <w:topLinePunct w:val="0"/>
        <w:autoSpaceDE/>
        <w:autoSpaceDN/>
        <w:bidi w:val="0"/>
        <w:adjustRightInd/>
        <w:snapToGrid/>
        <w:spacing w:after="0" w:line="560" w:lineRule="exact"/>
        <w:ind w:firstLine="64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w:t>
      </w:r>
      <w:r>
        <w:rPr>
          <w:rFonts w:hint="default" w:ascii="仿宋_GB2312" w:hAnsi="仿宋_GB2312" w:eastAsia="仿宋_GB2312" w:cs="仿宋_GB2312"/>
          <w:b/>
          <w:bCs/>
          <w:sz w:val="32"/>
          <w:szCs w:val="32"/>
          <w:lang w:val="en-US" w:eastAsia="zh-CN"/>
        </w:rPr>
        <w:t>封育保护</w:t>
      </w:r>
    </w:p>
    <w:p w14:paraId="08572385">
      <w:pPr>
        <w:keepNext w:val="0"/>
        <w:keepLines w:val="0"/>
        <w:pageBreakBefore w:val="0"/>
        <w:widowControl w:val="0"/>
        <w:numPr>
          <w:ilvl w:val="0"/>
          <w:numId w:val="1"/>
        </w:numPr>
        <w:pBdr>
          <w:bottom w:val="single" w:color="FFFFFF" w:sz="4" w:space="31"/>
        </w:pBdr>
        <w:tabs>
          <w:tab w:val="left" w:pos="699"/>
        </w:tabs>
        <w:kinsoku/>
        <w:wordWrap/>
        <w:overflowPunct/>
        <w:topLinePunct w:val="0"/>
        <w:autoSpaceDE/>
        <w:autoSpaceDN/>
        <w:bidi w:val="0"/>
        <w:adjustRightInd/>
        <w:snapToGrid/>
        <w:spacing w:after="0" w:line="560" w:lineRule="exact"/>
        <w:ind w:firstLine="643" w:firstLineChars="200"/>
        <w:textAlignment w:val="baseline"/>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保护管理能力提升</w:t>
      </w:r>
    </w:p>
    <w:p w14:paraId="570C9C22">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40" w:lineRule="exact"/>
        <w:ind w:firstLine="2100" w:firstLineChars="1000"/>
        <w:jc w:val="both"/>
        <w:textAlignment w:val="baseline"/>
        <w:rPr>
          <w:rFonts w:hint="default"/>
          <w:lang w:val="en-US" w:eastAsia="zh-CN"/>
        </w:rPr>
      </w:pPr>
      <w:bookmarkStart w:id="10" w:name="_GoBack"/>
      <w:bookmarkEnd w:id="10"/>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9B525">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0E1411">
                          <w:pPr>
                            <w:pStyle w:val="9"/>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F0E1411">
                    <w:pPr>
                      <w:pStyle w:val="9"/>
                    </w:pPr>
                    <w:r>
                      <w:fldChar w:fldCharType="begin"/>
                    </w:r>
                    <w:r>
                      <w:instrText xml:space="preserve"> PAGE  \* MERGEFORMAT </w:instrText>
                    </w:r>
                    <w:r>
                      <w:fldChar w:fldCharType="separate"/>
                    </w:r>
                    <w:r>
                      <w:t>14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2F1C24"/>
    <w:multiLevelType w:val="singleLevel"/>
    <w:tmpl w:val="BE2F1C24"/>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D5FB4"/>
    <w:rsid w:val="007B0DC4"/>
    <w:rsid w:val="0100296B"/>
    <w:rsid w:val="02DE55EF"/>
    <w:rsid w:val="04B05649"/>
    <w:rsid w:val="06304C93"/>
    <w:rsid w:val="08FC256D"/>
    <w:rsid w:val="0C3B7EEE"/>
    <w:rsid w:val="0DF259A6"/>
    <w:rsid w:val="0E255AF1"/>
    <w:rsid w:val="0F7D6CA6"/>
    <w:rsid w:val="104E5D16"/>
    <w:rsid w:val="10727C56"/>
    <w:rsid w:val="11C646FD"/>
    <w:rsid w:val="12353631"/>
    <w:rsid w:val="13BA5B9C"/>
    <w:rsid w:val="13EA44CF"/>
    <w:rsid w:val="14223506"/>
    <w:rsid w:val="150D43F1"/>
    <w:rsid w:val="16CF6366"/>
    <w:rsid w:val="179E3C45"/>
    <w:rsid w:val="17FD24DA"/>
    <w:rsid w:val="187F5C9D"/>
    <w:rsid w:val="189310B2"/>
    <w:rsid w:val="18BE1FCB"/>
    <w:rsid w:val="1AE31E7C"/>
    <w:rsid w:val="1B283D33"/>
    <w:rsid w:val="1C503F98"/>
    <w:rsid w:val="1DA556A0"/>
    <w:rsid w:val="1E9516DF"/>
    <w:rsid w:val="1EBB4EBE"/>
    <w:rsid w:val="1F576995"/>
    <w:rsid w:val="1F933745"/>
    <w:rsid w:val="1FC05655"/>
    <w:rsid w:val="23501D9E"/>
    <w:rsid w:val="23D47A29"/>
    <w:rsid w:val="263537A8"/>
    <w:rsid w:val="26FB67A0"/>
    <w:rsid w:val="273D2914"/>
    <w:rsid w:val="29E61988"/>
    <w:rsid w:val="2A43508E"/>
    <w:rsid w:val="2AE01907"/>
    <w:rsid w:val="2B8B7D01"/>
    <w:rsid w:val="2C70392E"/>
    <w:rsid w:val="2E8E614B"/>
    <w:rsid w:val="2F2705EF"/>
    <w:rsid w:val="2FA8323D"/>
    <w:rsid w:val="2FC600A9"/>
    <w:rsid w:val="30A527CB"/>
    <w:rsid w:val="30C46DF3"/>
    <w:rsid w:val="31F439E7"/>
    <w:rsid w:val="331D7A9E"/>
    <w:rsid w:val="33BB5810"/>
    <w:rsid w:val="35B87B83"/>
    <w:rsid w:val="35CC7914"/>
    <w:rsid w:val="36E86488"/>
    <w:rsid w:val="37DB4B59"/>
    <w:rsid w:val="382E24C5"/>
    <w:rsid w:val="38960718"/>
    <w:rsid w:val="3A4A3423"/>
    <w:rsid w:val="3ABE56C2"/>
    <w:rsid w:val="3B985F13"/>
    <w:rsid w:val="3BAD02FB"/>
    <w:rsid w:val="3BD41B1B"/>
    <w:rsid w:val="3C6B78E2"/>
    <w:rsid w:val="3C8D2979"/>
    <w:rsid w:val="3E725142"/>
    <w:rsid w:val="3FDE52DA"/>
    <w:rsid w:val="3FDF05B5"/>
    <w:rsid w:val="40896920"/>
    <w:rsid w:val="40937285"/>
    <w:rsid w:val="41060B89"/>
    <w:rsid w:val="4182569C"/>
    <w:rsid w:val="41E675C8"/>
    <w:rsid w:val="43175BBF"/>
    <w:rsid w:val="441E691C"/>
    <w:rsid w:val="44C24B83"/>
    <w:rsid w:val="4501043F"/>
    <w:rsid w:val="4588333A"/>
    <w:rsid w:val="459B7055"/>
    <w:rsid w:val="45C36283"/>
    <w:rsid w:val="45FE7882"/>
    <w:rsid w:val="47321912"/>
    <w:rsid w:val="48496F13"/>
    <w:rsid w:val="4B0610EB"/>
    <w:rsid w:val="4B6F106F"/>
    <w:rsid w:val="4C65202F"/>
    <w:rsid w:val="4CAC7A71"/>
    <w:rsid w:val="4E47675F"/>
    <w:rsid w:val="4EA47395"/>
    <w:rsid w:val="507247C1"/>
    <w:rsid w:val="50BE5FC4"/>
    <w:rsid w:val="51BF3DA2"/>
    <w:rsid w:val="532272D6"/>
    <w:rsid w:val="536F7A4A"/>
    <w:rsid w:val="548D63DA"/>
    <w:rsid w:val="55717AA9"/>
    <w:rsid w:val="55FA7A9F"/>
    <w:rsid w:val="57AE6D93"/>
    <w:rsid w:val="585E52F5"/>
    <w:rsid w:val="5AF61F0B"/>
    <w:rsid w:val="5C84333D"/>
    <w:rsid w:val="646D282A"/>
    <w:rsid w:val="64767EE8"/>
    <w:rsid w:val="64BB489D"/>
    <w:rsid w:val="67D6379C"/>
    <w:rsid w:val="69772EDC"/>
    <w:rsid w:val="6AFE5C01"/>
    <w:rsid w:val="6B795EB5"/>
    <w:rsid w:val="6BAD5D17"/>
    <w:rsid w:val="6C2E3BA6"/>
    <w:rsid w:val="6CC46E3D"/>
    <w:rsid w:val="6D1C4347"/>
    <w:rsid w:val="6EE3336E"/>
    <w:rsid w:val="6EF82A40"/>
    <w:rsid w:val="705B6F82"/>
    <w:rsid w:val="71023973"/>
    <w:rsid w:val="72AC1CC9"/>
    <w:rsid w:val="75040BEA"/>
    <w:rsid w:val="755A117C"/>
    <w:rsid w:val="7631359E"/>
    <w:rsid w:val="76DB492B"/>
    <w:rsid w:val="782642CC"/>
    <w:rsid w:val="78356FD9"/>
    <w:rsid w:val="787D5DAC"/>
    <w:rsid w:val="7A4F6376"/>
    <w:rsid w:val="7A7F2E57"/>
    <w:rsid w:val="7A951295"/>
    <w:rsid w:val="7DB3215D"/>
    <w:rsid w:val="7E7E6C0F"/>
    <w:rsid w:val="7E9F31A9"/>
    <w:rsid w:val="7FC211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16"/>
    <w:unhideWhenUsed/>
    <w:qFormat/>
    <w:uiPriority w:val="0"/>
    <w:pPr>
      <w:spacing w:before="10" w:beforeLines="10" w:beforeAutospacing="0" w:after="10" w:afterLines="10" w:afterAutospacing="0" w:line="360" w:lineRule="auto"/>
      <w:jc w:val="left"/>
      <w:outlineLvl w:val="1"/>
    </w:pPr>
    <w:rPr>
      <w:rFonts w:hint="default" w:ascii="仿宋_GB2312" w:hAnsi="仿宋_GB2312" w:eastAsia="仿宋_GB2312" w:cs="宋体"/>
      <w:b/>
      <w:bCs/>
      <w:kern w:val="0"/>
      <w:sz w:val="32"/>
      <w:szCs w:val="36"/>
      <w:lang w:bidi="ar"/>
    </w:rPr>
  </w:style>
  <w:style w:type="paragraph" w:styleId="3">
    <w:name w:val="heading 3"/>
    <w:basedOn w:val="1"/>
    <w:next w:val="1"/>
    <w:qFormat/>
    <w:uiPriority w:val="0"/>
    <w:pPr>
      <w:spacing w:line="600" w:lineRule="exact"/>
      <w:ind w:firstLine="0" w:firstLineChars="0"/>
      <w:outlineLvl w:val="2"/>
    </w:pPr>
    <w:rPr>
      <w:rFonts w:ascii="Times New Roman" w:hAnsi="Times New Roman" w:cs="黑体"/>
      <w:b/>
      <w:bCs/>
      <w:szCs w:val="30"/>
    </w:rPr>
  </w:style>
  <w:style w:type="paragraph" w:styleId="4">
    <w:name w:val="heading 4"/>
    <w:basedOn w:val="1"/>
    <w:next w:val="1"/>
    <w:qFormat/>
    <w:uiPriority w:val="0"/>
    <w:pPr>
      <w:keepNext/>
      <w:keepLines/>
      <w:widowControl/>
      <w:spacing w:beforeLines="50"/>
      <w:outlineLvl w:val="3"/>
    </w:pPr>
    <w:rPr>
      <w:rFonts w:ascii="仿宋" w:hAnsi="仿宋" w:eastAsia="仿宋" w:cs="仿宋"/>
      <w:bCs/>
      <w:kern w:val="0"/>
      <w:szCs w:val="28"/>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Normal Indent"/>
    <w:basedOn w:val="1"/>
    <w:next w:val="6"/>
    <w:qFormat/>
    <w:uiPriority w:val="0"/>
    <w:pPr>
      <w:tabs>
        <w:tab w:val="left" w:pos="2865"/>
      </w:tabs>
      <w:spacing w:line="240" w:lineRule="auto"/>
      <w:ind w:firstLine="0" w:firstLineChars="0"/>
      <w:jc w:val="center"/>
    </w:pPr>
  </w:style>
  <w:style w:type="paragraph" w:styleId="6">
    <w:name w:val="Block Text"/>
    <w:basedOn w:val="1"/>
    <w:next w:val="1"/>
    <w:qFormat/>
    <w:uiPriority w:val="0"/>
    <w:pPr>
      <w:spacing w:after="120"/>
      <w:ind w:left="1440" w:leftChars="700" w:right="700" w:rightChars="700"/>
    </w:pPr>
  </w:style>
  <w:style w:type="paragraph" w:styleId="7">
    <w:name w:val="annotation text"/>
    <w:basedOn w:val="1"/>
    <w:qFormat/>
    <w:uiPriority w:val="0"/>
  </w:style>
  <w:style w:type="paragraph" w:styleId="8">
    <w:name w:val="Body Text"/>
    <w:basedOn w:val="1"/>
    <w:next w:val="1"/>
    <w:qFormat/>
    <w:uiPriority w:val="99"/>
    <w:pPr>
      <w:spacing w:after="120"/>
    </w:p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2">
    <w:name w:val="Table Grid"/>
    <w:basedOn w:val="11"/>
    <w:qFormat/>
    <w:uiPriority w:val="0"/>
    <w:pPr>
      <w:widowControl w:val="0"/>
      <w:spacing w:line="560" w:lineRule="exact"/>
      <w:ind w:firstLine="20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annotation reference"/>
    <w:qFormat/>
    <w:uiPriority w:val="0"/>
    <w:rPr>
      <w:sz w:val="21"/>
      <w:szCs w:val="21"/>
    </w:rPr>
  </w:style>
  <w:style w:type="paragraph" w:customStyle="1" w:styleId="15">
    <w:name w:val="Table Text"/>
    <w:basedOn w:val="1"/>
    <w:semiHidden/>
    <w:qFormat/>
    <w:uiPriority w:val="0"/>
    <w:rPr>
      <w:rFonts w:ascii="Arial" w:hAnsi="Arial" w:eastAsia="Arial" w:cs="Arial"/>
      <w:sz w:val="21"/>
      <w:szCs w:val="21"/>
      <w:lang w:val="en-US" w:eastAsia="en-US" w:bidi="ar-SA"/>
    </w:rPr>
  </w:style>
  <w:style w:type="character" w:customStyle="1" w:styleId="16">
    <w:name w:val="标题 2 Char1"/>
    <w:link w:val="2"/>
    <w:qFormat/>
    <w:uiPriority w:val="0"/>
    <w:rPr>
      <w:rFonts w:hint="default" w:ascii="仿宋_GB2312" w:hAnsi="仿宋_GB2312" w:eastAsia="仿宋_GB2312" w:cs="宋体"/>
      <w:b/>
      <w:bCs/>
      <w:kern w:val="0"/>
      <w:sz w:val="32"/>
      <w:szCs w:val="36"/>
      <w:lang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9046</Words>
  <Characters>10251</Characters>
  <Lines>0</Lines>
  <Paragraphs>0</Paragraphs>
  <TotalTime>27</TotalTime>
  <ScaleCrop>false</ScaleCrop>
  <LinksUpToDate>false</LinksUpToDate>
  <CharactersWithSpaces>10355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2026-01-25T06:00:00Z</dcterms:created>
  <dc:creator>lenovo</dc:creator>
  <cp:lastModifiedBy>1</cp:lastModifiedBy>
  <cp:lastPrinted>2026-06-23T02:12:00Z</cp:lastPrinted>
  <dcterms:modified xsi:type="dcterms:W3CDTF">2026-09-17T12:23:11Z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eyJoZGlkIjoiMjZlYTJmYjQ3NTg4NDc2N2E3NDYyOWVlMmZjY2YzYmYiLCJ1c2VySWQiOiIzODk0Njg4MTQifQ==</vt:lpwstr>
  </property>
  <property fmtid="{D5CDD505-2E9C-101B-9397-08002B2CF9AE}" pid="4" name="ICV">
    <vt:lpwstr>8B4CE879A21C4A629E0440D022B6250D_12</vt:lpwstr>
  </property>
</Properties>
</file>