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版本号：DQA-2026062-CS20260618001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委托开展第27届中国·青海绿色发展投资贸易洽谈会场馆搭建及相关服务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DQA-2026062-CS</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委托开展第27届中国·青海绿色发展投资贸易洽谈会场馆搭建及相关服务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DQA-2026062-CS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委托开展第27届中国·青海绿色发展投资贸易洽谈会场馆搭建及相关服务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按照委托开展第27届中国·青海绿色发展投资贸易洽谈会场馆搭建及相关服务，在规定条件下完成服务。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采购包1（委托开展第27届中国·青海绿色发展投资贸易洽谈会场馆搭建及相关服务）：属于专门面向中小企业采购。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1、主体资格证明文件：提供有效存续的企业营业执照（副本）。</w:t>
      </w:r>
    </w:p>
    <w:p>
      <w:pPr>
        <w:pStyle w:val="null3"/>
      </w:pPr>
      <w:r>
        <w:rPr>
          <w:rFonts w:ascii="仿宋_GB2312" w:hAnsi="仿宋_GB2312" w:cs="仿宋_GB2312" w:eastAsia="仿宋_GB2312"/>
        </w:rPr>
        <w:t>2、财务状况报告：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税收缴纳证明：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7、控股管理关系：提供直接控股和管理关系清单。若与其他供应商存在单位负责人为同一人或者存在直接控股、管理关系的，则响应无效。</w:t>
      </w:r>
    </w:p>
    <w:p>
      <w:pPr>
        <w:pStyle w:val="null3"/>
      </w:pPr>
      <w:r>
        <w:rPr>
          <w:rFonts w:ascii="仿宋_GB2312" w:hAnsi="仿宋_GB2312" w:cs="仿宋_GB2312" w:eastAsia="仿宋_GB2312"/>
        </w:rPr>
        <w:t>8、法定代表人授权委托书：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响应文件中凡是需要法定代表人盖章之处，非法人单位的负责人均参照执行。 法人的分支机构参与磋商时，除提供《法定代表人授权委托书》外，还须同时提供法人给分支机构出具的授权书。</w:t>
      </w:r>
    </w:p>
    <w:p>
      <w:pPr>
        <w:pStyle w:val="null3"/>
      </w:pPr>
      <w:r>
        <w:rPr>
          <w:rFonts w:ascii="仿宋_GB2312" w:hAnsi="仿宋_GB2312" w:cs="仿宋_GB2312" w:eastAsia="仿宋_GB2312"/>
        </w:rPr>
        <w:t>9、本项目不接受联合体磋商，不允许分包：供应商应提供《非联合体不分包磋商声明》，视为独立磋商，不分包。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029-63913866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采购包1：306,750.00元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银行账号：52880188000162074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发改价格【2011】534号文规定，经协商由成交供应商向采购代理机构支付招标代理服务费，如本项目服务费不足5000.00元则供应商按5000.00元支付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按照委托开展第27届中国·青海绿色发展投资贸易洽谈会场馆搭建及相关服务，在规定条件下完成服务。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306,750.00</w:t>
      </w:r>
    </w:p>
    <w:p>
      <w:pPr>
        <w:pStyle w:val="null3"/>
      </w:pPr>
      <w:r>
        <w:rPr>
          <w:rFonts w:ascii="仿宋_GB2312" w:hAnsi="仿宋_GB2312" w:cs="仿宋_GB2312" w:eastAsia="仿宋_GB2312"/>
        </w:rPr>
        <w:t>采购包最高限价（元）: 306,750.00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委托开展第27届中国·青海绿色发展投资贸易洽谈会场馆搭建及相关服务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306,750.00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标的名称：委托开展第27届中国·青海绿色发展投资贸易洽谈会场馆搭建及相关服务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一、采购内容</w:t>
            </w:r>
          </w:p>
          <w:p>
            <w:pPr>
              <w:pStyle w:val="null3"/>
            </w:pPr>
            <w:r>
              <w:rPr>
                <w:rFonts w:ascii="仿宋_GB2312" w:hAnsi="仿宋_GB2312" w:cs="仿宋_GB2312" w:eastAsia="仿宋_GB2312"/>
              </w:rPr>
              <w:t>委托开展第</w:t>
            </w:r>
            <w:r>
              <w:rPr>
                <w:rFonts w:ascii="仿宋_GB2312" w:hAnsi="仿宋_GB2312" w:cs="仿宋_GB2312" w:eastAsia="仿宋_GB2312"/>
              </w:rPr>
              <w:t>27届中国·青海绿色发展投资贸易洽谈会陕西形象展展馆搭建及相关服务。展区总面积157.5 平方米（10.5米×15米），策展主题为“绿色发展·陕耀未来”。</w:t>
            </w:r>
          </w:p>
          <w:p>
            <w:pPr>
              <w:pStyle w:val="null3"/>
            </w:pPr>
            <w:r>
              <w:rPr>
                <w:rFonts w:ascii="仿宋_GB2312" w:hAnsi="仿宋_GB2312" w:cs="仿宋_GB2312" w:eastAsia="仿宋_GB2312"/>
              </w:rPr>
              <w:t>服务包含展馆设计、地面和主体结构搭建，展区展柜制作安装，整体</w:t>
            </w:r>
            <w:r>
              <w:rPr>
                <w:rFonts w:ascii="仿宋_GB2312" w:hAnsi="仿宋_GB2312" w:cs="仿宋_GB2312" w:eastAsia="仿宋_GB2312"/>
              </w:rPr>
              <w:t>LOGO字和墙面立体字制作，展区照明布置、电路布线，灯箱和展板制作，多媒体租赁；围绕绿色能源、新材料、外贸优品三大展示主题进行场景布置、图文展板、视频播放、实物及模型陈列配套布置；以及展会全程相关会务配套服务、后期展台拆除等全部工作。</w:t>
            </w:r>
          </w:p>
          <w:p>
            <w:pPr>
              <w:pStyle w:val="null3"/>
            </w:pPr>
            <w:r>
              <w:rPr>
                <w:rFonts w:ascii="仿宋_GB2312" w:hAnsi="仿宋_GB2312" w:cs="仿宋_GB2312" w:eastAsia="仿宋_GB2312"/>
              </w:rPr>
              <w:t>二、需满足的要求</w:t>
            </w:r>
          </w:p>
          <w:p>
            <w:pPr>
              <w:pStyle w:val="null3"/>
            </w:pPr>
            <w:r>
              <w:rPr>
                <w:rFonts w:ascii="仿宋_GB2312" w:hAnsi="仿宋_GB2312" w:cs="仿宋_GB2312" w:eastAsia="仿宋_GB2312"/>
              </w:rPr>
              <w:t>1.坚持勤俭节约：展场的设计、搭建应简约大方，注重环保，符合组委会对搭建材质的相关要求。</w:t>
            </w:r>
          </w:p>
          <w:p>
            <w:pPr>
              <w:pStyle w:val="null3"/>
            </w:pPr>
            <w:r>
              <w:rPr>
                <w:rFonts w:ascii="仿宋_GB2312" w:hAnsi="仿宋_GB2312" w:cs="仿宋_GB2312" w:eastAsia="仿宋_GB2312"/>
              </w:rPr>
              <w:t>2.会务服务安全：及时周到安全。</w:t>
            </w:r>
          </w:p>
          <w:p>
            <w:pPr>
              <w:pStyle w:val="null3"/>
            </w:pPr>
            <w:r>
              <w:rPr>
                <w:rFonts w:ascii="仿宋_GB2312" w:hAnsi="仿宋_GB2312" w:cs="仿宋_GB2312" w:eastAsia="仿宋_GB2312"/>
              </w:rPr>
              <w:t>3.设计布局合理：展场设计应构思新颖，创意独特，方便实用；科学设计参观游览线路，避免拥堵；要严格按照展馆要求进行设计和搭建（包括地台高度和悬挑造型等）。</w:t>
            </w:r>
          </w:p>
          <w:p>
            <w:pPr>
              <w:pStyle w:val="null3"/>
            </w:pPr>
            <w:r>
              <w:rPr>
                <w:rFonts w:ascii="仿宋_GB2312" w:hAnsi="仿宋_GB2312" w:cs="仿宋_GB2312" w:eastAsia="仿宋_GB2312"/>
              </w:rPr>
              <w:t>4.保证施工安全及消防要求：供应商布撤展期间必须保证施工安全，遵守场馆相关规定，并组织开展施工搭建安全检查，具有完善的施工安全及消防安全管理办法。供应商须制定搭建及展出安全承诺书，整个搭建及展会期间的安全责任，均由供应商承担，采购人概不负责。</w:t>
            </w:r>
          </w:p>
          <w:p>
            <w:pPr>
              <w:pStyle w:val="null3"/>
            </w:pPr>
            <w:r>
              <w:rPr>
                <w:rFonts w:ascii="仿宋_GB2312" w:hAnsi="仿宋_GB2312" w:cs="仿宋_GB2312" w:eastAsia="仿宋_GB2312"/>
              </w:rPr>
              <w:t>5.服务要求：在规定时间内完成展区整体设计，提交采购人进行审核，提出改进意见并修改方案至采购人满意。搭建期间，安排专人现场协调对接落实展区搭建各项具体事宜，严格执行方案，确保展示效果。采购价格为包干价，包括服务商完成展区设计搭建布展及展台拆除所需的全部费用。</w:t>
            </w:r>
          </w:p>
          <w:p>
            <w:pPr>
              <w:pStyle w:val="null3"/>
            </w:pPr>
            <w:r>
              <w:rPr>
                <w:rFonts w:ascii="仿宋_GB2312" w:hAnsi="仿宋_GB2312" w:cs="仿宋_GB2312" w:eastAsia="仿宋_GB2312"/>
              </w:rPr>
              <w:t>6.质量保证：展区整体策划要具有专业性、人文性、综合性、时尚性、协调性。设计效果与实际效果要保持一致。在规定的搭建时间内进驻展馆施工，完成布展工作，并确保工程质量符合标准。</w:t>
            </w:r>
          </w:p>
          <w:p>
            <w:pPr>
              <w:pStyle w:val="null3"/>
              <w:jc w:val="both"/>
            </w:pPr>
            <w:r>
              <w:rPr>
                <w:rFonts w:ascii="仿宋_GB2312" w:hAnsi="仿宋_GB2312" w:cs="仿宋_GB2312" w:eastAsia="仿宋_GB2312"/>
                <w:sz w:val="21"/>
              </w:rPr>
              <w:t>7.展位搭建所用材料应符合国家相关规定，不得使用劣质材料。中标供应商不得将项目转包、分包。为了确保服务质量，中标供应商应组织一支强有力的技术骨干队伍，建立严格的质量管理体系，规范操作。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供应商应按照采购需求委派完成本项目服务所必须的人员团队。</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供应商应按照采购需求提供完成本项目服务所必须的设施设备。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自合同签订之日起至服务结束。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进度款，验收合格并提供正规发票，达到付款条件起30个工作日内，支付合同总金额的100.0%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1）供应商需要在线提交所有通过电子化交易平台实施的政府采购项目的响应文件，同时，线下提交纸质响应文件正本壹份、副本壹份。若电子响应文件与纸质响应文件不一致的，以电子响应文件为准。（2）响应文件，正、副本分别各自装订成册密封。在封口处加盖供应商公章。（3）线下响应文件递交截止时间与线上开评标时间一致。（4）纸质响应文件可邮寄递交，应于递交响应文件截止时间前邮寄到西安市高新区丈八一路1号汇鑫中心D座2206室（陕西德勤招标有限公司）。 2、磋商保证金注意事项：（1）磋商保证金须从供应商户名支付，如从个人户名或非供应商户名支付，将被拒绝，视为自动放弃投标权利；以保函形式交纳磋商保证金的，供应商应在响应截止时间前将保函扫描成清晰的PDF文件，发送至邮箱deqinjxm@126.com（邮件命名：项目编号）；供应商应在响应文件中附保函扫描件。保函必须由具有开具投标保函资格的单位开具；若成交人违约，开具保函单位承担连带责任；（2）磋商保证金的提交金额、时间不满足磋商文件要求的，响应无效；（3）未按指定账户提交的，我公司将退回，供应商须在响应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主体资格证明文件</w:t>
            </w:r>
          </w:p>
        </w:tc>
        <w:tc>
          <w:tcPr>
            <w:tcW w:type="dxa" w:w="3322"/>
          </w:tcPr>
          <w:p>
            <w:pPr>
              <w:pStyle w:val="null3"/>
            </w:pPr>
            <w:r>
              <w:rPr>
                <w:rFonts w:ascii="仿宋_GB2312" w:hAnsi="仿宋_GB2312" w:cs="仿宋_GB2312" w:eastAsia="仿宋_GB2312"/>
              </w:rPr>
              <w:t>提供有效存续的企业营业执照（副本）。</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响应文件中)；法定代表人授权他人参加磋商的，须提供法定代表人授权委托书，同时需提供被授权人开标前3个月内任意1个月的社保缴纳证明（依法不需要缴纳社保的被授权人应提供相关证明）。响应文件中凡是需要法定代表人盖章之处，非法人单位的负责人均参照执行。 法人的分支机构参与磋商时，除提供《法定代表人授权委托书》外，还须同时提供法人给分支机构出具的授权书。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供应商应提供《非联合体不分包磋商声明》，视为独立磋商，不分包。</w:t>
            </w:r>
          </w:p>
        </w:tc>
        <w:tc>
          <w:tcPr>
            <w:tcW w:type="dxa" w:w="1661"/>
          </w:tcPr>
          <w:p>
            <w:pPr>
              <w:pStyle w:val="null3"/>
            </w:pPr>
            <w:r>
              <w:rPr>
                <w:rFonts w:ascii="仿宋_GB2312" w:hAnsi="仿宋_GB2312" w:cs="仿宋_GB2312" w:eastAsia="仿宋_GB2312"/>
              </w:rPr>
              <w:t>非联合体不分包磋商声明</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按磋商文件要求签字、盖章（评分标准中要求提供的证明材料除外）。</w:t>
            </w:r>
          </w:p>
        </w:tc>
        <w:tc>
          <w:tcPr>
            <w:tcW w:type="dxa" w:w="1661"/>
          </w:tcPr>
          <w:p>
            <w:pPr>
              <w:pStyle w:val="null3"/>
            </w:pPr>
            <w:r>
              <w:rPr>
                <w:rFonts w:ascii="仿宋_GB2312" w:hAnsi="仿宋_GB2312" w:cs="仿宋_GB2312" w:eastAsia="仿宋_GB2312"/>
              </w:rPr>
              <w:t>分项报价表 中小企业声明函 商务应答表 供应商应提交的相关资格证明材料 服务内容及服务要求应答表 保证金汇款声明函、保函 报价表 控股管理关系 法定代表人授权书 响应文件封面 非联合体不分包磋商声明 近三年无重大违法、违纪书面声明 残疾人福利性单位声明函 标的清单 响应函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报价表</w:t>
            </w:r>
          </w:p>
        </w:tc>
        <w:tc>
          <w:tcPr>
            <w:tcW w:type="dxa" w:w="3322"/>
          </w:tcPr>
          <w:p>
            <w:pPr>
              <w:pStyle w:val="null3"/>
            </w:pPr>
            <w:r>
              <w:rPr>
                <w:rFonts w:ascii="仿宋_GB2312" w:hAnsi="仿宋_GB2312" w:cs="仿宋_GB2312" w:eastAsia="仿宋_GB2312"/>
              </w:rPr>
              <w:t>（1）响应报价符合唯一性要求： （2）报价表填写符合要求；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完全理解接受磋商文件商务条款。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保证金交纳符合磋商文件要求。</w:t>
            </w:r>
          </w:p>
        </w:tc>
        <w:tc>
          <w:tcPr>
            <w:tcW w:type="dxa" w:w="1661"/>
          </w:tcPr>
          <w:p>
            <w:pPr>
              <w:pStyle w:val="null3"/>
            </w:pPr>
            <w:r>
              <w:rPr>
                <w:rFonts w:ascii="仿宋_GB2312" w:hAnsi="仿宋_GB2312" w:cs="仿宋_GB2312" w:eastAsia="仿宋_GB2312"/>
              </w:rPr>
              <w:t>保证金汇款声明函、保函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没有不符合磋商文件规定的被视为无效响应的其他条款。</w:t>
            </w:r>
          </w:p>
        </w:tc>
        <w:tc>
          <w:tcPr>
            <w:tcW w:type="dxa" w:w="1661"/>
          </w:tcPr>
          <w:p>
            <w:pPr>
              <w:pStyle w:val="null3"/>
            </w:pPr>
            <w:r>
              <w:rPr>
                <w:rFonts w:ascii="仿宋_GB2312" w:hAnsi="仿宋_GB2312" w:cs="仿宋_GB2312" w:eastAsia="仿宋_GB2312"/>
              </w:rPr>
              <w:t>分项报价表 中小企业声明函 商务应答表 供应商应提交的相关资格证明材料 服务内容及服务要求应答表 保证金汇款声明函、保函 报价表 控股管理关系 法定代表人授权书 响应文件封面 非联合体不分包磋商声明 近三年无重大违法、违纪书面声明 残疾人福利性单位声明函 服务方案 标的清单 响应函 书面声明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1.项目负责人具备会展策划、展览工程或建筑装饰相关行业2年以上从业经验，且有2项及以上同类项目负责人业绩的，得 5分； 2.拟派团队配备专职安全员、专业展览设计师、现场施工主管，且人员均为本单位在职员工的，在满足岗位配置要求的情况下，每配备一个团队人员得1分，本小项最高6分。 注：提供上述有关人员证书、业绩合同、工作证明（劳务合同或从业单位出具的工作证明）。</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服务承诺符合性</w:t>
            </w:r>
          </w:p>
        </w:tc>
        <w:tc>
          <w:tcPr>
            <w:tcW w:type="dxa" w:w="2492"/>
          </w:tcPr>
          <w:p>
            <w:pPr>
              <w:pStyle w:val="null3"/>
            </w:pPr>
            <w:r>
              <w:rPr>
                <w:rFonts w:ascii="仿宋_GB2312" w:hAnsi="仿宋_GB2312" w:cs="仿宋_GB2312" w:eastAsia="仿宋_GB2312"/>
              </w:rPr>
              <w:t>全部响应以下要求并提供书面承诺的，每项得2分，满分14分： 1.提供7×24小时售后保障，10分钟响应、2小时内到达现场处置； 2.展会前对采购人人员开展技术操作与故障应急培训； 3.承诺项目不转包、不分包，施工团队为自有人员； 4.承诺搭建材料符合国家环保与消防安全标准，不使用劣质材料； 5.承诺设计方案可根据采购人意见免费修改至满意； 6.承诺承担搭建及展会期间全部安全责任； 7.承诺按采购人要求时限完成布展、撤展。</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6月1日以来（以合同签订时间为准），承接过会展/展会设计搭建及服务保障类项目的，每提供1个有效业绩得5分，满分15分；业绩证明（以合同或中标通知书为准，须在文件中附合同的扫描件加盖单位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项目总体实施方案</w:t>
            </w:r>
          </w:p>
        </w:tc>
        <w:tc>
          <w:tcPr>
            <w:tcW w:type="dxa" w:w="2492"/>
          </w:tcPr>
          <w:p>
            <w:pPr>
              <w:pStyle w:val="null3"/>
            </w:pPr>
            <w:r>
              <w:rPr>
                <w:rFonts w:ascii="仿宋_GB2312" w:hAnsi="仿宋_GB2312" w:cs="仿宋_GB2312" w:eastAsia="仿宋_GB2312"/>
              </w:rPr>
              <w:t>针对本项目服务要求编制，结合项目实际情况，对供应商服务方案的完善程度及合理性进行赋分。方案完全贴合项目需求，实施流程清晰、岗位分工明确、衔接顺畅，可操作性强得6 分；方案基本满足项目需求，流程与分工较完整，具备基本可操作性得4 分；方案完整性、针对性不足，流程模糊，可操作性较差得2分。未提供不计分。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展会布置与设计方案</w:t>
            </w:r>
          </w:p>
        </w:tc>
        <w:tc>
          <w:tcPr>
            <w:tcW w:type="dxa" w:w="2492"/>
          </w:tcPr>
          <w:p>
            <w:pPr>
              <w:pStyle w:val="null3"/>
            </w:pPr>
            <w:r>
              <w:rPr>
                <w:rFonts w:ascii="仿宋_GB2312" w:hAnsi="仿宋_GB2312" w:cs="仿宋_GB2312" w:eastAsia="仿宋_GB2312"/>
              </w:rPr>
              <w:t>紧扣“绿色发展・陕耀未来”主题，创意新颖、布局科学，参观动线合理无拥堵，融合陕西特色与绿色环保理念，舞台搭建、场景布置、展示分区方案完整可行得8分；主题明确，布局基本合理，能满足三大主题展示需求，方案基本可行得5分；设计方案简单，主题契合度不足，布局或动线存在明显缺陷得2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工作进度与质量保障措施</w:t>
            </w:r>
          </w:p>
        </w:tc>
        <w:tc>
          <w:tcPr>
            <w:tcW w:type="dxa" w:w="2492"/>
          </w:tcPr>
          <w:p>
            <w:pPr>
              <w:pStyle w:val="null3"/>
            </w:pPr>
            <w:r>
              <w:rPr>
                <w:rFonts w:ascii="仿宋_GB2312" w:hAnsi="仿宋_GB2312" w:cs="仿宋_GB2312" w:eastAsia="仿宋_GB2312"/>
              </w:rPr>
              <w:t>布展、开展、撤展全周期进度计划详实，节点清晰可落地；质量管控体系完善，验收标准明确，可保障设计效果与实际效果一致得6分；进度计划基本合理，质量保障措施基本完备，能满足基本质量要求得4分；进度计划粗略，质量管控措施不足，可落地性较差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突发事件应急处理方案</w:t>
            </w:r>
          </w:p>
        </w:tc>
        <w:tc>
          <w:tcPr>
            <w:tcW w:type="dxa" w:w="2492"/>
          </w:tcPr>
          <w:p>
            <w:pPr>
              <w:pStyle w:val="null3"/>
            </w:pPr>
            <w:r>
              <w:rPr>
                <w:rFonts w:ascii="仿宋_GB2312" w:hAnsi="仿宋_GB2312" w:cs="仿宋_GB2312" w:eastAsia="仿宋_GB2312"/>
              </w:rPr>
              <w:t>全面覆盖设备故障、人员拥堵、突发安全事件等各类风险，处置流程清晰、责任到人，针对性与可操作性强得5分；覆盖主要风险场景，处置流程基本清晰，具备基本应急能力得3分；预案简略，风险覆盖不全，处置措施模糊得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消防安全与施工安全方案</w:t>
            </w:r>
          </w:p>
        </w:tc>
        <w:tc>
          <w:tcPr>
            <w:tcW w:type="dxa" w:w="2492"/>
          </w:tcPr>
          <w:p>
            <w:pPr>
              <w:pStyle w:val="null3"/>
            </w:pPr>
            <w:r>
              <w:rPr>
                <w:rFonts w:ascii="仿宋_GB2312" w:hAnsi="仿宋_GB2312" w:cs="仿宋_GB2312" w:eastAsia="仿宋_GB2312"/>
              </w:rPr>
              <w:t>施工安全与消防安全管理制度完善，措施具体到位，责任分工明确，完全符合场馆规定与国家相关规范得7分；安全方案基本完备，满足施工与展会基本安全要求得4分；安全方案简单，存在明显疏漏，不符合规范要求得1分。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现场服务与培训方案</w:t>
            </w:r>
          </w:p>
        </w:tc>
        <w:tc>
          <w:tcPr>
            <w:tcW w:type="dxa" w:w="2492"/>
          </w:tcPr>
          <w:p>
            <w:pPr>
              <w:pStyle w:val="null3"/>
            </w:pPr>
            <w:r>
              <w:rPr>
                <w:rFonts w:ascii="仿宋_GB2312" w:hAnsi="仿宋_GB2312" w:cs="仿宋_GB2312" w:eastAsia="仿宋_GB2312"/>
              </w:rPr>
              <w:t>展会期间现场值守安排周全，售后响应机制完善；培训内容详实、形式明确，可保障相关人员掌握操作与应急技能得4分；现场服务与培训安排基本满足项目需求得2分；方案缺失或明显不可行得0分。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环保节约实施方案</w:t>
            </w:r>
          </w:p>
        </w:tc>
        <w:tc>
          <w:tcPr>
            <w:tcW w:type="dxa" w:w="2492"/>
          </w:tcPr>
          <w:p>
            <w:pPr>
              <w:pStyle w:val="null3"/>
            </w:pPr>
            <w:r>
              <w:rPr>
                <w:rFonts w:ascii="仿宋_GB2312" w:hAnsi="仿宋_GB2312" w:cs="仿宋_GB2312" w:eastAsia="仿宋_GB2312"/>
              </w:rPr>
              <w:t>落实勤俭节约要求，环保材料使用、可循环搭建措施具体可行，契合绿色办展理念，符合组委会材质要求得4分；具备基本环保节约措施，基本符合相关要求得2分；措施缺失，不符合勤俭、环保要求得0分。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详见附件：保证金汇款声明函、保函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详见附件：非联合体不分包磋商声明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