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版本号：SXBX-ZFCG-202602020260617003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中心敬老院重大安全隐患整改（中心院消防重大安全隐患整改项目）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SXBX-ZFCG-2026020</w:t>
      </w:r>
      <w:r>
        <w:br/>
      </w:r>
      <w:r>
        <w:br/>
      </w:r>
      <w:r>
        <w:br/>
      </w:r>
    </w:p>
    <w:p>
      <w:pPr>
        <w:pStyle w:val="null3"/>
        <w:jc w:val="center"/>
        <w:outlineLvl w:val="2"/>
      </w:pPr>
      <w:r>
        <w:rPr>
          <w:rFonts w:ascii="仿宋_GB2312" w:hAnsi="仿宋_GB2312" w:cs="仿宋_GB2312" w:eastAsia="仿宋_GB2312"/>
          <w:sz w:val="28"/>
          <w:b/>
        </w:rPr>
        <w:t>洋县中心敬老院</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洋县中心敬老院</w:t>
      </w:r>
      <w:r>
        <w:rPr>
          <w:rFonts w:ascii="仿宋_GB2312" w:hAnsi="仿宋_GB2312" w:cs="仿宋_GB2312" w:eastAsia="仿宋_GB2312"/>
        </w:rPr>
        <w:t>委托，拟对</w:t>
      </w:r>
      <w:r>
        <w:rPr>
          <w:rFonts w:ascii="仿宋_GB2312" w:hAnsi="仿宋_GB2312" w:cs="仿宋_GB2312" w:eastAsia="仿宋_GB2312"/>
        </w:rPr>
        <w:t>中心敬老院重大安全隐患整改（中心院消防重大安全隐患整改项目）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中心敬老院重大安全隐患整改（中心院消防重大安全隐患整改项目）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新建室外⾼位铁塔1座;24m³成品⽔箱1台;室外消防管道328.7m;室外消⽕栓2套;室外框架结构地下⽔泵房26㎡;室外砖混结构发电机房29㎡以及其他配套设施。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采购包1（中心敬老院重大安全隐患整改（中心院消防重大安全隐患整改项目））：属于专门面向中小企业采购。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1、有效的主体资格证明：供应商为具有独立承担民事责任能力的法人，并出具合法有效的营业执照或事业法人证书等国家规定的相关证明；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3、企业资质要求：供应商应具备住建主管部门核发消防设施工程专业承包乙级及其以上资质，且具有有效的安全生产许可证；</w:t>
      </w:r>
    </w:p>
    <w:p>
      <w:pPr>
        <w:pStyle w:val="null3"/>
      </w:pPr>
      <w:r>
        <w:rPr>
          <w:rFonts w:ascii="仿宋_GB2312" w:hAnsi="仿宋_GB2312" w:cs="仿宋_GB2312" w:eastAsia="仿宋_GB2312"/>
        </w:rPr>
        <w:t>4、拟派项目负责人资质：拟派往本项目的项目负责人应具备机电工程专业二级（含二级）及以上注册建造师资格、具有有效的安全生产考核合格证（建安B证），且无在建工程(提供无在建工程承诺书)；</w:t>
      </w:r>
    </w:p>
    <w:p>
      <w:pPr>
        <w:pStyle w:val="null3"/>
      </w:pPr>
      <w:r>
        <w:rPr>
          <w:rFonts w:ascii="仿宋_GB2312" w:hAnsi="仿宋_GB2312" w:cs="仿宋_GB2312" w:eastAsia="仿宋_GB2312"/>
        </w:rPr>
        <w:t>5、供应商资格承诺函：供应商须具有健全的财务会计制度、履行合同所必需的设备和专业技术能力、依法缴纳税收和社会保障资金的良好记录，参加本次政府采购活动前3年内在经营活动中没有重大违法违纪，截止至响应文件递交截止时间之前，供应商未被“信用中国”网站列入失信被执行人名单、重大税收违法案件当事人名单，未被列入“中国政府采购网”政府采购严重违法失信行为记录名单；需提供《汉中市政府采购供应商资格承诺函》 ；</w:t>
      </w:r>
    </w:p>
    <w:p>
      <w:pPr>
        <w:pStyle w:val="null3"/>
      </w:pPr>
      <w:r>
        <w:rPr>
          <w:rFonts w:ascii="仿宋_GB2312" w:hAnsi="仿宋_GB2312" w:cs="仿宋_GB2312" w:eastAsia="仿宋_GB2312"/>
        </w:rPr>
        <w:t>6、无关联关系承诺：单位负责人为同一人或者存在控股、管理关系的不同单位不得同时参加，需提供书面声明；</w:t>
      </w:r>
    </w:p>
    <w:p>
      <w:pPr>
        <w:pStyle w:val="null3"/>
      </w:pPr>
      <w:r>
        <w:rPr>
          <w:rFonts w:ascii="仿宋_GB2312" w:hAnsi="仿宋_GB2312" w:cs="仿宋_GB2312" w:eastAsia="仿宋_GB2312"/>
        </w:rPr>
        <w:t>7、非联合体声明：供应商需提供非联合体书面声明。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洋县纸坊街道办事处李家村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0916-8222751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陕西省汉中市洋县云江⽉酒店向东30⽶</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19992619689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开户名称：陕西柏骁项⽬管理有限公司</w:t>
            </w:r>
          </w:p>
          <w:p>
            <w:pPr>
              <w:pStyle w:val="null3"/>
            </w:pPr>
            <w:r>
              <w:rPr>
                <w:rFonts w:ascii="仿宋_GB2312" w:hAnsi="仿宋_GB2312" w:cs="仿宋_GB2312" w:eastAsia="仿宋_GB2312"/>
              </w:rPr>
              <w:t>开户银行：中国⼯商银⾏股份有限公司汉中洋县⽀⾏营业部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费管理暂⾏办法的通知》（计价格〔2002〕1980号）⽂件及国家发改委下发的《关于降低部分建设项⽬收费标准规范收费⾏为等有关问题的通知》（发改价格〔2011〕534号）⽂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洋县中心敬老院</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洋县中心敬老院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验收的⼯程，必须符合规定的⼯程质量标准，有完整的⼯程技术经济资料和经签著的⼯程保修书，并具备国家规定的其他竣⼯条件。⼯程竣⼯经验收合格后，⽅可交付使⽤；未经验收或者验收不合格的，不得交付使⽤。</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联系人：梁女士</w:t>
      </w:r>
    </w:p>
    <w:p>
      <w:pPr>
        <w:pStyle w:val="null3"/>
      </w:pPr>
      <w:r>
        <w:rPr>
          <w:rFonts w:ascii="仿宋_GB2312" w:hAnsi="仿宋_GB2312" w:cs="仿宋_GB2312" w:eastAsia="仿宋_GB2312"/>
        </w:rPr>
        <w:t>联系电话：19992619689</w:t>
      </w:r>
    </w:p>
    <w:p>
      <w:pPr>
        <w:pStyle w:val="null3"/>
      </w:pPr>
      <w:r>
        <w:rPr>
          <w:rFonts w:ascii="仿宋_GB2312" w:hAnsi="仿宋_GB2312" w:cs="仿宋_GB2312" w:eastAsia="仿宋_GB2312"/>
        </w:rPr>
        <w:t>地址：陕西省汉中市洋县云江⽉酒店向东30⽶</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1,390,000.00</w:t>
      </w:r>
    </w:p>
    <w:p>
      <w:pPr>
        <w:pStyle w:val="null3"/>
      </w:pPr>
      <w:r>
        <w:rPr>
          <w:rFonts w:ascii="仿宋_GB2312" w:hAnsi="仿宋_GB2312" w:cs="仿宋_GB2312" w:eastAsia="仿宋_GB2312"/>
        </w:rPr>
        <w:t>采购包最高限价（元）: 1,264,025.30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中心敬老院重大安全隐患整改（中心院消防重大安全隐患整改项目）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1,390,000.00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标的名称：中心敬老院重大安全隐患整改（中心院消防重大安全隐患整改项目）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1.施⼯⼯期：90⽇历天</w:t>
            </w:r>
          </w:p>
          <w:p>
            <w:pPr>
              <w:pStyle w:val="null3"/>
            </w:pPr>
            <w:r>
              <w:rPr>
                <w:rFonts w:ascii="仿宋_GB2312" w:hAnsi="仿宋_GB2312" w:cs="仿宋_GB2312" w:eastAsia="仿宋_GB2312"/>
              </w:rPr>
              <w:t>2.质量⽬标：达到国家现行行业合格标准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1、技术要求详⻅本⼯程施⼯图纸及⼯程量清单; 2、在施⼯期间，成交供应商必须注意⼈员安全，加强安全措施，并对施⼯⼈员进⾏安全教育，施⼯⼈员必须持证上岗。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供应商为具有独立承担民事责任能力的法人，并出具合法有效的营业执照或事业法人证书等国家规定的相关证明；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供应商应具备住建主管部门核发消防设施工程专业承包乙级及其以上资质，且具有有效的安全生产许可证；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拟派往本项目的项目负责人应具备机电工程专业二级（含二级）及以上注册建造师资格、具有有效的安全生产考核合格证（建安B证），且无在建工程(提供无在建工程承诺书)；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履行合同所必需的设备和专业技术能力、依法缴纳税收和社会保障资金的良好记录，参加本次政府采购活动前3年内在经营活动中没有重大违法违纪，截止至响应文件递交截止时间之前，供应商未被“信用中国”网站列入失信被执行人名单、重大税收违法案件当事人名单，未被列入“中国政府采购网”政府采购严重违法失信行为记录名单；需提供《汉中市政府采购供应商资格承诺函》 ；</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无关联关系承诺</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响应⽂件有效期符合⽂件要求</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 报价符合竞争性磋商⽂件的要求。</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一、评审内容：包括：①项目整体思路；②施工方案。 二、赋分标准： 1.完整性：对上述各项内容均有完整提供，得1分；缺1项得0.5分；未提供不得分。 2.针对性：两项内容均结合本项目施工范围、现场条件、工期、施工重难点编制，无通用模板内容，得 3 分；两项内容基本结合项目实际，少量内容套用通用模板、未单独说明重难点，得 2 分；两项内容均为通用模板，未结合本项目特点，得 1 分；未提供本项内容，不得分。3. 可实施性：施工流程、工艺、资源配置、工序排布完全贴合现场及行业规范，落地无阻碍，得 6 分；整体方案合规，仅局部细节简略，不影响正常施工，得 4 分；流程混乱、工艺 / 资源配置与现场冲突，无法落地，得 2 分；未提供本项内容，不得分。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1.完整性：两项内容齐全，得1分；每缺1项扣0.5分，扣完为止。不提供不得分。 2.针对性：制度及措施结合本项目工序、质量管控节点、验收标准制定，得 2 分；仅提供通用范本，未结合项目实际要求，得 1 分；未提供本项内容，不得分。 3.可实施性：管控流程闭环、岗位职责清晰、检测方案明确，完全满足管控要求，得 3 分；整体框架完整，仅执行细节未细化，不影响管控工作，得 2 分；流程缺失、责任模糊、无具体检测手段，无法开展管控，得 1 分；未提供本项内容，不得分。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一、评审内容：①项目成员配置清单及架构；②组织管理机制：有详细的人员进场计划、岗位职责说明、履职考核机制、保障措施。 二、评审标准： ①完整性：两项内容全部完整提供，得 1 分；缺任意 1 项扣 0.5 分，扣完为止；未提供本项内容，不得分。2. 针对性：人员配置、组织架构、管理机制匹配项目规模、施工内容及工期，得 2 分；全部采用通用模板，未结合项目实际，得 1 分；未提供本项内容，不得分。3. 可实施性：进场计划节点精准、岗位职责到人、考核机制具备约束力，得 2 分；框架完整，但时间节点、考核标准模糊，得 1 分；未提供本项内容，不得分。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一、评审内容：供应商针对本项目制定安全施工管理制度及措施，内容包含：①安全生产管理、培训制度；②安全施工技术保证措施；二、赋分标准： 1.完整性：两项内容齐全，得 1 分；缺任意 1 项扣 0.5 分，扣完为止；未提供本项内容，不得分。2. 针对性：精准识别本项目安全风险点，制度及措施对应风险专项制定，得 2 分；仅提供通用安全资料，未结合项目风险特点，得 1 分；未提供本项内容，不得分。3. 可实施性：管理流程闭环、培训及防护措施符合行业规范，得 3 分；整体合规，仅细节简略，不影响安全管理，得 2 分；措施缺失、防护标准低于规范要求，无法保障施工安全，得 1 分；未提供本项内容，不得分。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工期进度计划</w:t>
            </w:r>
          </w:p>
        </w:tc>
        <w:tc>
          <w:tcPr>
            <w:tcW w:type="dxa" w:w="2492"/>
          </w:tcPr>
          <w:p>
            <w:pPr>
              <w:pStyle w:val="null3"/>
            </w:pPr>
            <w:r>
              <w:rPr>
                <w:rFonts w:ascii="仿宋_GB2312" w:hAnsi="仿宋_GB2312" w:cs="仿宋_GB2312" w:eastAsia="仿宋_GB2312"/>
              </w:rPr>
              <w:t>一、评审内容：针对本项目制定工期的技术组织措施，包括：①工期控制的技术组织措施；②施工工期进度安排（项目总工期 90 日历天）。 二、赋分标准： 1.完整性：两项内容齐全，得 1 分；缺任意 1 项扣 0.5 分，扣完为止；未提供本项内容，不得分。2. 针对性：进度节点、管控措施贴合 90 日历天工期要求，针对延误风险制定专项方案，得 2 分；采用通用模板，未结合本项目工期约束，得 1 分；未提供本项内容，不得分。3. 可实施性：工序衔接有序、资源调配合理、工期保障措施完备，得 3 分；进度框架合理，局部节点未细化，可正常推进施工，得 2 分；工序逻辑混乱、节点不合理、无保障措施，无法按期完工，得 1 分；未提供本项内容，不得分。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一、评审内容：针对本项目制定文明施工和环境保护的技术组织措施，包括：①环境污染防控、节能降耗管理制度、②扬尘、降噪、固废、污水处置专项措施。 二、赋分标准：1.完整性：两项内容齐全，得 1 分；缺任意 1 项扣 0.5 分，扣完为止；未提供本项内容，不得分。2. 针对性：结合项目所在地环保规定、现场及周边环境制定措施，覆盖全部管控要点，得 2 分；仅提供通用模板，未结合属地及现场实际，得 1 分；未提供本项内容，不得分。3. 可实施性：措施合规、流程清晰、处置方案明确，得 3 分；整体合规，仅细节简略，不影响环保管控，得 2 分；措施缺失、标准低于法规要求，易产生环保违规，得 1 分；未提供本项内容，不得分。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工期履约承诺</w:t>
            </w:r>
          </w:p>
        </w:tc>
        <w:tc>
          <w:tcPr>
            <w:tcW w:type="dxa" w:w="2492"/>
          </w:tcPr>
          <w:p>
            <w:pPr>
              <w:pStyle w:val="null3"/>
            </w:pPr>
            <w:r>
              <w:rPr>
                <w:rFonts w:ascii="仿宋_GB2312" w:hAnsi="仿宋_GB2312" w:cs="仿宋_GB2312" w:eastAsia="仿宋_GB2312"/>
              </w:rPr>
              <w:t>本项目总工期要求 90 日历天，名词界定：完整网络图 = 含全工序、关键节点、逻辑关系、资源排布；简易网络图 = 仅体现施工分段及大致工期。按以下标准计分：1. 书面承诺满足工期 + 提供完整施工进度网络图，得 6 分；2. 书面承诺满足工期 + 仅提供简易 / 不完善网络图，得 4 分；3. 仅书面承诺满足工期，未提供网络图，得 2 分；4. 未承诺工期或承诺工期超出 90 日历天，不得分。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拟投入施工机械设备</w:t>
            </w:r>
          </w:p>
        </w:tc>
        <w:tc>
          <w:tcPr>
            <w:tcW w:type="dxa" w:w="2492"/>
          </w:tcPr>
          <w:p>
            <w:pPr>
              <w:pStyle w:val="null3"/>
            </w:pPr>
            <w:r>
              <w:rPr>
                <w:rFonts w:ascii="仿宋_GB2312" w:hAnsi="仿宋_GB2312" w:cs="仿宋_GB2312" w:eastAsia="仿宋_GB2312"/>
              </w:rPr>
              <w:t>提供施工机械设备清单、自有设备购置发票、租赁合同。核心设备清单详见采购文件附件；租赁合同有效期须完整覆盖 90 日历天工期，材料真实可查。1. 完整列明全部核心设备清单，自有 + 租赁设备佐证材料齐全有效，得 6 分；2. 完整列明全部核心设备清单，提供部分有效佐证材料，不影响项目正常施工履约，得 4 分；3. 仅列明部分核心设备清单，佐证材料少量有效，无法保障全流程施工，得 2 分；4. 未提供任何相关资料，不得分。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服务保修承诺</w:t>
            </w:r>
          </w:p>
        </w:tc>
        <w:tc>
          <w:tcPr>
            <w:tcW w:type="dxa" w:w="2492"/>
          </w:tcPr>
          <w:p>
            <w:pPr>
              <w:pStyle w:val="null3"/>
            </w:pPr>
            <w:r>
              <w:rPr>
                <w:rFonts w:ascii="仿宋_GB2312" w:hAnsi="仿宋_GB2312" w:cs="仿宋_GB2312" w:eastAsia="仿宋_GB2312"/>
              </w:rPr>
              <w:t>法定质保期按《建设工程质量管理条例》执行；所有承诺须加盖公章，无量化数据不计分；承诺纳入合同，违约需承担相应责任。1. 质保期延长（4 分）：较法定质保期延长 2 年得 4 分，延长 1 年得 2 分，未延长不得分；2. 应急抢修（2 分）：承诺 3 小时内到场抢修得 2 分，承诺 4 小时内到场得 1 分，未明确时效不得分；3. 增值服务（2 分）：同时承诺每年 2 次巡检 + 免费养护培训得 2 分，缺 1 项扣 1 分，两项全无不得分。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项目部技术人员证书</w:t>
            </w:r>
          </w:p>
        </w:tc>
        <w:tc>
          <w:tcPr>
            <w:tcW w:type="dxa" w:w="2492"/>
          </w:tcPr>
          <w:p>
            <w:pPr>
              <w:pStyle w:val="null3"/>
            </w:pPr>
            <w:r>
              <w:rPr>
                <w:rFonts w:ascii="仿宋_GB2312" w:hAnsi="仿宋_GB2312" w:cs="仿宋_GB2312" w:eastAsia="仿宋_GB2312"/>
              </w:rPr>
              <w:t>职称专业匹配本项目施工专业；同一人员多本证书按最高等级计分，不重复累加。1.每提供 1 名符合要求中级及以上职称人员得 1分，本项最高 3分；2. 未提供有效证书及佐证材料，不得分。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ISO 管理体系认证</w:t>
            </w:r>
          </w:p>
        </w:tc>
        <w:tc>
          <w:tcPr>
            <w:tcW w:type="dxa" w:w="2492"/>
          </w:tcPr>
          <w:p>
            <w:pPr>
              <w:pStyle w:val="null3"/>
            </w:pPr>
            <w:r>
              <w:rPr>
                <w:rFonts w:ascii="仿宋_GB2312" w:hAnsi="仿宋_GB2312" w:cs="仿宋_GB2312" w:eastAsia="仿宋_GB2312"/>
              </w:rPr>
              <w:t>证书为投标人自有、在有效期内、认证范围覆盖本项目施工内容。1. 同时提供质量管理、环境管理、职业健康安全管理三类有效证书，得 3 分；2. 提供上述任意两类有效证书，得 2 分；3. 仅提供上述任意一类有效证书，得 1 分；4. 未提供符合要求证书，不得分。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企业类似工程业绩</w:t>
            </w:r>
          </w:p>
        </w:tc>
        <w:tc>
          <w:tcPr>
            <w:tcW w:type="dxa" w:w="2492"/>
          </w:tcPr>
          <w:p>
            <w:pPr>
              <w:pStyle w:val="null3"/>
            </w:pPr>
            <w:r>
              <w:rPr>
                <w:rFonts w:ascii="仿宋_GB2312" w:hAnsi="仿宋_GB2312" w:cs="仿宋_GB2312" w:eastAsia="仿宋_GB2312"/>
              </w:rPr>
              <w:t>业绩为 2023 年 1 月 1 日至今已完工项目；类似项目定义：消防工程；材料为中标通知书 + 合同关键页；同一项目仅计分 1 次，重复提交不计分。每提供 1 份有效类似业绩得 2.5 分，本项最高得5分；未提供有效业绩，不得分。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采用低价优先法，满足采购文件实质性要求的最低投标价为评标基准价。计算公式：价格分 =(评标基准价 ÷ 投标报价)×30 备注：本项目专门面向中小企业采购，评审不再执行价格扣除政策。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