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45E133">
      <w:pPr>
        <w:pStyle w:val="3"/>
        <w:keepNext w:val="0"/>
        <w:keepLines w:val="0"/>
        <w:pageBreakBefore w:val="0"/>
        <w:widowControl w:val="0"/>
        <w:kinsoku/>
        <w:wordWrap/>
        <w:overflowPunct/>
        <w:topLinePunct w:val="0"/>
        <w:autoSpaceDE/>
        <w:autoSpaceDN/>
        <w:bidi w:val="0"/>
        <w:adjustRightInd w:val="0"/>
        <w:snapToGrid w:val="0"/>
        <w:spacing w:line="480" w:lineRule="auto"/>
        <w:ind w:left="0" w:leftChars="0" w:firstLine="0" w:firstLineChars="0"/>
        <w:jc w:val="center"/>
        <w:textAlignment w:val="auto"/>
        <w:outlineLvl w:val="0"/>
        <w:rPr>
          <w:rFonts w:hint="eastAsia"/>
          <w:color w:val="auto"/>
        </w:rPr>
      </w:pPr>
      <w:r>
        <w:rPr>
          <w:rFonts w:hint="eastAsia"/>
          <w:b/>
          <w:bCs/>
          <w:color w:val="auto"/>
          <w:sz w:val="44"/>
          <w:szCs w:val="44"/>
          <w:lang w:val="en-US" w:eastAsia="zh-CN"/>
        </w:rPr>
        <w:t xml:space="preserve"> </w:t>
      </w:r>
      <w:r>
        <w:rPr>
          <w:rFonts w:hint="eastAsia"/>
          <w:b/>
          <w:bCs/>
          <w:color w:val="auto"/>
          <w:sz w:val="44"/>
          <w:szCs w:val="44"/>
        </w:rPr>
        <w:t>政府采购合同格式</w:t>
      </w:r>
    </w:p>
    <w:p w14:paraId="2576013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注：本合同仅为参考文本，合同签订双方可根据项目的具体要求进行修订。</w:t>
      </w:r>
    </w:p>
    <w:p w14:paraId="65E88F35">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p>
    <w:p w14:paraId="2CA5F5D5">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甲方（采购人）：_____________________________________</w:t>
      </w:r>
    </w:p>
    <w:p w14:paraId="02826F0A">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甲方</w:t>
      </w:r>
      <w:r>
        <w:rPr>
          <w:rFonts w:hint="eastAsia" w:ascii="宋体" w:hAnsi="宋体" w:cs="宋体"/>
          <w:sz w:val="24"/>
          <w:szCs w:val="24"/>
          <w:lang w:eastAsia="zh-CN"/>
        </w:rPr>
        <w:t>地址</w:t>
      </w:r>
      <w:r>
        <w:rPr>
          <w:rFonts w:hint="eastAsia" w:ascii="宋体" w:hAnsi="宋体" w:eastAsia="宋体" w:cs="宋体"/>
          <w:sz w:val="24"/>
          <w:szCs w:val="24"/>
        </w:rPr>
        <w:t>：___________________________________________</w:t>
      </w:r>
    </w:p>
    <w:p w14:paraId="1F3AE247">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乙方（中标供应商）：_________________________________</w:t>
      </w:r>
    </w:p>
    <w:p w14:paraId="22354FF1">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乙方</w:t>
      </w:r>
      <w:r>
        <w:rPr>
          <w:rFonts w:hint="eastAsia" w:ascii="宋体" w:hAnsi="宋体" w:cs="宋体"/>
          <w:sz w:val="24"/>
          <w:szCs w:val="24"/>
          <w:lang w:eastAsia="zh-CN"/>
        </w:rPr>
        <w:t>地址</w:t>
      </w:r>
      <w:r>
        <w:rPr>
          <w:rFonts w:hint="eastAsia" w:ascii="宋体" w:hAnsi="宋体" w:eastAsia="宋体" w:cs="宋体"/>
          <w:sz w:val="24"/>
          <w:szCs w:val="24"/>
        </w:rPr>
        <w:t>：___________________________________________</w:t>
      </w:r>
    </w:p>
    <w:p w14:paraId="0E074646">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根据《中华人民共和国政府采购法》及实施条例、《中华人民共和国民法典》等有关规定，为确保甲方采购项目的顺利实施，甲、乙双方在平等自愿原则下签订本合同，并共同遵守如下条款：</w:t>
      </w:r>
    </w:p>
    <w:p w14:paraId="4BE469D4">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第一条  项目基本情况</w:t>
      </w:r>
    </w:p>
    <w:p w14:paraId="1FFD4E15">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1．采购标的：</w:t>
      </w:r>
    </w:p>
    <w:p w14:paraId="70D00657">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2．数量：</w:t>
      </w:r>
    </w:p>
    <w:p w14:paraId="12165E18">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第二条  履约期限、地点及方式</w:t>
      </w:r>
    </w:p>
    <w:p w14:paraId="1CB1BC99">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1．履约期限：</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w:t>
      </w:r>
    </w:p>
    <w:p w14:paraId="09C4241D">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default" w:ascii="宋体" w:hAnsi="宋体" w:eastAsia="宋体" w:cs="宋体"/>
          <w:sz w:val="24"/>
          <w:szCs w:val="24"/>
          <w:lang w:val="en-US" w:eastAsia="zh-CN"/>
        </w:rPr>
      </w:pPr>
      <w:r>
        <w:rPr>
          <w:rFonts w:hint="eastAsia" w:ascii="宋体" w:hAnsi="宋体" w:eastAsia="宋体" w:cs="宋体"/>
          <w:sz w:val="24"/>
          <w:szCs w:val="24"/>
        </w:rPr>
        <w:t>2．履约地点：</w:t>
      </w:r>
      <w:r>
        <w:rPr>
          <w:rFonts w:hint="eastAsia" w:ascii="宋体" w:hAnsi="宋体" w:eastAsia="宋体" w:cs="宋体"/>
          <w:sz w:val="24"/>
          <w:szCs w:val="24"/>
          <w:lang w:val="en-US" w:eastAsia="zh-CN"/>
        </w:rPr>
        <w:t>采购人指定地点</w:t>
      </w:r>
    </w:p>
    <w:p w14:paraId="2E753DA2">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3．履约方式：</w:t>
      </w:r>
    </w:p>
    <w:p w14:paraId="4E3C95D7">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第三条  质量标准</w:t>
      </w:r>
    </w:p>
    <w:p w14:paraId="5FA94ABB">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整个项目应符合国家有关行业规范和标准，包括但不限于：</w:t>
      </w:r>
    </w:p>
    <w:p w14:paraId="7D5AB041">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1．GB/T</w:t>
      </w:r>
    </w:p>
    <w:p w14:paraId="49C38F2B">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w:t>
      </w:r>
    </w:p>
    <w:p w14:paraId="437321EF">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第四条  合同价款及支付方式</w:t>
      </w:r>
    </w:p>
    <w:p w14:paraId="26AEB6A0">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1．合同价款包括：</w:t>
      </w:r>
    </w:p>
    <w:p w14:paraId="49F8C495">
      <w:pPr>
        <w:pStyle w:val="11"/>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2．支付方式：</w:t>
      </w:r>
    </w:p>
    <w:p w14:paraId="4551833C">
      <w:pPr>
        <w:pStyle w:val="11"/>
        <w:spacing w:line="360" w:lineRule="auto"/>
        <w:ind w:firstLine="480" w:firstLineChars="200"/>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1</w:t>
      </w:r>
      <w:r>
        <w:rPr>
          <w:rFonts w:hint="eastAsia" w:ascii="宋体" w:hAnsi="宋体" w:cs="宋体"/>
          <w:sz w:val="24"/>
          <w:szCs w:val="24"/>
          <w:lang w:eastAsia="zh-CN"/>
        </w:rPr>
        <w:t>）</w:t>
      </w:r>
      <w:r>
        <w:rPr>
          <w:rFonts w:hint="eastAsia" w:ascii="宋体" w:hAnsi="宋体" w:eastAsia="宋体" w:cs="宋体"/>
          <w:sz w:val="24"/>
          <w:szCs w:val="24"/>
        </w:rPr>
        <w:t>进度款，待日常监测阶段完成后，达到付款条件起10个工作日内，支付合同总金额的50.0%</w:t>
      </w:r>
    </w:p>
    <w:p w14:paraId="74BB710D">
      <w:pPr>
        <w:pStyle w:val="11"/>
        <w:spacing w:line="360" w:lineRule="auto"/>
        <w:ind w:firstLine="480" w:firstLineChars="200"/>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2</w:t>
      </w:r>
      <w:r>
        <w:rPr>
          <w:rFonts w:hint="eastAsia" w:ascii="宋体" w:hAnsi="宋体" w:cs="宋体"/>
          <w:sz w:val="24"/>
          <w:szCs w:val="24"/>
          <w:lang w:eastAsia="zh-CN"/>
        </w:rPr>
        <w:t>）</w:t>
      </w:r>
      <w:r>
        <w:rPr>
          <w:rFonts w:hint="eastAsia" w:ascii="宋体" w:hAnsi="宋体" w:eastAsia="宋体" w:cs="宋体"/>
          <w:sz w:val="24"/>
          <w:szCs w:val="24"/>
        </w:rPr>
        <w:t>进度款，待年度变更调查阶段，成果提交省级核查通过、无重大整改意见后，达到付款条件起10个工作日内，支付合同总金额的30.0%</w:t>
      </w:r>
      <w:bookmarkStart w:id="0" w:name="_GoBack"/>
      <w:bookmarkEnd w:id="0"/>
    </w:p>
    <w:p w14:paraId="079100F2">
      <w:pPr>
        <w:pStyle w:val="11"/>
        <w:spacing w:line="360" w:lineRule="auto"/>
        <w:ind w:firstLine="480" w:firstLineChars="200"/>
        <w:rPr>
          <w:rFonts w:hint="default" w:ascii="宋体" w:hAnsi="宋体" w:eastAsia="宋体" w:cs="宋体"/>
          <w:color w:val="auto"/>
          <w:sz w:val="24"/>
          <w:szCs w:val="24"/>
          <w:lang w:val="en-US" w:eastAsia="zh-CN"/>
        </w:rPr>
      </w:pPr>
      <w:r>
        <w:rPr>
          <w:rFonts w:hint="eastAsia" w:ascii="宋体" w:hAnsi="宋体" w:cs="宋体"/>
          <w:sz w:val="24"/>
          <w:szCs w:val="24"/>
          <w:lang w:eastAsia="zh-CN"/>
        </w:rPr>
        <w:t>（</w:t>
      </w:r>
      <w:r>
        <w:rPr>
          <w:rFonts w:hint="eastAsia" w:ascii="宋体" w:hAnsi="宋体" w:cs="宋体"/>
          <w:sz w:val="24"/>
          <w:szCs w:val="24"/>
          <w:lang w:val="en-US" w:eastAsia="zh-CN"/>
        </w:rPr>
        <w:t>3</w:t>
      </w:r>
      <w:r>
        <w:rPr>
          <w:rFonts w:hint="eastAsia" w:ascii="宋体" w:hAnsi="宋体" w:cs="宋体"/>
          <w:sz w:val="24"/>
          <w:szCs w:val="24"/>
          <w:lang w:eastAsia="zh-CN"/>
        </w:rPr>
        <w:t>）</w:t>
      </w:r>
      <w:r>
        <w:rPr>
          <w:rFonts w:hint="eastAsia" w:ascii="宋体" w:hAnsi="宋体" w:eastAsia="宋体" w:cs="宋体"/>
          <w:sz w:val="24"/>
          <w:szCs w:val="24"/>
        </w:rPr>
        <w:t>进度款，待成果通过部里验收正式启用，全部资料完整移交甲方、保密及成果归属手续办结后，达到付款条件起10个工作日内，支付合同总金额的20.0%</w:t>
      </w:r>
    </w:p>
    <w:p w14:paraId="793F2F9B">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3．结算方式：银行转账。</w:t>
      </w:r>
    </w:p>
    <w:p w14:paraId="7FD304BE">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4．结算单位：由甲方负责结算，乙方须向甲方出具合法有效的完税发票，甲方进行支付结算。</w:t>
      </w:r>
    </w:p>
    <w:p w14:paraId="061B9E3E">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第五条  验收标准及条件</w:t>
      </w:r>
    </w:p>
    <w:p w14:paraId="522DBE90">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1．初步验收：</w:t>
      </w:r>
    </w:p>
    <w:p w14:paraId="4666657B">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2．最终验收：</w:t>
      </w:r>
    </w:p>
    <w:p w14:paraId="288DA329">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3．验收依据：</w:t>
      </w:r>
    </w:p>
    <w:p w14:paraId="715448A7">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eastAsia="zh-CN"/>
        </w:rPr>
        <w:t>磋商文件</w:t>
      </w:r>
      <w:r>
        <w:rPr>
          <w:rFonts w:hint="eastAsia" w:ascii="宋体" w:hAnsi="宋体" w:eastAsia="宋体" w:cs="宋体"/>
          <w:sz w:val="24"/>
          <w:szCs w:val="24"/>
        </w:rPr>
        <w:t>、</w:t>
      </w:r>
      <w:r>
        <w:rPr>
          <w:rFonts w:hint="eastAsia" w:ascii="宋体" w:hAnsi="宋体" w:cs="宋体"/>
          <w:sz w:val="24"/>
          <w:szCs w:val="24"/>
          <w:lang w:eastAsia="zh-CN"/>
        </w:rPr>
        <w:t>响应文件</w:t>
      </w:r>
      <w:r>
        <w:rPr>
          <w:rFonts w:hint="eastAsia" w:ascii="宋体" w:hAnsi="宋体" w:eastAsia="宋体" w:cs="宋体"/>
          <w:sz w:val="24"/>
          <w:szCs w:val="24"/>
        </w:rPr>
        <w:t>、澄清表（函）；</w:t>
      </w:r>
    </w:p>
    <w:p w14:paraId="254CBCF3">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（2）本合同及附件文本；</w:t>
      </w:r>
    </w:p>
    <w:p w14:paraId="5221935D">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（3）合同签订时国家及行业现行的标准和技术规范。</w:t>
      </w:r>
    </w:p>
    <w:p w14:paraId="1CDD70AA">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4．中标供应商应向采购人提交项目实施过程中的所有资料，以便采购人日后管理和维护。</w:t>
      </w:r>
    </w:p>
    <w:p w14:paraId="408E839E">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第六条  知识产权（若有）</w:t>
      </w:r>
    </w:p>
    <w:p w14:paraId="7D5B6409">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乙方应保证所提供的服务或其任何一部分均不会侵犯任何第三方的专利权、商标权或著作权。</w:t>
      </w:r>
    </w:p>
    <w:p w14:paraId="3AB893F7">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第七条  无产权瑕疵条款（若有）</w:t>
      </w:r>
    </w:p>
    <w:p w14:paraId="743A3F1E">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乙方保证所提供的服务的所有权完全属于乙方且无任何抵押、查封等产权瑕疵。如有产权瑕疵的，视为乙方违约。乙方应负担由此而产生的一切损失。</w:t>
      </w:r>
    </w:p>
    <w:p w14:paraId="4F965E70">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第八条  履约保证金（若有）</w:t>
      </w:r>
    </w:p>
    <w:p w14:paraId="3151E785">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1．乙方在签订本合同之前，向甲方构提交履约保证金人民币______元，￥______。</w:t>
      </w:r>
    </w:p>
    <w:p w14:paraId="1B18EC2C">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2．履约保证金的有效期为乙方承诺的服务期限。</w:t>
      </w:r>
    </w:p>
    <w:p w14:paraId="51AB8800">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3．履约保证金作为违约金的一部分及用于补偿甲方因乙方不能履行合同义务而蒙受的损失。</w:t>
      </w:r>
    </w:p>
    <w:p w14:paraId="5D8DDBA7">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4．服务期限结束后，甲方财务部门接到甲方确认本合同服务等约定事项已经履行完毕的正式书面文件后的___日历日内，向乙方退还履约保证金。</w:t>
      </w:r>
    </w:p>
    <w:p w14:paraId="03464319">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5．乙方可以履约担保函的形式交纳履约保证金。</w:t>
      </w:r>
    </w:p>
    <w:p w14:paraId="159AC1EF">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第九条  双方的权利和义务</w:t>
      </w:r>
    </w:p>
    <w:p w14:paraId="7D781258">
      <w:pPr>
        <w:pStyle w:val="7"/>
        <w:keepLines w:val="0"/>
        <w:pageBreakBefore w:val="0"/>
        <w:widowControl w:val="0"/>
        <w:kinsoku/>
        <w:wordWrap/>
        <w:overflowPunct/>
        <w:topLinePunct w:val="0"/>
        <w:autoSpaceDE/>
        <w:autoSpaceDN/>
        <w:bidi w:val="0"/>
        <w:adjustRightInd w:val="0"/>
        <w:snapToGrid w:val="0"/>
        <w:spacing w:before="0" w:beforeLines="0" w:after="0" w:afterLines="0" w:line="360" w:lineRule="auto"/>
        <w:ind w:left="0" w:leftChars="0" w:firstLine="482"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（一）甲方的权利和义务</w:t>
      </w:r>
    </w:p>
    <w:p w14:paraId="60205DE4">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1．甲方有权对合同规定范围内乙方的服务行为进行监督和检查，拥有监管权。有权定期核对乙方提供服务所配备的人员数量。对甲方认为不合理的部分有权下达整改通知书，并要求乙方限期整改。</w:t>
      </w:r>
    </w:p>
    <w:p w14:paraId="5C086147">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2．甲方有权依据双方签订的考评办法对乙方提供的服务进行定期考评。</w:t>
      </w:r>
    </w:p>
    <w:p w14:paraId="33BF4CAB">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3．负责检查监督乙方管理工作的实施及制度的执行情况。</w:t>
      </w:r>
    </w:p>
    <w:p w14:paraId="57AF2A36">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4．根据本合同规定，按时向乙方支付应付服务费用。</w:t>
      </w:r>
    </w:p>
    <w:p w14:paraId="75A7F4C4">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5．验收应在甲方和乙方双方共同参加下进行。甲方组成验收小组按国家有关规定、规范进行验收，验收时将会邀请相关的专业人员或机构参与验收。</w:t>
      </w:r>
    </w:p>
    <w:p w14:paraId="29C00BAD">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6．国家法律、法规所规定由甲方承担的其它责任。</w:t>
      </w:r>
    </w:p>
    <w:p w14:paraId="5FFB3253">
      <w:pPr>
        <w:pStyle w:val="7"/>
        <w:keepLines w:val="0"/>
        <w:pageBreakBefore w:val="0"/>
        <w:widowControl w:val="0"/>
        <w:kinsoku/>
        <w:wordWrap/>
        <w:overflowPunct/>
        <w:topLinePunct w:val="0"/>
        <w:autoSpaceDE/>
        <w:autoSpaceDN/>
        <w:bidi w:val="0"/>
        <w:adjustRightInd w:val="0"/>
        <w:snapToGrid w:val="0"/>
        <w:spacing w:before="0" w:beforeLines="0" w:after="0" w:afterLines="0" w:line="360" w:lineRule="auto"/>
        <w:ind w:left="0" w:leftChars="0" w:firstLine="482"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（二）乙方的权利和义务</w:t>
      </w:r>
    </w:p>
    <w:p w14:paraId="663A2ACA">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1．对本合同规定的委托服务范围内的项目享有管理权及服务义务。</w:t>
      </w:r>
    </w:p>
    <w:p w14:paraId="13E7374E">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2．根据本合同的规定向甲方收取相关服务费用，并有权在本项目管理范围内管理及合理使用。</w:t>
      </w:r>
    </w:p>
    <w:p w14:paraId="2FE3156D">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3．及时向甲方通告本项目服务范围内有关服务的重大事项，及时配合处理投诉。</w:t>
      </w:r>
    </w:p>
    <w:p w14:paraId="52B4DABE">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4．接受项目行业管理部门及政府有关部门的指导，接受甲方的监督。</w:t>
      </w:r>
    </w:p>
    <w:p w14:paraId="0A2DCD73">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5．国家法律、法规所规定由乙方承担的其它责任。</w:t>
      </w:r>
    </w:p>
    <w:p w14:paraId="2AE66E3D">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第十条  违约责任</w:t>
      </w:r>
    </w:p>
    <w:p w14:paraId="53F028AA">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1．甲乙双方必须遵守本合同并执行合同中的各项规定，保证本合同的正常履行。</w:t>
      </w:r>
    </w:p>
    <w:p w14:paraId="0DD9918D">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2242F3B0">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第十一条  不可抗力事件处理</w:t>
      </w:r>
    </w:p>
    <w:p w14:paraId="1027142C">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1．在合同有效期内，任何一方因不可抗力事件导致不能履行合同，则合同履行期可延长，其延长期与不可抗力影响期相同。</w:t>
      </w:r>
    </w:p>
    <w:p w14:paraId="68234782">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2．不可抗力事件发生后，应立即通知对方，并寄送有关权威机构出具的证明。</w:t>
      </w:r>
    </w:p>
    <w:p w14:paraId="2266E651">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3．不可抗力事件延续15个日历日以上，双方应通过友好协商，确定是否继续履行合同。</w:t>
      </w:r>
    </w:p>
    <w:p w14:paraId="0CBC5676">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第十二条  合同的变更和终止</w:t>
      </w:r>
    </w:p>
    <w:p w14:paraId="2FCB7AE4">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除《中华人民共和国政府采购法》第49条、第50条第二款规定的情形外，本合同一经签订，甲乙双方不得擅自变更、中止或终止合同。</w:t>
      </w:r>
    </w:p>
    <w:p w14:paraId="32280A1E">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第十三条  解决合同纠纷的方式</w:t>
      </w:r>
    </w:p>
    <w:p w14:paraId="1AB59C3A">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1．在执行本合同中发生的或与本合同有关的争端，双方应通过友好协商解决，经协商在___天内不能达成协议时，则采取以下第___种方式解决争议：</w:t>
      </w:r>
    </w:p>
    <w:p w14:paraId="5AE54DCB">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（1）向甲方所在地有管辖权的人民法院提起诉讼；</w:t>
      </w:r>
    </w:p>
    <w:p w14:paraId="4F9024C3">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（2）向西安仲裁委员会按其仲裁规则申请仲裁。</w:t>
      </w:r>
    </w:p>
    <w:p w14:paraId="3560DFAE">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2．在仲裁期间，本合同应继续履行。</w:t>
      </w:r>
    </w:p>
    <w:p w14:paraId="446D9F7F">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第十四条  合同生效及其他</w:t>
      </w:r>
    </w:p>
    <w:p w14:paraId="65E12864">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1．合同经双方法定代表人（单位负责人）或授权委托代理人签名并加盖单位公章并由采购代理机构盖章后生效。</w:t>
      </w:r>
    </w:p>
    <w:p w14:paraId="1A365172">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2．合同执行中涉及采购资金和采购内容修改或补充的，须经政府采购监管部门审批，并签书面补充协议报政府采购监督管理部门备案，方可作为主合同不可分割的一部分。</w:t>
      </w:r>
    </w:p>
    <w:p w14:paraId="74103FE2">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3．本合同一式陆份，自双方签章之日起起效。甲方贰份，乙方贰份，政府采购代理机构壹份，同级财政部门备案壹份，具有同等法律效力。</w:t>
      </w:r>
    </w:p>
    <w:p w14:paraId="2EBE3B7A">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第十五条  附件</w:t>
      </w:r>
    </w:p>
    <w:p w14:paraId="6F130D4B">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rPr>
        <w:t>1．项目</w:t>
      </w:r>
      <w:r>
        <w:rPr>
          <w:rFonts w:hint="eastAsia" w:ascii="宋体" w:hAnsi="宋体" w:cs="宋体"/>
          <w:sz w:val="24"/>
          <w:szCs w:val="24"/>
          <w:lang w:eastAsia="zh-CN"/>
        </w:rPr>
        <w:t>磋商文件</w:t>
      </w:r>
    </w:p>
    <w:p w14:paraId="0902EB59">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rPr>
        <w:t>2．项目</w:t>
      </w:r>
      <w:r>
        <w:rPr>
          <w:rFonts w:hint="eastAsia" w:ascii="宋体" w:hAnsi="宋体" w:cs="宋体"/>
          <w:sz w:val="24"/>
          <w:szCs w:val="24"/>
          <w:lang w:eastAsia="zh-CN"/>
        </w:rPr>
        <w:t>响应文件</w:t>
      </w:r>
    </w:p>
    <w:p w14:paraId="60147DF1">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．成交通知书</w:t>
      </w:r>
    </w:p>
    <w:p w14:paraId="3CC43E64">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cs="宋体"/>
          <w:sz w:val="24"/>
          <w:szCs w:val="24"/>
          <w:lang w:val="en-US" w:eastAsia="zh-CN"/>
        </w:rPr>
        <w:t>4</w:t>
      </w:r>
      <w:r>
        <w:rPr>
          <w:rFonts w:hint="eastAsia" w:ascii="宋体" w:hAnsi="宋体" w:eastAsia="宋体" w:cs="宋体"/>
          <w:sz w:val="24"/>
          <w:szCs w:val="24"/>
        </w:rPr>
        <w:t>．其他</w:t>
      </w:r>
    </w:p>
    <w:tbl>
      <w:tblPr>
        <w:tblStyle w:val="5"/>
        <w:tblW w:w="88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2"/>
        <w:gridCol w:w="2672"/>
        <w:gridCol w:w="1762"/>
        <w:gridCol w:w="2672"/>
      </w:tblGrid>
      <w:tr w14:paraId="3E9EA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44" w:type="dxa"/>
            <w:noWrap w:val="0"/>
            <w:vAlign w:val="center"/>
          </w:tcPr>
          <w:p w14:paraId="4D565C64">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甲方（盖章）：</w:t>
            </w:r>
          </w:p>
        </w:tc>
        <w:tc>
          <w:tcPr>
            <w:tcW w:w="2494" w:type="dxa"/>
            <w:noWrap w:val="0"/>
            <w:vAlign w:val="center"/>
          </w:tcPr>
          <w:p w14:paraId="5B35BF7C">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c>
          <w:tcPr>
            <w:tcW w:w="1644" w:type="dxa"/>
            <w:noWrap w:val="0"/>
            <w:vAlign w:val="center"/>
          </w:tcPr>
          <w:p w14:paraId="2B75F3E0">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乙方（盖章）：</w:t>
            </w:r>
          </w:p>
        </w:tc>
        <w:tc>
          <w:tcPr>
            <w:tcW w:w="2494" w:type="dxa"/>
            <w:noWrap w:val="0"/>
            <w:vAlign w:val="center"/>
          </w:tcPr>
          <w:p w14:paraId="3E439A6A">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r>
      <w:tr w14:paraId="70D59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44" w:type="dxa"/>
            <w:noWrap w:val="0"/>
            <w:vAlign w:val="center"/>
          </w:tcPr>
          <w:p w14:paraId="48628721">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法定代表（委托代理人）：</w:t>
            </w:r>
          </w:p>
        </w:tc>
        <w:tc>
          <w:tcPr>
            <w:tcW w:w="2494" w:type="dxa"/>
            <w:noWrap w:val="0"/>
            <w:vAlign w:val="center"/>
          </w:tcPr>
          <w:p w14:paraId="0D70413D">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c>
          <w:tcPr>
            <w:tcW w:w="1644" w:type="dxa"/>
            <w:noWrap w:val="0"/>
            <w:vAlign w:val="center"/>
          </w:tcPr>
          <w:p w14:paraId="367A888E">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法定代表（委托代理人）：</w:t>
            </w:r>
          </w:p>
        </w:tc>
        <w:tc>
          <w:tcPr>
            <w:tcW w:w="2494" w:type="dxa"/>
            <w:noWrap w:val="0"/>
            <w:vAlign w:val="center"/>
          </w:tcPr>
          <w:p w14:paraId="03A5CC2B">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r>
      <w:tr w14:paraId="03026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44" w:type="dxa"/>
            <w:noWrap w:val="0"/>
            <w:vAlign w:val="center"/>
          </w:tcPr>
          <w:p w14:paraId="2A9D0F85">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地    址：</w:t>
            </w:r>
          </w:p>
        </w:tc>
        <w:tc>
          <w:tcPr>
            <w:tcW w:w="2494" w:type="dxa"/>
            <w:noWrap w:val="0"/>
            <w:vAlign w:val="center"/>
          </w:tcPr>
          <w:p w14:paraId="03600AB0">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c>
          <w:tcPr>
            <w:tcW w:w="1644" w:type="dxa"/>
            <w:noWrap w:val="0"/>
            <w:vAlign w:val="center"/>
          </w:tcPr>
          <w:p w14:paraId="2FF92FD2">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地    址：</w:t>
            </w:r>
          </w:p>
        </w:tc>
        <w:tc>
          <w:tcPr>
            <w:tcW w:w="2494" w:type="dxa"/>
            <w:noWrap w:val="0"/>
            <w:vAlign w:val="center"/>
          </w:tcPr>
          <w:p w14:paraId="4C152751">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r>
      <w:tr w14:paraId="4FA45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44" w:type="dxa"/>
            <w:noWrap w:val="0"/>
            <w:vAlign w:val="center"/>
          </w:tcPr>
          <w:p w14:paraId="53AC6C19">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开户银行：</w:t>
            </w:r>
          </w:p>
        </w:tc>
        <w:tc>
          <w:tcPr>
            <w:tcW w:w="2494" w:type="dxa"/>
            <w:noWrap w:val="0"/>
            <w:vAlign w:val="center"/>
          </w:tcPr>
          <w:p w14:paraId="69A68E7F">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c>
          <w:tcPr>
            <w:tcW w:w="1644" w:type="dxa"/>
            <w:noWrap w:val="0"/>
            <w:vAlign w:val="center"/>
          </w:tcPr>
          <w:p w14:paraId="74C30F7A">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开户银行：</w:t>
            </w:r>
          </w:p>
        </w:tc>
        <w:tc>
          <w:tcPr>
            <w:tcW w:w="2494" w:type="dxa"/>
            <w:noWrap w:val="0"/>
            <w:vAlign w:val="center"/>
          </w:tcPr>
          <w:p w14:paraId="58BA71F0">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r>
      <w:tr w14:paraId="31168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44" w:type="dxa"/>
            <w:noWrap w:val="0"/>
            <w:vAlign w:val="center"/>
          </w:tcPr>
          <w:p w14:paraId="1E8B3B95">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银行帐号：</w:t>
            </w:r>
          </w:p>
        </w:tc>
        <w:tc>
          <w:tcPr>
            <w:tcW w:w="2494" w:type="dxa"/>
            <w:noWrap w:val="0"/>
            <w:vAlign w:val="center"/>
          </w:tcPr>
          <w:p w14:paraId="6E44D366">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c>
          <w:tcPr>
            <w:tcW w:w="1644" w:type="dxa"/>
            <w:noWrap w:val="0"/>
            <w:vAlign w:val="center"/>
          </w:tcPr>
          <w:p w14:paraId="530A779E">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银行帐号：</w:t>
            </w:r>
          </w:p>
        </w:tc>
        <w:tc>
          <w:tcPr>
            <w:tcW w:w="2494" w:type="dxa"/>
            <w:noWrap w:val="0"/>
            <w:vAlign w:val="center"/>
          </w:tcPr>
          <w:p w14:paraId="4F6AFD85">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r>
      <w:tr w14:paraId="1E367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44" w:type="dxa"/>
            <w:noWrap w:val="0"/>
            <w:vAlign w:val="center"/>
          </w:tcPr>
          <w:p w14:paraId="1166AD68">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电    话：</w:t>
            </w:r>
          </w:p>
        </w:tc>
        <w:tc>
          <w:tcPr>
            <w:tcW w:w="2494" w:type="dxa"/>
            <w:noWrap w:val="0"/>
            <w:vAlign w:val="center"/>
          </w:tcPr>
          <w:p w14:paraId="64EA1EF2">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c>
          <w:tcPr>
            <w:tcW w:w="1644" w:type="dxa"/>
            <w:noWrap w:val="0"/>
            <w:vAlign w:val="center"/>
          </w:tcPr>
          <w:p w14:paraId="13F8EBFF">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电    话：</w:t>
            </w:r>
          </w:p>
        </w:tc>
        <w:tc>
          <w:tcPr>
            <w:tcW w:w="2494" w:type="dxa"/>
            <w:noWrap w:val="0"/>
            <w:vAlign w:val="center"/>
          </w:tcPr>
          <w:p w14:paraId="6C2EA02F">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r>
      <w:tr w14:paraId="31483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44" w:type="dxa"/>
            <w:noWrap w:val="0"/>
            <w:vAlign w:val="center"/>
          </w:tcPr>
          <w:p w14:paraId="164744B0">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传    真：</w:t>
            </w:r>
          </w:p>
        </w:tc>
        <w:tc>
          <w:tcPr>
            <w:tcW w:w="2494" w:type="dxa"/>
            <w:noWrap w:val="0"/>
            <w:vAlign w:val="center"/>
          </w:tcPr>
          <w:p w14:paraId="7F492CF4">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c>
          <w:tcPr>
            <w:tcW w:w="1644" w:type="dxa"/>
            <w:noWrap w:val="0"/>
            <w:vAlign w:val="center"/>
          </w:tcPr>
          <w:p w14:paraId="2B0FBDF4">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传    真：</w:t>
            </w:r>
          </w:p>
        </w:tc>
        <w:tc>
          <w:tcPr>
            <w:tcW w:w="2494" w:type="dxa"/>
            <w:noWrap w:val="0"/>
            <w:vAlign w:val="center"/>
          </w:tcPr>
          <w:p w14:paraId="1AC8B127">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r>
      <w:tr w14:paraId="606DC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44" w:type="dxa"/>
            <w:noWrap w:val="0"/>
            <w:vAlign w:val="center"/>
          </w:tcPr>
          <w:p w14:paraId="6B0A833B">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签约日期：</w:t>
            </w:r>
          </w:p>
        </w:tc>
        <w:tc>
          <w:tcPr>
            <w:tcW w:w="2494" w:type="dxa"/>
            <w:noWrap w:val="0"/>
            <w:vAlign w:val="center"/>
          </w:tcPr>
          <w:p w14:paraId="4E8243AD">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年 月 日</w:t>
            </w:r>
          </w:p>
        </w:tc>
        <w:tc>
          <w:tcPr>
            <w:tcW w:w="1644" w:type="dxa"/>
            <w:noWrap w:val="0"/>
            <w:vAlign w:val="center"/>
          </w:tcPr>
          <w:p w14:paraId="0CFDDD5D">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签约日期：</w:t>
            </w:r>
          </w:p>
        </w:tc>
        <w:tc>
          <w:tcPr>
            <w:tcW w:w="2494" w:type="dxa"/>
            <w:noWrap w:val="0"/>
            <w:vAlign w:val="center"/>
          </w:tcPr>
          <w:p w14:paraId="5781DE2E">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年 月 日</w:t>
            </w:r>
          </w:p>
        </w:tc>
      </w:tr>
    </w:tbl>
    <w:p w14:paraId="6679B85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E324BF"/>
    <w:rsid w:val="02EB6C62"/>
    <w:rsid w:val="070105E4"/>
    <w:rsid w:val="1059596B"/>
    <w:rsid w:val="181A30AD"/>
    <w:rsid w:val="2B50343C"/>
    <w:rsid w:val="2BC01D66"/>
    <w:rsid w:val="42BA6181"/>
    <w:rsid w:val="4BB843C0"/>
    <w:rsid w:val="5B940719"/>
    <w:rsid w:val="62361E5F"/>
    <w:rsid w:val="68E324BF"/>
    <w:rsid w:val="6D996652"/>
    <w:rsid w:val="768F7938"/>
    <w:rsid w:val="7F2E41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ind w:firstLine="630"/>
    </w:pPr>
    <w:rPr>
      <w:rFonts w:ascii="Times New Roman" w:hAnsi="Times New Roman" w:eastAsia="宋体" w:cs="Times New Roman"/>
      <w:sz w:val="32"/>
      <w:szCs w:val="20"/>
    </w:rPr>
  </w:style>
  <w:style w:type="paragraph" w:styleId="3">
    <w:name w:val="Body Text First Indent 2"/>
    <w:basedOn w:val="2"/>
    <w:next w:val="1"/>
    <w:qFormat/>
    <w:uiPriority w:val="0"/>
    <w:pPr>
      <w:ind w:firstLine="420" w:firstLineChars="200"/>
    </w:pPr>
    <w:rPr>
      <w:rFonts w:ascii="Times New Roman" w:hAnsi="Times New Roman" w:eastAsia="宋体" w:cs="Times New Roman"/>
    </w:rPr>
  </w:style>
  <w:style w:type="table" w:styleId="5">
    <w:name w:val="Table Grid"/>
    <w:basedOn w:val="4"/>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样式2"/>
    <w:basedOn w:val="8"/>
    <w:qFormat/>
    <w:uiPriority w:val="0"/>
    <w:pPr>
      <w:spacing w:line="560" w:lineRule="exact"/>
      <w:ind w:firstLine="643" w:firstLineChars="200"/>
      <w:jc w:val="both"/>
    </w:pPr>
    <w:rPr>
      <w:rFonts w:ascii="仿宋_GB2312" w:hAnsi="仿宋" w:eastAsia="仿宋_GB2312"/>
      <w:b/>
      <w:bCs/>
      <w:szCs w:val="32"/>
    </w:rPr>
  </w:style>
  <w:style w:type="paragraph" w:customStyle="1" w:styleId="8">
    <w:name w:val="@标题"/>
    <w:basedOn w:val="1"/>
    <w:next w:val="9"/>
    <w:qFormat/>
    <w:uiPriority w:val="0"/>
    <w:pPr>
      <w:keepNext/>
      <w:spacing w:before="50" w:beforeLines="50" w:after="50" w:afterLines="50"/>
      <w:jc w:val="center"/>
      <w:outlineLvl w:val="1"/>
    </w:pPr>
    <w:rPr>
      <w:rFonts w:ascii="Calibri" w:hAnsi="Calibri" w:eastAsia="黑体"/>
      <w:kern w:val="32"/>
      <w:sz w:val="32"/>
    </w:rPr>
  </w:style>
  <w:style w:type="paragraph" w:customStyle="1" w:styleId="9">
    <w:name w:val="@正文"/>
    <w:basedOn w:val="10"/>
    <w:qFormat/>
    <w:uiPriority w:val="0"/>
    <w:pPr>
      <w:wordWrap/>
      <w:spacing w:line="240" w:lineRule="auto"/>
      <w:ind w:firstLine="200" w:firstLineChars="200"/>
      <w:jc w:val="both"/>
    </w:pPr>
    <w:rPr>
      <w:rFonts w:ascii="Calibri" w:hAnsi="Calibri" w:eastAsia="宋体" w:cs="Calibri"/>
      <w:color w:val="000000"/>
      <w:kern w:val="24"/>
      <w:sz w:val="24"/>
      <w:szCs w:val="24"/>
    </w:rPr>
  </w:style>
  <w:style w:type="paragraph" w:customStyle="1" w:styleId="10">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11">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2240</Words>
  <Characters>2429</Characters>
  <Lines>0</Lines>
  <Paragraphs>0</Paragraphs>
  <TotalTime>0</TotalTime>
  <ScaleCrop>false</ScaleCrop>
  <LinksUpToDate>false</LinksUpToDate>
  <CharactersWithSpaces>2502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2025-07-17T06:32:00Z</dcterms:created>
  <dc:creator>傑。</dc:creator>
  <cp:lastModifiedBy>暖暖的小百度</cp:lastModifiedBy>
  <dcterms:modified xsi:type="dcterms:W3CDTF">2026-08-06T16:01:13Z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9BBBC56698264EF088DBF50D71A17A1F_11</vt:lpwstr>
  </property>
  <property fmtid="{D5CDD505-2E9C-101B-9397-08002B2CF9AE}" pid="4" name="KSOTemplateDocerSaveRecord">
    <vt:lpwstr>eyJoZGlkIjoiMmQ5Mzg3ZTJlNWJkNDU3MWE0OTJiNzNiMDFhNTQwOTkiLCJ1c2VySWQiOiIzNzI4MDY2NjcifQ==</vt:lpwstr>
  </property>
</Properties>
</file>