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版本号：ZX2026-07-5120260723001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雁塔校区学生宿舍木门翻新项目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ZX2026-07-51</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雁塔校区学生宿舍木门翻新项目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ZX2026-07-51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雁塔校区学生宿舍木门翻新项目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雁塔校区，2号公寓：284樘宿舍门。3号公寓：276樘宿舍门，总计560樘宿舍门，更换为定制全新入户门扇供货安装、原有老旧门框维修、风窗贴膜、锁具及五金件更换安装。具体内容详见技术参数及性能指标。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采购包1（雁塔校区学生宿舍木门翻新项目）：属于专门面向中小企业采购。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或法定代表人授权书及授权代表身份证：供应商应授权合法的人员参加磋商全过程，其中法定代表人直接参加磋商的，须提供法定代表人身份证，并与营业执照上信息一致。法定代表人授权代表参加磋商的，须提供法定代表人授权书及授权代表身份证（授权代表需提供磋商截止时间前半年任意一个月的社保缴纳证明）。</w:t>
      </w:r>
    </w:p>
    <w:p>
      <w:pPr>
        <w:pStyle w:val="null3"/>
      </w:pPr>
      <w:r>
        <w:rPr>
          <w:rFonts w:ascii="仿宋_GB2312" w:hAnsi="仿宋_GB2312" w:cs="仿宋_GB2312" w:eastAsia="仿宋_GB2312"/>
        </w:rPr>
        <w:t>2、本项目不接受联合体磋商，不允许分包：本项目不接受联合体磋商，不允许分包。供应商应提供《非联合体不分包投标声明》。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张爽 王宇轩 马演 曹婷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029-88110800转8032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采购包1：324,800.00元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采购包1保证金金额：5,751.00元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采购人缴纳合同金额的5%作为履约保证金。验收合格后乙方提出申请，甲方在30个工作日内退还履约保证金，不计利息。中标供应商未按合同约定的交货日期交货的，每逾期一日，采购人扣除交付货物价款的 0.1 %的履约保证金，但不超过合同总金额的10%。中标供应商支付逾期交货违约金并不免除其交货的责任。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代理服务费收费标准：参照国家计委颁布的《招标代理服务收费管理暂行办法》（计价格[2002]1980号）和（发改办价格[2011]534号）服务类收费标准的90%，按照中标金额差额定率累进法计算。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踏勘时间：2026-07-31 10:00:00</w:t>
            </w:r>
          </w:p>
          <w:p>
            <w:pPr>
              <w:pStyle w:val="null3"/>
              <w:ind w:firstLine="975"/>
            </w:pPr>
            <w:r>
              <w:rPr>
                <w:rFonts w:ascii="仿宋_GB2312" w:hAnsi="仿宋_GB2312" w:cs="仿宋_GB2312" w:eastAsia="仿宋_GB2312"/>
              </w:rPr>
              <w:t>踏勘地点：西安石油大学（本项目自行踏勘，不统一组织。供应商在本项目发售截止时间后到开标时间前联系踏勘联系人确认踏勘时间和地点。）</w:t>
            </w:r>
          </w:p>
          <w:p>
            <w:pPr>
              <w:pStyle w:val="null3"/>
              <w:ind w:firstLine="975"/>
            </w:pPr>
            <w:r>
              <w:rPr>
                <w:rFonts w:ascii="仿宋_GB2312" w:hAnsi="仿宋_GB2312" w:cs="仿宋_GB2312" w:eastAsia="仿宋_GB2312"/>
              </w:rPr>
              <w:t>联系人：任老师</w:t>
            </w:r>
          </w:p>
          <w:p>
            <w:pPr>
              <w:pStyle w:val="null3"/>
              <w:ind w:firstLine="975"/>
            </w:pPr>
            <w:r>
              <w:rPr>
                <w:rFonts w:ascii="仿宋_GB2312" w:hAnsi="仿宋_GB2312" w:cs="仿宋_GB2312" w:eastAsia="仿宋_GB2312"/>
              </w:rPr>
              <w:t>联系电话号码：029-81468012</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西安石油大学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按照招标文件、成交供应商响应文件和合同文本约定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联系人：王宇轩、祁鑫</w:t>
      </w:r>
    </w:p>
    <w:p>
      <w:pPr>
        <w:pStyle w:val="null3"/>
      </w:pPr>
      <w:r>
        <w:rPr>
          <w:rFonts w:ascii="仿宋_GB2312" w:hAnsi="仿宋_GB2312" w:cs="仿宋_GB2312" w:eastAsia="仿宋_GB2312"/>
        </w:rPr>
        <w:t>联系电话：029-88110800转8032</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雁塔校区，2号公寓：284樘宿舍门。3号公寓：276樘宿舍门，总计560樘宿舍门，更换为定制全新入户门扇供货安装、原有老旧门框维修、风窗贴膜、锁具及五金件更换安装。具体内容详见技术参数及性能指标。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324,800.00</w:t>
      </w:r>
    </w:p>
    <w:p>
      <w:pPr>
        <w:pStyle w:val="null3"/>
      </w:pPr>
      <w:r>
        <w:rPr>
          <w:rFonts w:ascii="仿宋_GB2312" w:hAnsi="仿宋_GB2312" w:cs="仿宋_GB2312" w:eastAsia="仿宋_GB2312"/>
        </w:rPr>
        <w:t>采购包最高限价（元）: 324,800.00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雁塔校区学生宿舍木门翻新项目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324,800.00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标的名称：雁塔校区学生宿舍木门翻新项目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一、采购需求</w:t>
            </w:r>
          </w:p>
          <w:p>
            <w:pPr>
              <w:pStyle w:val="null3"/>
            </w:pPr>
            <w:r>
              <w:rPr>
                <w:rFonts w:ascii="仿宋_GB2312" w:hAnsi="仿宋_GB2312" w:cs="仿宋_GB2312" w:eastAsia="仿宋_GB2312"/>
              </w:rPr>
              <w:t>（一）采购数量：2号公寓：284樘宿舍门。3号公寓：276樘宿舍门，总计560樘宿舍门。</w:t>
            </w:r>
          </w:p>
          <w:p>
            <w:pPr>
              <w:pStyle w:val="null3"/>
            </w:pPr>
            <w:r>
              <w:rPr>
                <w:rFonts w:ascii="仿宋_GB2312" w:hAnsi="仿宋_GB2312" w:cs="仿宋_GB2312" w:eastAsia="仿宋_GB2312"/>
              </w:rPr>
              <w:t>（二）现场部分宿舍实测尺寸：</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楼号</w:t>
                  </w:r>
                </w:p>
              </w:tc>
              <w:tc>
                <w:tcPr>
                  <w:tcW w:type="dxa" w:w="638"/>
                </w:tcPr>
                <w:p>
                  <w:pPr>
                    <w:pStyle w:val="null3"/>
                  </w:pPr>
                  <w:r>
                    <w:rPr>
                      <w:rFonts w:ascii="仿宋_GB2312" w:hAnsi="仿宋_GB2312" w:cs="仿宋_GB2312" w:eastAsia="仿宋_GB2312"/>
                    </w:rPr>
                    <w:t>宿舍入户门</w:t>
                  </w:r>
                </w:p>
              </w:tc>
              <w:tc>
                <w:tcPr>
                  <w:tcW w:type="dxa" w:w="638"/>
                </w:tcPr>
                <w:p>
                  <w:pPr>
                    <w:pStyle w:val="null3"/>
                  </w:pPr>
                  <w:r>
                    <w:rPr>
                      <w:rFonts w:ascii="仿宋_GB2312" w:hAnsi="仿宋_GB2312" w:cs="仿宋_GB2312" w:eastAsia="仿宋_GB2312"/>
                    </w:rPr>
                    <w:t>数量</w:t>
                  </w:r>
                </w:p>
              </w:tc>
              <w:tc>
                <w:tcPr>
                  <w:tcW w:type="dxa" w:w="638"/>
                </w:tcPr>
                <w:p>
                  <w:pPr>
                    <w:pStyle w:val="null3"/>
                  </w:pPr>
                  <w:r>
                    <w:rPr>
                      <w:rFonts w:ascii="仿宋_GB2312" w:hAnsi="仿宋_GB2312" w:cs="仿宋_GB2312" w:eastAsia="仿宋_GB2312"/>
                    </w:rPr>
                    <w:t>备注</w:t>
                  </w:r>
                </w:p>
              </w:tc>
            </w:tr>
            <w:tr>
              <w:tc>
                <w:tcPr>
                  <w:tcW w:type="dxa" w:w="638"/>
                </w:tcPr>
                <w:p>
                  <w:pPr>
                    <w:pStyle w:val="null3"/>
                  </w:pPr>
                  <w:r>
                    <w:rPr>
                      <w:rFonts w:ascii="仿宋_GB2312" w:hAnsi="仿宋_GB2312" w:cs="仿宋_GB2312" w:eastAsia="仿宋_GB2312"/>
                    </w:rPr>
                    <w:t>2 号</w:t>
                  </w:r>
                </w:p>
              </w:tc>
              <w:tc>
                <w:tcPr>
                  <w:tcW w:type="dxa" w:w="638"/>
                </w:tcPr>
                <w:p>
                  <w:pPr>
                    <w:pStyle w:val="null3"/>
                  </w:pPr>
                  <w:r>
                    <w:rPr>
                      <w:rFonts w:ascii="仿宋_GB2312" w:hAnsi="仿宋_GB2312" w:cs="仿宋_GB2312" w:eastAsia="仿宋_GB2312"/>
                    </w:rPr>
                    <w:t>含门框总宽度：980mm、970mm 等</w:t>
                  </w:r>
                </w:p>
                <w:p>
                  <w:pPr>
                    <w:pStyle w:val="null3"/>
                  </w:pPr>
                  <w:r>
                    <w:rPr>
                      <w:rFonts w:ascii="仿宋_GB2312" w:hAnsi="仿宋_GB2312" w:cs="仿宋_GB2312" w:eastAsia="仿宋_GB2312"/>
                    </w:rPr>
                    <w:t>门扇净宽度：875mm、885mm等</w:t>
                  </w:r>
                </w:p>
                <w:p>
                  <w:pPr>
                    <w:pStyle w:val="null3"/>
                  </w:pPr>
                  <w:r>
                    <w:rPr>
                      <w:rFonts w:ascii="仿宋_GB2312" w:hAnsi="仿宋_GB2312" w:cs="仿宋_GB2312" w:eastAsia="仿宋_GB2312"/>
                    </w:rPr>
                    <w:t>门扇净高：2000mm</w:t>
                  </w:r>
                </w:p>
                <w:p>
                  <w:pPr>
                    <w:pStyle w:val="null3"/>
                  </w:pPr>
                  <w:r>
                    <w:rPr>
                      <w:rFonts w:ascii="仿宋_GB2312" w:hAnsi="仿宋_GB2312" w:cs="仿宋_GB2312" w:eastAsia="仿宋_GB2312"/>
                    </w:rPr>
                    <w:t>门厚度:40mm(+lmm)</w:t>
                  </w:r>
                </w:p>
                <w:p>
                  <w:pPr>
                    <w:pStyle w:val="null3"/>
                  </w:pPr>
                  <w:r>
                    <w:rPr>
                      <w:rFonts w:ascii="仿宋_GB2312" w:hAnsi="仿宋_GB2312" w:cs="仿宋_GB2312" w:eastAsia="仿宋_GB2312"/>
                    </w:rPr>
                    <w:t>带亮窗整体总高：2650mm</w:t>
                  </w:r>
                </w:p>
                <w:p>
                  <w:pPr>
                    <w:pStyle w:val="null3"/>
                  </w:pPr>
                  <w:r>
                    <w:rPr>
                      <w:rFonts w:ascii="仿宋_GB2312" w:hAnsi="仿宋_GB2312" w:cs="仿宋_GB2312" w:eastAsia="仿宋_GB2312"/>
                    </w:rPr>
                    <w:t>（具体以实际尺寸为准）</w:t>
                  </w:r>
                </w:p>
              </w:tc>
              <w:tc>
                <w:tcPr>
                  <w:tcW w:type="dxa" w:w="638"/>
                </w:tcPr>
                <w:p>
                  <w:pPr>
                    <w:pStyle w:val="null3"/>
                  </w:pPr>
                  <w:r>
                    <w:rPr>
                      <w:rFonts w:ascii="仿宋_GB2312" w:hAnsi="仿宋_GB2312" w:cs="仿宋_GB2312" w:eastAsia="仿宋_GB2312"/>
                    </w:rPr>
                    <w:t>284</w:t>
                  </w:r>
                </w:p>
              </w:tc>
              <w:tc>
                <w:tcPr>
                  <w:tcW w:type="dxa" w:w="638"/>
                </w:tcPr>
                <w:p>
                  <w:pPr>
                    <w:pStyle w:val="null3"/>
                  </w:pPr>
                  <w:r>
                    <w:rPr>
                      <w:rFonts w:ascii="仿宋_GB2312" w:hAnsi="仿宋_GB2312" w:cs="仿宋_GB2312" w:eastAsia="仿宋_GB2312"/>
                    </w:rPr>
                    <w:t>1-7层，拆旧换新。换门扇，修门框，换五金件，风窗贴膜</w:t>
                  </w:r>
                </w:p>
              </w:tc>
            </w:tr>
            <w:tr>
              <w:tc>
                <w:tcPr>
                  <w:tcW w:type="dxa" w:w="638"/>
                </w:tcPr>
                <w:p>
                  <w:pPr>
                    <w:pStyle w:val="null3"/>
                  </w:pPr>
                  <w:r>
                    <w:rPr>
                      <w:rFonts w:ascii="仿宋_GB2312" w:hAnsi="仿宋_GB2312" w:cs="仿宋_GB2312" w:eastAsia="仿宋_GB2312"/>
                    </w:rPr>
                    <w:t>3 号</w:t>
                  </w:r>
                </w:p>
              </w:tc>
              <w:tc>
                <w:tcPr>
                  <w:tcW w:type="dxa" w:w="638"/>
                </w:tcPr>
                <w:p>
                  <w:pPr>
                    <w:pStyle w:val="null3"/>
                  </w:pPr>
                  <w:r>
                    <w:rPr>
                      <w:rFonts w:ascii="仿宋_GB2312" w:hAnsi="仿宋_GB2312" w:cs="仿宋_GB2312" w:eastAsia="仿宋_GB2312"/>
                    </w:rPr>
                    <w:t>含门框总宽度：980mm</w:t>
                  </w:r>
                </w:p>
                <w:p>
                  <w:pPr>
                    <w:pStyle w:val="null3"/>
                  </w:pPr>
                  <w:r>
                    <w:rPr>
                      <w:rFonts w:ascii="仿宋_GB2312" w:hAnsi="仿宋_GB2312" w:cs="仿宋_GB2312" w:eastAsia="仿宋_GB2312"/>
                    </w:rPr>
                    <w:t>门扇净宽度：875mm</w:t>
                  </w:r>
                </w:p>
                <w:p>
                  <w:pPr>
                    <w:pStyle w:val="null3"/>
                  </w:pPr>
                  <w:r>
                    <w:rPr>
                      <w:rFonts w:ascii="仿宋_GB2312" w:hAnsi="仿宋_GB2312" w:cs="仿宋_GB2312" w:eastAsia="仿宋_GB2312"/>
                    </w:rPr>
                    <w:t>门扇净高：2000mm</w:t>
                  </w:r>
                </w:p>
                <w:p>
                  <w:pPr>
                    <w:pStyle w:val="null3"/>
                  </w:pPr>
                  <w:r>
                    <w:rPr>
                      <w:rFonts w:ascii="仿宋_GB2312" w:hAnsi="仿宋_GB2312" w:cs="仿宋_GB2312" w:eastAsia="仿宋_GB2312"/>
                    </w:rPr>
                    <w:t>门厚度:45mm(+lmm)</w:t>
                  </w:r>
                </w:p>
                <w:p>
                  <w:pPr>
                    <w:pStyle w:val="null3"/>
                  </w:pPr>
                  <w:r>
                    <w:rPr>
                      <w:rFonts w:ascii="仿宋_GB2312" w:hAnsi="仿宋_GB2312" w:cs="仿宋_GB2312" w:eastAsia="仿宋_GB2312"/>
                    </w:rPr>
                    <w:t>带亮窗整体总高：2650mm</w:t>
                  </w:r>
                </w:p>
                <w:p>
                  <w:pPr>
                    <w:pStyle w:val="null3"/>
                  </w:pPr>
                  <w:r>
                    <w:rPr>
                      <w:rFonts w:ascii="仿宋_GB2312" w:hAnsi="仿宋_GB2312" w:cs="仿宋_GB2312" w:eastAsia="仿宋_GB2312"/>
                    </w:rPr>
                    <w:t>（具体以实际尺寸为准）</w:t>
                  </w:r>
                </w:p>
              </w:tc>
              <w:tc>
                <w:tcPr>
                  <w:tcW w:type="dxa" w:w="638"/>
                </w:tcPr>
                <w:p>
                  <w:pPr>
                    <w:pStyle w:val="null3"/>
                  </w:pPr>
                  <w:r>
                    <w:rPr>
                      <w:rFonts w:ascii="仿宋_GB2312" w:hAnsi="仿宋_GB2312" w:cs="仿宋_GB2312" w:eastAsia="仿宋_GB2312"/>
                    </w:rPr>
                    <w:t>276</w:t>
                  </w:r>
                </w:p>
              </w:tc>
              <w:tc>
                <w:tcPr>
                  <w:tcW w:type="dxa" w:w="638"/>
                </w:tcPr>
                <w:p>
                  <w:pPr>
                    <w:pStyle w:val="null3"/>
                  </w:pPr>
                  <w:r>
                    <w:rPr>
                      <w:rFonts w:ascii="仿宋_GB2312" w:hAnsi="仿宋_GB2312" w:cs="仿宋_GB2312" w:eastAsia="仿宋_GB2312"/>
                    </w:rPr>
                    <w:t>1-7层，拆旧换新。换门扇，修门框，换五金件，风窗贴膜</w:t>
                  </w:r>
                </w:p>
              </w:tc>
            </w:tr>
          </w:tbl>
          <w:p>
            <w:pPr>
              <w:pStyle w:val="null3"/>
            </w:pPr>
            <w:r>
              <w:rPr>
                <w:rFonts w:ascii="仿宋_GB2312" w:hAnsi="仿宋_GB2312" w:cs="仿宋_GB2312" w:eastAsia="仿宋_GB2312"/>
              </w:rPr>
              <w:t>（三）宿舍门改造方案：定制全新入户门扇供货安装、原有老旧门框维修、风窗贴膜、锁具及五金件更换安装。</w:t>
            </w:r>
          </w:p>
          <w:p>
            <w:pPr>
              <w:pStyle w:val="null3"/>
            </w:pPr>
            <w:r>
              <w:rPr>
                <w:rFonts w:ascii="仿宋_GB2312" w:hAnsi="仿宋_GB2312" w:cs="仿宋_GB2312" w:eastAsia="仿宋_GB2312"/>
              </w:rPr>
              <w:t>1.主要工作内容如下：</w:t>
            </w:r>
          </w:p>
          <w:p>
            <w:pPr>
              <w:pStyle w:val="null3"/>
            </w:pPr>
            <w:r>
              <w:rPr>
                <w:rFonts w:ascii="仿宋_GB2312" w:hAnsi="仿宋_GB2312" w:cs="仿宋_GB2312" w:eastAsia="仿宋_GB2312"/>
              </w:rPr>
              <w:t>①拆旧：整体旧门扇，完成垃圾清运。</w:t>
            </w:r>
          </w:p>
          <w:p>
            <w:pPr>
              <w:pStyle w:val="null3"/>
            </w:pPr>
            <w:r>
              <w:rPr>
                <w:rFonts w:ascii="仿宋_GB2312" w:hAnsi="仿宋_GB2312" w:cs="仿宋_GB2312" w:eastAsia="仿宋_GB2312"/>
              </w:rPr>
              <w:t>②换新：统一安装新门扇和风窗贴膜（不更换门框）。</w:t>
            </w:r>
          </w:p>
          <w:p>
            <w:pPr>
              <w:pStyle w:val="null3"/>
            </w:pPr>
            <w:r>
              <w:rPr>
                <w:rFonts w:ascii="仿宋_GB2312" w:hAnsi="仿宋_GB2312" w:cs="仿宋_GB2312" w:eastAsia="仿宋_GB2312"/>
              </w:rPr>
              <w:t>③维修：部分破损严重门框进行局部维修。</w:t>
            </w:r>
          </w:p>
          <w:p>
            <w:pPr>
              <w:pStyle w:val="null3"/>
            </w:pPr>
            <w:r>
              <w:rPr>
                <w:rFonts w:ascii="仿宋_GB2312" w:hAnsi="仿宋_GB2312" w:cs="仿宋_GB2312" w:eastAsia="仿宋_GB2312"/>
              </w:rPr>
              <w:t>（四）定制入户门扇核心技术参数</w:t>
            </w:r>
          </w:p>
          <w:p>
            <w:pPr>
              <w:pStyle w:val="null3"/>
            </w:pPr>
            <w:r>
              <w:rPr>
                <w:rFonts w:ascii="仿宋_GB2312" w:hAnsi="仿宋_GB2312" w:cs="仿宋_GB2312" w:eastAsia="仿宋_GB2312"/>
              </w:rPr>
              <w:t>★1.门扇整体厚度：成品门扇厚度40mm、45mm（误差允许±1mm），和门框匹配；门扇正面门皮厚度≥4.0mm，采用环保耐刮防潮专用饰面门皮，适配宿舍高频开关、潮湿环境长期使用。</w:t>
            </w:r>
          </w:p>
          <w:p>
            <w:pPr>
              <w:pStyle w:val="null3"/>
            </w:pPr>
            <w:r>
              <w:rPr>
                <w:rFonts w:ascii="仿宋_GB2312" w:hAnsi="仿宋_GB2312" w:cs="仿宋_GB2312" w:eastAsia="仿宋_GB2312"/>
              </w:rPr>
              <w:t>★2.门扇内部结构：门扇边框采用防变形LVL顺向木龙骨、桥洞力学填充板、锁位加固龙骨（锁骨）统一采用厚度不小于30mm、35mm(误差允许+lmm)松木实木龙骨，结构抗弯抗压，有效杜绝门扇长期使用变形、锁孔开裂问题；内部采用分体桥洞力学填充结构，提升门扇隔音、抗冲击性能。</w:t>
            </w:r>
          </w:p>
          <w:p>
            <w:pPr>
              <w:pStyle w:val="null3"/>
            </w:pPr>
            <w:r>
              <w:rPr>
                <w:rFonts w:ascii="仿宋_GB2312" w:hAnsi="仿宋_GB2312" w:cs="仿宋_GB2312" w:eastAsia="仿宋_GB2312"/>
              </w:rPr>
              <w:t>3.封边工艺：门扇四周采用PUR热熔胶全自动封边工艺，防水、防潮、耐高温，杜绝后期脱胶、翘边、开缝，有效降低板材内部有害物质挥发。</w:t>
            </w:r>
          </w:p>
          <w:p>
            <w:pPr>
              <w:pStyle w:val="null3"/>
            </w:pPr>
            <w:r>
              <w:rPr>
                <w:rFonts w:ascii="仿宋_GB2312" w:hAnsi="仿宋_GB2312" w:cs="仿宋_GB2312" w:eastAsia="仿宋_GB2312"/>
              </w:rPr>
              <w:t>4.供应商提供的入户门扇应符合LY/T1923-2020《室内木质门》相关要求。投标时提供具备CMA资质第三方检测报告，检测依据包含但不限于LY/T1923-2020《室内木质门》，检测内容至少包含甲醛释放含量、门扇表面孔隙、透底透胶、局部缺损、崩边、鼓包。</w:t>
            </w:r>
          </w:p>
          <w:p>
            <w:pPr>
              <w:pStyle w:val="null3"/>
            </w:pPr>
            <w:r>
              <w:rPr>
                <w:rFonts w:ascii="仿宋_GB2312" w:hAnsi="仿宋_GB2312" w:cs="仿宋_GB2312" w:eastAsia="仿宋_GB2312"/>
              </w:rPr>
              <w:t>5.门扇外形尺寸：标准门洞适配门扇宽度和高度（具体以宿舍内实际尺寸为准）；门扇上下预留安全收边尺寸≤15mm；锁具安装区域强化加固。</w:t>
            </w:r>
          </w:p>
          <w:p>
            <w:pPr>
              <w:pStyle w:val="null3"/>
            </w:pPr>
            <w:r>
              <w:rPr>
                <w:rFonts w:ascii="仿宋_GB2312" w:hAnsi="仿宋_GB2312" w:cs="仿宋_GB2312" w:eastAsia="仿宋_GB2312"/>
              </w:rPr>
              <w:t>6.物理性能：门扇抗冲击、耐磨性能满足高校日均高频启闭工况。</w:t>
            </w:r>
          </w:p>
          <w:p>
            <w:pPr>
              <w:pStyle w:val="null3"/>
            </w:pPr>
            <w:r>
              <w:rPr>
                <w:rFonts w:ascii="仿宋_GB2312" w:hAnsi="仿宋_GB2312" w:cs="仿宋_GB2312" w:eastAsia="仿宋_GB2312"/>
              </w:rPr>
              <w:t>（五）门框维修要求</w:t>
            </w:r>
          </w:p>
          <w:p>
            <w:pPr>
              <w:pStyle w:val="null3"/>
            </w:pPr>
            <w:r>
              <w:rPr>
                <w:rFonts w:ascii="仿宋_GB2312" w:hAnsi="仿宋_GB2312" w:cs="仿宋_GB2312" w:eastAsia="仿宋_GB2312"/>
              </w:rPr>
              <w:t>1.原有老旧门框松动、腐朽、开裂部位填料嵌补加固处理。</w:t>
            </w:r>
          </w:p>
          <w:p>
            <w:pPr>
              <w:pStyle w:val="null3"/>
            </w:pPr>
            <w:r>
              <w:rPr>
                <w:rFonts w:ascii="仿宋_GB2312" w:hAnsi="仿宋_GB2312" w:cs="仿宋_GB2312" w:eastAsia="仿宋_GB2312"/>
              </w:rPr>
              <w:t>2.加固完成后整体精细打磨平整，涂刷同色系水性环保面漆，漆膜均匀无色差、起皮、脱落现象。</w:t>
            </w:r>
          </w:p>
          <w:p>
            <w:pPr>
              <w:pStyle w:val="null3"/>
            </w:pPr>
            <w:r>
              <w:rPr>
                <w:rFonts w:ascii="仿宋_GB2312" w:hAnsi="仿宋_GB2312" w:cs="仿宋_GB2312" w:eastAsia="仿宋_GB2312"/>
              </w:rPr>
              <w:t>3.门框与墙体缝隙采用聚氨酯发泡胶填充密实，外侧搭配中性环保耐候密封胶收口封堵。</w:t>
            </w:r>
          </w:p>
          <w:p>
            <w:pPr>
              <w:pStyle w:val="null3"/>
            </w:pPr>
            <w:r>
              <w:rPr>
                <w:rFonts w:ascii="仿宋_GB2312" w:hAnsi="仿宋_GB2312" w:cs="仿宋_GB2312" w:eastAsia="仿宋_GB2312"/>
              </w:rPr>
              <w:t>4.修补完工后门框垂直度偏差≤2mm，整体牢固无晃动，质保期内不得出现二次开裂、脱落问题。</w:t>
            </w:r>
          </w:p>
          <w:p>
            <w:pPr>
              <w:pStyle w:val="null3"/>
            </w:pPr>
            <w:r>
              <w:rPr>
                <w:rFonts w:ascii="仿宋_GB2312" w:hAnsi="仿宋_GB2312" w:cs="仿宋_GB2312" w:eastAsia="仿宋_GB2312"/>
              </w:rPr>
              <w:t>（六）风窗户贴膜要求</w:t>
            </w:r>
          </w:p>
          <w:p>
            <w:pPr>
              <w:pStyle w:val="null3"/>
            </w:pPr>
            <w:r>
              <w:rPr>
                <w:rFonts w:ascii="仿宋_GB2312" w:hAnsi="仿宋_GB2312" w:cs="仿宋_GB2312" w:eastAsia="仿宋_GB2312"/>
              </w:rPr>
              <w:t>1. 基材材质要求</w:t>
            </w:r>
          </w:p>
          <w:p>
            <w:pPr>
              <w:pStyle w:val="null3"/>
            </w:pPr>
            <w:r>
              <w:rPr>
                <w:rFonts w:ascii="仿宋_GB2312" w:hAnsi="仿宋_GB2312" w:cs="仿宋_GB2312" w:eastAsia="仿宋_GB2312"/>
              </w:rPr>
              <w:t>产品为PET高密度磨砂贴膜，自带环保压敏背胶，胶层均匀稳定；胶体不含劣质溶剂，施工粘贴牢固，长期日晒不易老化脱胶、流胶；后期拆除无顽固残胶，不会腐蚀玻璃漆面与窗框型材；膜体韧性强，不易脆裂、撕裂，适配长期室内外温差环境使用。</w:t>
            </w:r>
          </w:p>
          <w:p>
            <w:pPr>
              <w:pStyle w:val="null3"/>
            </w:pPr>
            <w:r>
              <w:rPr>
                <w:rFonts w:ascii="仿宋_GB2312" w:hAnsi="仿宋_GB2312" w:cs="仿宋_GB2312" w:eastAsia="仿宋_GB2312"/>
              </w:rPr>
              <w:t>2.核心性能指标</w:t>
            </w:r>
          </w:p>
          <w:p>
            <w:pPr>
              <w:pStyle w:val="null3"/>
            </w:pPr>
            <w:r>
              <w:rPr>
                <w:rFonts w:ascii="仿宋_GB2312" w:hAnsi="仿宋_GB2312" w:cs="仿宋_GB2312" w:eastAsia="仿宋_GB2312"/>
              </w:rPr>
              <w:t>（1）隐私性能：哑光磨砂雾面效果，外部遮挡视线，有效保护宿舍室内隐私；室内自然采光柔和，不会过度遮挡自然光，满足日常采光需求；</w:t>
            </w:r>
          </w:p>
          <w:p>
            <w:pPr>
              <w:pStyle w:val="null3"/>
            </w:pPr>
            <w:r>
              <w:rPr>
                <w:rFonts w:ascii="仿宋_GB2312" w:hAnsi="仿宋_GB2312" w:cs="仿宋_GB2312" w:eastAsia="仿宋_GB2312"/>
              </w:rPr>
              <w:t>（2）基础安全性能：膜体具备一定韧性，玻璃意外破碎时可小幅粘连碎片，降低飞溅风险。</w:t>
            </w:r>
          </w:p>
          <w:p>
            <w:pPr>
              <w:pStyle w:val="null3"/>
            </w:pPr>
            <w:r>
              <w:rPr>
                <w:rFonts w:ascii="仿宋_GB2312" w:hAnsi="仿宋_GB2312" w:cs="仿宋_GB2312" w:eastAsia="仿宋_GB2312"/>
              </w:rPr>
              <w:t>3.施工工艺：施工前玻璃彻底清洁除垢，湿法标准化施工，膜面无褶皱、气泡、划痕；四边高温热封收边，杜绝后期翘边、起鼓、脱胶。</w:t>
            </w:r>
          </w:p>
          <w:p>
            <w:pPr>
              <w:pStyle w:val="null3"/>
            </w:pPr>
            <w:r>
              <w:rPr>
                <w:rFonts w:ascii="仿宋_GB2312" w:hAnsi="仿宋_GB2312" w:cs="仿宋_GB2312" w:eastAsia="仿宋_GB2312"/>
              </w:rPr>
              <w:t>（七）门锁及配套五金件要求</w:t>
            </w:r>
          </w:p>
          <w:p>
            <w:pPr>
              <w:pStyle w:val="null3"/>
            </w:pPr>
            <w:r>
              <w:rPr>
                <w:rFonts w:ascii="仿宋_GB2312" w:hAnsi="仿宋_GB2312" w:cs="仿宋_GB2312" w:eastAsia="仿宋_GB2312"/>
              </w:rPr>
              <w:t>1.门锁配置：采用专用门锁，加粗防脱锁舌，抗暴力撬动；锁体适配门扇预制开孔，启闭顺滑无卡顿、无回弹异响。</w:t>
            </w:r>
          </w:p>
          <w:p>
            <w:pPr>
              <w:pStyle w:val="null3"/>
            </w:pPr>
            <w:r>
              <w:rPr>
                <w:rFonts w:ascii="仿宋_GB2312" w:hAnsi="仿宋_GB2312" w:cs="仿宋_GB2312" w:eastAsia="仿宋_GB2312"/>
              </w:rPr>
              <w:t>2.合页：选用3.0mm加厚不锈钢静音防锈合页（5寸加长合页），单扇门扇配置不少于3组合页，承重性能强，长期启闭不下坠、无异响。</w:t>
            </w:r>
          </w:p>
          <w:p>
            <w:pPr>
              <w:pStyle w:val="null3"/>
            </w:pPr>
            <w:r>
              <w:rPr>
                <w:rFonts w:ascii="仿宋_GB2312" w:hAnsi="仿宋_GB2312" w:cs="仿宋_GB2312" w:eastAsia="仿宋_GB2312"/>
              </w:rPr>
              <w:t>3.配套配件：配套防撞门吸等辅材；所有五金件防锈防腐，适配潮湿室内环境。</w:t>
            </w:r>
          </w:p>
          <w:p>
            <w:pPr>
              <w:pStyle w:val="null3"/>
            </w:pPr>
            <w:r>
              <w:rPr>
                <w:rFonts w:ascii="仿宋_GB2312" w:hAnsi="仿宋_GB2312" w:cs="仿宋_GB2312" w:eastAsia="仿宋_GB2312"/>
              </w:rPr>
              <w:t>4.钥匙管理：每套门锁标配不少于5把使用钥匙，项目竣工后统一汇总备用钥匙台账移交校方归档。</w:t>
            </w:r>
          </w:p>
          <w:p>
            <w:pPr>
              <w:pStyle w:val="null3"/>
            </w:pPr>
            <w:r>
              <w:rPr>
                <w:rFonts w:ascii="仿宋_GB2312" w:hAnsi="仿宋_GB2312" w:cs="仿宋_GB2312" w:eastAsia="仿宋_GB2312"/>
              </w:rPr>
              <w:t>（八）更换要求</w:t>
            </w:r>
          </w:p>
          <w:p>
            <w:pPr>
              <w:pStyle w:val="null3"/>
            </w:pPr>
            <w:r>
              <w:rPr>
                <w:rFonts w:ascii="仿宋_GB2312" w:hAnsi="仿宋_GB2312" w:cs="仿宋_GB2312" w:eastAsia="仿宋_GB2312"/>
              </w:rPr>
              <w:t>1.更换前逐间对2#、3#公寓宿舍门洞、风窗精准实测，一户一档编号建档，提前工厂预制门扇开孔，严控现场安装尺寸偏差。</w:t>
            </w:r>
          </w:p>
          <w:p>
            <w:pPr>
              <w:pStyle w:val="null3"/>
            </w:pPr>
            <w:r>
              <w:rPr>
                <w:rFonts w:ascii="仿宋_GB2312" w:hAnsi="仿宋_GB2312" w:cs="仿宋_GB2312" w:eastAsia="仿宋_GB2312"/>
              </w:rPr>
              <w:t>2.拆除旧门扇严禁暴力敲击，保护原有墙体结构；建筑垃圾当日袋装清运出场，楼道不得堆放废料，做到日产日清。</w:t>
            </w:r>
          </w:p>
          <w:p>
            <w:pPr>
              <w:pStyle w:val="null3"/>
            </w:pPr>
            <w:r>
              <w:rPr>
                <w:rFonts w:ascii="仿宋_GB2312" w:hAnsi="仿宋_GB2312" w:cs="仿宋_GB2312" w:eastAsia="仿宋_GB2312"/>
              </w:rPr>
              <w:t>3.严格执行校园错峰施工制度，午休、夜间休息时段禁止高噪音切割、拆除作业，降低对学生学习生活干扰。</w:t>
            </w:r>
          </w:p>
          <w:p>
            <w:pPr>
              <w:pStyle w:val="null3"/>
            </w:pPr>
            <w:r>
              <w:rPr>
                <w:rFonts w:ascii="仿宋_GB2312" w:hAnsi="仿宋_GB2312" w:cs="仿宋_GB2312" w:eastAsia="仿宋_GB2312"/>
              </w:rPr>
              <w:t>4.进场施工前对宿舍原有地面、家具、墙面设施做好成品保护，避免施工磕碰、粉尘污染。</w:t>
            </w:r>
          </w:p>
          <w:p>
            <w:pPr>
              <w:pStyle w:val="null3"/>
            </w:pPr>
            <w:r>
              <w:rPr>
                <w:rFonts w:ascii="仿宋_GB2312" w:hAnsi="仿宋_GB2312" w:cs="仿宋_GB2312" w:eastAsia="仿宋_GB2312"/>
              </w:rPr>
              <w:t>★二、质保要求：</w:t>
            </w:r>
          </w:p>
          <w:p>
            <w:pPr>
              <w:pStyle w:val="null3"/>
            </w:pPr>
            <w:r>
              <w:rPr>
                <w:rFonts w:ascii="仿宋_GB2312" w:hAnsi="仿宋_GB2312" w:cs="仿宋_GB2312" w:eastAsia="仿宋_GB2312"/>
              </w:rPr>
              <w:t>质保期：定制入户门扇整体质保不少于2年；门框维修翻新部位质保不少于2年；所有质保期内非人为损坏，成交供应商负责上门维修、更换。备品备件：成交供应商需为本项目560套门扇预留同型号门扇、锁具、修补材料等应急备品备件；校方报修响应时长≤24小时。</w:t>
            </w:r>
          </w:p>
          <w:p>
            <w:pPr>
              <w:pStyle w:val="null3"/>
            </w:pPr>
            <w:r>
              <w:rPr>
                <w:rFonts w:ascii="仿宋_GB2312" w:hAnsi="仿宋_GB2312" w:cs="仿宋_GB2312" w:eastAsia="仿宋_GB2312"/>
              </w:rPr>
              <w:t>三、样品</w:t>
            </w:r>
          </w:p>
          <w:p>
            <w:pPr>
              <w:pStyle w:val="null3"/>
            </w:pPr>
            <w:r>
              <w:rPr>
                <w:rFonts w:ascii="仿宋_GB2312" w:hAnsi="仿宋_GB2312" w:cs="仿宋_GB2312" w:eastAsia="仿宋_GB2312"/>
              </w:rPr>
              <w:t>3.1样品清单</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样品名称</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制作的标准和要求</w:t>
                  </w:r>
                </w:p>
              </w:tc>
              <w:tc>
                <w:tcPr>
                  <w:tcW w:type="dxa" w:w="511"/>
                </w:tcPr>
                <w:p>
                  <w:pPr>
                    <w:pStyle w:val="null3"/>
                  </w:pPr>
                  <w:r>
                    <w:rPr>
                      <w:rFonts w:ascii="仿宋_GB2312" w:hAnsi="仿宋_GB2312" w:cs="仿宋_GB2312" w:eastAsia="仿宋_GB2312"/>
                    </w:rPr>
                    <w:t>是否需要随样品提交相关检测报告</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门扇小样300*400mm</w:t>
                  </w:r>
                </w:p>
              </w:tc>
              <w:tc>
                <w:tcPr>
                  <w:tcW w:type="dxa" w:w="511"/>
                </w:tcPr>
                <w:p>
                  <w:pPr>
                    <w:pStyle w:val="null3"/>
                  </w:pPr>
                  <w:r>
                    <w:rPr>
                      <w:rFonts w:ascii="仿宋_GB2312" w:hAnsi="仿宋_GB2312" w:cs="仿宋_GB2312" w:eastAsia="仿宋_GB2312"/>
                    </w:rPr>
                    <w:t>1块</w:t>
                  </w:r>
                </w:p>
              </w:tc>
              <w:tc>
                <w:tcPr>
                  <w:tcW w:type="dxa" w:w="511"/>
                </w:tcPr>
                <w:p>
                  <w:pPr>
                    <w:pStyle w:val="null3"/>
                  </w:pPr>
                  <w:r>
                    <w:rPr>
                      <w:rFonts w:ascii="仿宋_GB2312" w:hAnsi="仿宋_GB2312" w:cs="仿宋_GB2312" w:eastAsia="仿宋_GB2312"/>
                    </w:rPr>
                    <w:t>详见“采购需求”</w:t>
                  </w:r>
                </w:p>
              </w:tc>
              <w:tc>
                <w:tcPr>
                  <w:tcW w:type="dxa" w:w="511"/>
                </w:tcPr>
                <w:p>
                  <w:pPr>
                    <w:pStyle w:val="null3"/>
                  </w:pPr>
                  <w:r>
                    <w:rPr>
                      <w:rFonts w:ascii="仿宋_GB2312" w:hAnsi="仿宋_GB2312" w:cs="仿宋_GB2312" w:eastAsia="仿宋_GB2312"/>
                    </w:rPr>
                    <w:t>不需要</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五金（锁具、合页、门把手）</w:t>
                  </w:r>
                </w:p>
              </w:tc>
              <w:tc>
                <w:tcPr>
                  <w:tcW w:type="dxa" w:w="511"/>
                </w:tcPr>
                <w:p>
                  <w:pPr>
                    <w:pStyle w:val="null3"/>
                  </w:pPr>
                  <w:r>
                    <w:rPr>
                      <w:rFonts w:ascii="仿宋_GB2312" w:hAnsi="仿宋_GB2312" w:cs="仿宋_GB2312" w:eastAsia="仿宋_GB2312"/>
                    </w:rPr>
                    <w:t>1套</w:t>
                  </w:r>
                </w:p>
              </w:tc>
              <w:tc>
                <w:tcPr>
                  <w:tcW w:type="dxa" w:w="511"/>
                </w:tcPr>
                <w:p>
                  <w:pPr>
                    <w:pStyle w:val="null3"/>
                  </w:pPr>
                  <w:r>
                    <w:rPr>
                      <w:rFonts w:ascii="仿宋_GB2312" w:hAnsi="仿宋_GB2312" w:cs="仿宋_GB2312" w:eastAsia="仿宋_GB2312"/>
                    </w:rPr>
                    <w:t>配套</w:t>
                  </w:r>
                </w:p>
              </w:tc>
              <w:tc>
                <w:tcPr>
                  <w:tcW w:type="dxa" w:w="511"/>
                </w:tcPr>
                <w:p>
                  <w:pPr>
                    <w:pStyle w:val="null3"/>
                  </w:pPr>
                  <w:r>
                    <w:rPr>
                      <w:rFonts w:ascii="仿宋_GB2312" w:hAnsi="仿宋_GB2312" w:cs="仿宋_GB2312" w:eastAsia="仿宋_GB2312"/>
                    </w:rPr>
                    <w:t>不需要</w:t>
                  </w:r>
                </w:p>
              </w:tc>
            </w:tr>
          </w:tbl>
          <w:p>
            <w:pPr>
              <w:pStyle w:val="null3"/>
            </w:pPr>
            <w:r>
              <w:rPr>
                <w:rFonts w:ascii="仿宋_GB2312" w:hAnsi="仿宋_GB2312" w:cs="仿宋_GB2312" w:eastAsia="仿宋_GB2312"/>
              </w:rPr>
              <w:t>3.2样品的递交</w:t>
            </w:r>
          </w:p>
          <w:p>
            <w:pPr>
              <w:pStyle w:val="null3"/>
            </w:pPr>
            <w:r>
              <w:rPr>
                <w:rFonts w:ascii="仿宋_GB2312" w:hAnsi="仿宋_GB2312" w:cs="仿宋_GB2312" w:eastAsia="仿宋_GB2312"/>
              </w:rPr>
              <w:t>3.2.1递交样品截止时间：同提交响应文件截止时间。</w:t>
            </w:r>
          </w:p>
          <w:p>
            <w:pPr>
              <w:pStyle w:val="null3"/>
            </w:pPr>
            <w:r>
              <w:rPr>
                <w:rFonts w:ascii="仿宋_GB2312" w:hAnsi="仿宋_GB2312" w:cs="仿宋_GB2312" w:eastAsia="仿宋_GB2312"/>
              </w:rPr>
              <w:t>3.2.2递交地点：西安市莲湖区环城西路南段元晟合中心6层。</w:t>
            </w:r>
          </w:p>
          <w:p>
            <w:pPr>
              <w:pStyle w:val="null3"/>
            </w:pPr>
            <w:r>
              <w:rPr>
                <w:rFonts w:ascii="仿宋_GB2312" w:hAnsi="仿宋_GB2312" w:cs="仿宋_GB2312" w:eastAsia="仿宋_GB2312"/>
              </w:rPr>
              <w:t>3.2.3供应商必须提供与投标相符的样品。在递交样品截止时间前将样品送达指定地点，逾期不予受理。</w:t>
            </w:r>
          </w:p>
          <w:p>
            <w:pPr>
              <w:pStyle w:val="null3"/>
            </w:pPr>
            <w:r>
              <w:rPr>
                <w:rFonts w:ascii="仿宋_GB2312" w:hAnsi="仿宋_GB2312" w:cs="仿宋_GB2312" w:eastAsia="仿宋_GB2312"/>
              </w:rPr>
              <w:t>3.2.4 采购人、采购代理机构对递交的样品进行检查，并封样留存，作为产品检验的依据，如质量下降，将依法追究成交供应商的责任。</w:t>
            </w:r>
          </w:p>
          <w:p>
            <w:pPr>
              <w:pStyle w:val="null3"/>
            </w:pPr>
            <w:r>
              <w:rPr>
                <w:rFonts w:ascii="仿宋_GB2312" w:hAnsi="仿宋_GB2312" w:cs="仿宋_GB2312" w:eastAsia="仿宋_GB2312"/>
              </w:rPr>
              <w:t>3.2.5 样品退还办法：未成交供应商样品在成交公告发出后五个工作日内自行领取。成交供应商样品在全部产品验收合格后由采购人退还。</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35个日历天内翻新及安装完毕，并交付验收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西安石油大学雁塔校区指定地点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随货提供的产品，须为制造商原厂生产的全新合格产品。每批次供货均应附带与产品实物相符的出厂合格证。为保障产品质量的稳定性和可追溯性，供应商交付的每樘门产品，应在产品本体或外包装显著位置，设置唯一且不重复的溯源性编码，该编码应能关联至该产品的生产批次、主要原材料来源及出厂检验记录等信息，供应商须在交付时，同步提供该编码的有效查验方式。 （1）验收依据：按照成交供应商响应文件技术参数与性能指标要求逐条验收。验收以最终验收为准；（2）分工序自检、分层校方抽检、整栋联合竣工验收；所有主材进场可由校方随机抽检，需随货提供合格证、单门专属正品防伪溯源码（一门一码）；（3）货物安装正常后，甲方（采购单位）按学校相关业务部门规定提交验收申请，学校根据采购单位技术验收结果，组织有关专家进行货物的最终验收。（4）项目验收合格后，成交供应商需提交完整验收资料，含分楼栋量明细、材料检测报告、质保文件、钥匙台账等全套归档资料。</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进度款，项目完工后经采购人验收合格无异议，达到付款条件起10个工作日内，支付合同总金额的100.0%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按照《中华人民共和国民法典》规定及合同条款约定进行处理。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报价要求：（1）供应商应当根据采购文件的要求和范围，以人民币为货币，以元为报价单位。（2）报价：本项目为固定总价包干，报价须包含以下全部费用：门板、辅材、五金配件、加工、运输、人工拆除旧门、新门安装、风窗贴膜、垃圾清运、保洁、税金及管理费等。 3.4.2磋商保证金注意事项： （1）磋商保证金缴纳截止时间：同响应文件递交截止时间一致。磋商保证金的提交金额、时间不满足磋商文件要求的，投标无效。（2）磋商保证金须从供应商户名支付，如从个人户名或非供应商户名支付，将被拒绝，视为自动放弃投标权利（该个人是供应商的情形除外）；以保函形式交纳投标保证金的，供应商应在响应文件截止时间前将保函扫描成清晰的PDF文件，发送至邮箱2559647209@qq.com（邮件命名：项目编号）。保函必须由具有开具投标保函资格的单位开具；若供应商违约，开具保函单位承担连带责任。（3）未成交供应商的磋商保证金，将在成交通知书发出后5个工作日内无息全额退还，但因供应商自身原因导致无法及时退还的除外。成交供应商的磋商保证金，在服务费足额到账3个工作日内或收到合同3个工作日内退还位保证金，但因供应商自身原因导致无法及时退还的除外。 3.4.3成交供应商应在成交结果发布后2日内提供与电子化交易平台上传一致的纸质响应文件2份。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7月（含7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7月（含7月）以来至少一个月已缴纳的社会保障资金的证明（社会保障资金缴存单据或社保机构开具的社会保险参保缴费情况证明等）；依法不需要缴纳社会保障资金的供应商应提供相关文件证明； ④须提供《具有履行合同所必需的设备和专业技术能力的承诺函》； ⑤参加本次政府采购活动前3年内在经营活动中没有重大违纪，以及未被列入失信被执行人、重大税收违法失信主体名单、政府采购严重违法失信行为记录名单的书面声明。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2025年度审计报告（审计报告须具有注册会计师行业统一监管平台https://acc.mof.gov.cn赋予的验证码）（成立时间至提交响应文件截止时间不足一年的可提供成立后任意时段的资产负债表），或提交自2026年1月1日以来银行出具的资信证明（以上两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法定代表人身份证或法定代表人授权书及授权代表身份证</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提供法定代表人身份证，并与营业执照上信息一致。法定代表人授权代表参加磋商的，须提供法定代表人授权书及授权代表身份证（授权代表需提供磋商截止时间前半年任意一个月的社保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报价未超过磋商文件中规定的预算金额或最高限价</w:t>
            </w:r>
          </w:p>
        </w:tc>
        <w:tc>
          <w:tcPr>
            <w:tcW w:type="dxa" w:w="1661"/>
          </w:tcPr>
          <w:p>
            <w:pPr>
              <w:pStyle w:val="null3"/>
            </w:pPr>
            <w:r>
              <w:rPr>
                <w:rFonts w:ascii="仿宋_GB2312" w:hAnsi="仿宋_GB2312" w:cs="仿宋_GB2312" w:eastAsia="仿宋_GB2312"/>
              </w:rPr>
              <w:t>标的清单 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满足本磋商文件中“服务期限、服务地点、支付约定”及技术参数与性能指标中加“★”要求的</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根据供应商对3.2.2服务要求中“（四）定制入户门扇核心技术参数（五）门框维修要求（六）风窗户贴膜要求（七）门锁及配套五金件要求”的响应情况进行评审。（不包含标注★项内容） 每完全满足1项技术要求计1分，满分16分。 备注：所有技术要求均须提供佐证材料，佐证材料例如：国家认可的检测机构出具的检测报告、制造商检验报告、产品彩页、官网截图、产品说明书任意一种。非技术要求的，提供加盖供应商公章的承诺函。不提供或佐证材料无法证明技术要求的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1技术响应.docx</w:t>
            </w:r>
          </w:p>
        </w:tc>
      </w:tr>
      <w:tr>
        <w:tc>
          <w:tcPr>
            <w:tcW w:type="dxa" w:w="831"/>
            <w:vMerge/>
          </w:tcPr>
          <w:p/>
        </w:tc>
        <w:tc>
          <w:tcPr>
            <w:tcW w:type="dxa" w:w="1661"/>
          </w:tcPr>
          <w:p>
            <w:pPr>
              <w:pStyle w:val="null3"/>
            </w:pPr>
            <w:r>
              <w:rPr>
                <w:rFonts w:ascii="仿宋_GB2312" w:hAnsi="仿宋_GB2312" w:cs="仿宋_GB2312" w:eastAsia="仿宋_GB2312"/>
              </w:rPr>
              <w:t>售后服务及承诺</w:t>
            </w:r>
          </w:p>
        </w:tc>
        <w:tc>
          <w:tcPr>
            <w:tcW w:type="dxa" w:w="2492"/>
          </w:tcPr>
          <w:p>
            <w:pPr>
              <w:pStyle w:val="null3"/>
            </w:pPr>
            <w:r>
              <w:rPr>
                <w:rFonts w:ascii="仿宋_GB2312" w:hAnsi="仿宋_GB2312" w:cs="仿宋_GB2312" w:eastAsia="仿宋_GB2312"/>
              </w:rPr>
              <w:t>供应商针对本项目需求提供： ①具有明确的定期回访管理制度、固定联系人及联系方式，提供计1分；否则不计分。 ②承诺质保期内接到采购人反映电话后，可满足2小时内响应，24小时内派技术人员到现场，48小时解决问题，如出现超过48小时未维修好，供应商应向采购人提供同类新产品替代，以保证采购人的正常使用。质保期外维修只收取材料费。提供承诺并加盖供应商公章，提供承诺计3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2售后服务及承诺.docx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提供供应商2023年1月1日至今同类项目完整业绩（以合同签订日期为准）。每提供1个有效业绩得1分，最高得5分。 备注： ①供应商须提供业绩清单和证明材料。 ②一份完整的业绩包括：页码连续完整的合同文本和项目款项发票(部分或全部均可)。 ③同类业绩是指装饰装修或木门定制、木门销售。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3供应商业绩.docx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供应商提供其ISO9001质量管理体系认证证书计0.5分；提供ISO14001环境管理体系认证证书计0.5分。满分1分。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4履约能力.docx</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供应商拟投入材料为“环境标志产品政府采购品目清单 ”内的，应提供该产品的环境标志产品认证证书。环境标志产品认证证书需由国家确定的认证机构出具且处于有效期内，每提供一个产品的认证证书得 0.5分，满分1分。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5环保.docx</w:t>
            </w:r>
          </w:p>
        </w:tc>
      </w:tr>
      <w:tr>
        <w:tc>
          <w:tcPr>
            <w:tcW w:type="dxa" w:w="831"/>
            <w:vMerge/>
          </w:tcPr>
          <w:p/>
        </w:tc>
        <w:tc>
          <w:tcPr>
            <w:tcW w:type="dxa" w:w="1661"/>
          </w:tcPr>
          <w:p>
            <w:pPr>
              <w:pStyle w:val="null3"/>
            </w:pPr>
            <w:r>
              <w:rPr>
                <w:rFonts w:ascii="仿宋_GB2312" w:hAnsi="仿宋_GB2312" w:cs="仿宋_GB2312" w:eastAsia="仿宋_GB2312"/>
              </w:rPr>
              <w:t>样品1</w:t>
            </w:r>
          </w:p>
        </w:tc>
        <w:tc>
          <w:tcPr>
            <w:tcW w:type="dxa" w:w="2492"/>
          </w:tcPr>
          <w:p>
            <w:pPr>
              <w:pStyle w:val="null3"/>
            </w:pPr>
            <w:r>
              <w:rPr>
                <w:rFonts w:ascii="仿宋_GB2312" w:hAnsi="仿宋_GB2312" w:cs="仿宋_GB2312" w:eastAsia="仿宋_GB2312"/>
              </w:rPr>
              <w:t>供应商提供的样品齐全，规格符合磋商文件样品规格要求计3分，否则不得分。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1技术响应.docx</w:t>
            </w:r>
          </w:p>
        </w:tc>
      </w:tr>
      <w:tr>
        <w:tc>
          <w:tcPr>
            <w:tcW w:type="dxa" w:w="831"/>
            <w:vMerge/>
          </w:tcPr>
          <w:p/>
        </w:tc>
        <w:tc>
          <w:tcPr>
            <w:tcW w:type="dxa" w:w="1661"/>
          </w:tcPr>
          <w:p>
            <w:pPr>
              <w:pStyle w:val="null3"/>
            </w:pPr>
            <w:r>
              <w:rPr>
                <w:rFonts w:ascii="仿宋_GB2312" w:hAnsi="仿宋_GB2312" w:cs="仿宋_GB2312" w:eastAsia="仿宋_GB2312"/>
              </w:rPr>
              <w:t>样品2</w:t>
            </w:r>
          </w:p>
        </w:tc>
        <w:tc>
          <w:tcPr>
            <w:tcW w:type="dxa" w:w="2492"/>
          </w:tcPr>
          <w:p>
            <w:pPr>
              <w:pStyle w:val="null3"/>
            </w:pPr>
            <w:r>
              <w:rPr>
                <w:rFonts w:ascii="仿宋_GB2312" w:hAnsi="仿宋_GB2312" w:cs="仿宋_GB2312" w:eastAsia="仿宋_GB2312"/>
              </w:rPr>
              <w:t>根据供应商提供的门扇小样及五金配件样品情况进行评审 （1）门扇小样：样品满足外表光滑无毛刺，板件封边严密；颜色均匀无色差；表面无划伤、磕碰、破损计2分，外观质量部分满足计1分。否则不得分。 （2）五金配件：样品材质，配套性和选型满足采购需求，防锈防腐计2分，部分满足计1分。否则不得分。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1技术响应.docx</w:t>
            </w:r>
          </w:p>
        </w:tc>
      </w:tr>
      <w:tr>
        <w:tc>
          <w:tcPr>
            <w:tcW w:type="dxa" w:w="831"/>
            <w:vMerge/>
          </w:tcPr>
          <w:p/>
        </w:tc>
        <w:tc>
          <w:tcPr>
            <w:tcW w:type="dxa" w:w="1661"/>
          </w:tcPr>
          <w:p>
            <w:pPr>
              <w:pStyle w:val="null3"/>
            </w:pPr>
            <w:r>
              <w:rPr>
                <w:rFonts w:ascii="仿宋_GB2312" w:hAnsi="仿宋_GB2312" w:cs="仿宋_GB2312" w:eastAsia="仿宋_GB2312"/>
              </w:rPr>
              <w:t>维修翻新方案</w:t>
            </w:r>
          </w:p>
        </w:tc>
        <w:tc>
          <w:tcPr>
            <w:tcW w:type="dxa" w:w="2492"/>
          </w:tcPr>
          <w:p>
            <w:pPr>
              <w:pStyle w:val="null3"/>
            </w:pPr>
            <w:r>
              <w:rPr>
                <w:rFonts w:ascii="仿宋_GB2312" w:hAnsi="仿宋_GB2312" w:cs="仿宋_GB2312" w:eastAsia="仿宋_GB2312"/>
              </w:rPr>
              <w:t>供应商针对本项目制定维修翻新方案，包含以下内容：①拆除及清运方案；②新门扇安装方案；③门框维修方案；④风窗户贴膜实施方案及标准；⑤校园环境文明保障措施；⑥改造过程中对周边现有设施的保护方案。 上述6项内容，每提供1项内容计3分，每项内容存在一处瑕疵扣0.5分；本评分点满分18分。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6维修翻新方案.docx</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供应商针对本项目需求提供进度保障方案，包含①供货及实施进度计划安排；②进度保障措施。 上述2项内容，每提供1项内容计3分，每项内容存在一处瑕疵扣0.5分；本评分点满分6分。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7进度保障方案.docx</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针对本项目提供拟派实施服务团队情况予以赋分，至少包含人员组织架构、清单、岗位职责分工。 上述内容，满分3分，每存在一处瑕疵扣0.5分。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8团队人员配备.docx</w:t>
            </w:r>
          </w:p>
        </w:tc>
      </w:tr>
      <w:tr>
        <w:tc>
          <w:tcPr>
            <w:tcW w:type="dxa" w:w="831"/>
            <w:vMerge/>
          </w:tcPr>
          <w:p/>
        </w:tc>
        <w:tc>
          <w:tcPr>
            <w:tcW w:type="dxa" w:w="1661"/>
          </w:tcPr>
          <w:p>
            <w:pPr>
              <w:pStyle w:val="null3"/>
            </w:pPr>
            <w:r>
              <w:rPr>
                <w:rFonts w:ascii="仿宋_GB2312" w:hAnsi="仿宋_GB2312" w:cs="仿宋_GB2312" w:eastAsia="仿宋_GB2312"/>
              </w:rPr>
              <w:t>安全管理及应急措施</w:t>
            </w:r>
          </w:p>
        </w:tc>
        <w:tc>
          <w:tcPr>
            <w:tcW w:type="dxa" w:w="2492"/>
          </w:tcPr>
          <w:p>
            <w:pPr>
              <w:pStyle w:val="null3"/>
            </w:pPr>
            <w:r>
              <w:rPr>
                <w:rFonts w:ascii="仿宋_GB2312" w:hAnsi="仿宋_GB2312" w:cs="仿宋_GB2312" w:eastAsia="仿宋_GB2312"/>
              </w:rPr>
              <w:t>供应商针对本项目提供①维修翻新安全实施管理制度；②安全实施保障措施；③应急预案（包含主材损坏、配件不足、加急维修等）。 上述3项内容，每提供1项内容计3分，每项内容存在一处瑕疵扣0.5分；本评分点满分9分。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9安全管理及应急措施.docx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磋商报价得分=（评标基准价/磋商报价）×30，满足磋商文件要求且磋商价格最低的磋商报价为评标基准价，其价格分为满分30分。 注：价格分四舍五入后保留小数点后两位。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详见附件：1技术响应.docx</w:t>
      </w:r>
    </w:p>
    <w:p>
      <w:pPr>
        <w:pStyle w:val="null3"/>
        <w:ind w:firstLine="960"/>
      </w:pPr>
      <w:r>
        <w:rPr>
          <w:rFonts w:ascii="仿宋_GB2312" w:hAnsi="仿宋_GB2312" w:cs="仿宋_GB2312" w:eastAsia="仿宋_GB2312"/>
        </w:rPr>
        <w:t>详见附件：2售后服务及承诺.docx</w:t>
      </w:r>
    </w:p>
    <w:p>
      <w:pPr>
        <w:pStyle w:val="null3"/>
        <w:ind w:firstLine="960"/>
      </w:pPr>
      <w:r>
        <w:rPr>
          <w:rFonts w:ascii="仿宋_GB2312" w:hAnsi="仿宋_GB2312" w:cs="仿宋_GB2312" w:eastAsia="仿宋_GB2312"/>
        </w:rPr>
        <w:t>详见附件：3供应商业绩.docx</w:t>
      </w:r>
    </w:p>
    <w:p>
      <w:pPr>
        <w:pStyle w:val="null3"/>
        <w:ind w:firstLine="960"/>
      </w:pPr>
      <w:r>
        <w:rPr>
          <w:rFonts w:ascii="仿宋_GB2312" w:hAnsi="仿宋_GB2312" w:cs="仿宋_GB2312" w:eastAsia="仿宋_GB2312"/>
        </w:rPr>
        <w:t>详见附件：4履约能力.docx</w:t>
      </w:r>
    </w:p>
    <w:p>
      <w:pPr>
        <w:pStyle w:val="null3"/>
        <w:ind w:firstLine="960"/>
      </w:pPr>
      <w:r>
        <w:rPr>
          <w:rFonts w:ascii="仿宋_GB2312" w:hAnsi="仿宋_GB2312" w:cs="仿宋_GB2312" w:eastAsia="仿宋_GB2312"/>
        </w:rPr>
        <w:t>详见附件：5环保.docx</w:t>
      </w:r>
    </w:p>
    <w:p>
      <w:pPr>
        <w:pStyle w:val="null3"/>
        <w:ind w:firstLine="960"/>
      </w:pPr>
      <w:r>
        <w:rPr>
          <w:rFonts w:ascii="仿宋_GB2312" w:hAnsi="仿宋_GB2312" w:cs="仿宋_GB2312" w:eastAsia="仿宋_GB2312"/>
        </w:rPr>
        <w:t>详见附件：6维修翻新方案.docx</w:t>
      </w:r>
    </w:p>
    <w:p>
      <w:pPr>
        <w:pStyle w:val="null3"/>
        <w:ind w:firstLine="960"/>
      </w:pPr>
      <w:r>
        <w:rPr>
          <w:rFonts w:ascii="仿宋_GB2312" w:hAnsi="仿宋_GB2312" w:cs="仿宋_GB2312" w:eastAsia="仿宋_GB2312"/>
        </w:rPr>
        <w:t>详见附件：7进度保障方案.docx</w:t>
      </w:r>
    </w:p>
    <w:p>
      <w:pPr>
        <w:pStyle w:val="null3"/>
        <w:ind w:firstLine="960"/>
      </w:pPr>
      <w:r>
        <w:rPr>
          <w:rFonts w:ascii="仿宋_GB2312" w:hAnsi="仿宋_GB2312" w:cs="仿宋_GB2312" w:eastAsia="仿宋_GB2312"/>
        </w:rPr>
        <w:t>详见附件：8团队人员配备.docx</w:t>
      </w:r>
    </w:p>
    <w:p>
      <w:pPr>
        <w:pStyle w:val="null3"/>
        <w:ind w:firstLine="960"/>
      </w:pPr>
      <w:r>
        <w:rPr>
          <w:rFonts w:ascii="仿宋_GB2312" w:hAnsi="仿宋_GB2312" w:cs="仿宋_GB2312" w:eastAsia="仿宋_GB2312"/>
        </w:rPr>
        <w:t>详见附件：9安全管理及应急措施.docx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