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0D772B">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highlight w:val="none"/>
          <w:lang w:val="en-US" w:eastAsia="zh-CN"/>
        </w:rPr>
      </w:pPr>
      <w:r>
        <w:rPr>
          <w:rFonts w:hint="eastAsia" w:ascii="仿宋" w:hAnsi="仿宋" w:eastAsia="仿宋" w:cs="仿宋"/>
          <w:b/>
          <w:bCs/>
          <w:sz w:val="24"/>
          <w:szCs w:val="24"/>
          <w:highlight w:val="none"/>
          <w:lang w:val="en-US" w:eastAsia="zh-CN"/>
        </w:rPr>
        <w:t>一、服务期限</w:t>
      </w:r>
    </w:p>
    <w:p w14:paraId="6170AE64">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rPr>
          <w:rFonts w:hint="default"/>
          <w:b w:val="0"/>
          <w:bCs w:val="0"/>
          <w:color w:val="auto"/>
          <w:highlight w:val="none"/>
          <w:lang w:val="en-US" w:eastAsia="zh-CN"/>
        </w:rPr>
      </w:pPr>
      <w:r>
        <w:rPr>
          <w:rFonts w:hint="eastAsia" w:ascii="仿宋" w:hAnsi="仿宋" w:eastAsia="仿宋" w:cs="仿宋"/>
          <w:b w:val="0"/>
          <w:bCs w:val="0"/>
          <w:color w:val="auto"/>
          <w:sz w:val="24"/>
          <w:szCs w:val="24"/>
          <w:highlight w:val="none"/>
          <w:u w:val="single"/>
          <w:lang w:val="en-US" w:eastAsia="zh-CN"/>
        </w:rPr>
        <w:t>1年</w:t>
      </w:r>
      <w:r>
        <w:rPr>
          <w:rFonts w:hint="eastAsia" w:ascii="仿宋" w:hAnsi="仿宋" w:eastAsia="仿宋" w:cs="仿宋"/>
          <w:b w:val="0"/>
          <w:bCs w:val="0"/>
          <w:color w:val="auto"/>
          <w:sz w:val="24"/>
          <w:szCs w:val="24"/>
          <w:highlight w:val="none"/>
          <w:lang w:val="en-US" w:eastAsia="zh-CN"/>
        </w:rPr>
        <w:t>。</w:t>
      </w:r>
    </w:p>
    <w:p w14:paraId="1C6108E6">
      <w:pPr>
        <w:keepNext w:val="0"/>
        <w:keepLines w:val="0"/>
        <w:pageBreakBefore w:val="0"/>
        <w:numPr>
          <w:ilvl w:val="0"/>
          <w:numId w:val="0"/>
        </w:numPr>
        <w:kinsoku/>
        <w:wordWrap/>
        <w:overflowPunct/>
        <w:topLinePunct w:val="0"/>
        <w:autoSpaceDE/>
        <w:autoSpaceDN/>
        <w:bidi w:val="0"/>
        <w:adjustRightInd/>
        <w:snapToGrid/>
        <w:spacing w:line="360" w:lineRule="auto"/>
        <w:ind w:left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二、采购预算</w:t>
      </w:r>
    </w:p>
    <w:p w14:paraId="5833366B">
      <w:pPr>
        <w:widowControl/>
        <w:spacing w:line="360" w:lineRule="auto"/>
        <w:ind w:firstLine="480" w:firstLineChars="200"/>
        <w:jc w:val="left"/>
        <w:rPr>
          <w:rFonts w:hint="eastAsia" w:ascii="仿宋" w:hAnsi="仿宋" w:eastAsia="仿宋" w:cs="仿宋"/>
          <w:kern w:val="2"/>
          <w:sz w:val="24"/>
          <w:szCs w:val="18"/>
          <w:highlight w:val="none"/>
          <w:lang w:val="en-US" w:eastAsia="zh-CN" w:bidi="ar-SA"/>
        </w:rPr>
      </w:pPr>
      <w:r>
        <w:rPr>
          <w:rFonts w:hint="eastAsia" w:ascii="仿宋" w:hAnsi="仿宋" w:eastAsia="仿宋" w:cs="仿宋"/>
          <w:kern w:val="2"/>
          <w:sz w:val="24"/>
          <w:szCs w:val="18"/>
          <w:highlight w:val="none"/>
          <w:lang w:val="en-US" w:eastAsia="zh-CN" w:bidi="ar-SA"/>
        </w:rPr>
        <w:t>采购总预算：¥360,000.00</w:t>
      </w:r>
    </w:p>
    <w:p w14:paraId="5C0CD46F">
      <w:pPr>
        <w:widowControl/>
        <w:spacing w:line="360" w:lineRule="auto"/>
        <w:ind w:firstLine="480" w:firstLineChars="200"/>
        <w:jc w:val="left"/>
        <w:rPr>
          <w:rFonts w:hint="default" w:ascii="仿宋" w:hAnsi="仿宋" w:eastAsia="仿宋" w:cs="仿宋"/>
          <w:kern w:val="2"/>
          <w:sz w:val="24"/>
          <w:szCs w:val="18"/>
          <w:highlight w:val="none"/>
          <w:lang w:val="en-US" w:eastAsia="zh-CN" w:bidi="ar-SA"/>
        </w:rPr>
      </w:pPr>
      <w:r>
        <w:rPr>
          <w:rFonts w:hint="eastAsia" w:ascii="仿宋" w:hAnsi="仿宋" w:eastAsia="仿宋" w:cs="仿宋"/>
          <w:kern w:val="2"/>
          <w:sz w:val="24"/>
          <w:szCs w:val="18"/>
          <w:highlight w:val="none"/>
          <w:lang w:val="en-US" w:eastAsia="zh-CN" w:bidi="ar-SA"/>
        </w:rPr>
        <w:t>采购综合单价预算：¥6000/人次</w:t>
      </w:r>
    </w:p>
    <w:p w14:paraId="4409A9A2">
      <w:pPr>
        <w:keepNext w:val="0"/>
        <w:keepLines w:val="0"/>
        <w:pageBreakBefore w:val="0"/>
        <w:kinsoku/>
        <w:wordWrap/>
        <w:overflowPunct/>
        <w:topLinePunct w:val="0"/>
        <w:autoSpaceDE/>
        <w:autoSpaceDN/>
        <w:bidi w:val="0"/>
        <w:adjustRightInd/>
        <w:snapToGrid/>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三、付款条件及比例</w:t>
      </w:r>
    </w:p>
    <w:p w14:paraId="788605A5">
      <w:pPr>
        <w:widowControl/>
        <w:spacing w:line="360" w:lineRule="auto"/>
        <w:ind w:firstLine="480" w:firstLineChars="200"/>
        <w:jc w:val="left"/>
        <w:rPr>
          <w:rFonts w:hint="eastAsia" w:ascii="仿宋" w:hAnsi="仿宋" w:eastAsia="仿宋" w:cs="仿宋"/>
          <w:kern w:val="2"/>
          <w:sz w:val="24"/>
          <w:szCs w:val="18"/>
          <w:highlight w:val="none"/>
          <w:lang w:val="en-US" w:eastAsia="zh-CN" w:bidi="ar-SA"/>
        </w:rPr>
      </w:pPr>
      <w:r>
        <w:rPr>
          <w:rFonts w:hint="eastAsia" w:ascii="仿宋" w:hAnsi="仿宋" w:eastAsia="仿宋" w:cs="仿宋"/>
          <w:kern w:val="2"/>
          <w:sz w:val="24"/>
          <w:szCs w:val="18"/>
          <w:highlight w:val="none"/>
          <w:lang w:val="en-US" w:eastAsia="zh-CN" w:bidi="ar-SA"/>
        </w:rPr>
        <w:t>1、合同签订后，支付合同总价的40%；</w:t>
      </w:r>
    </w:p>
    <w:p w14:paraId="7F015573">
      <w:pPr>
        <w:widowControl/>
        <w:spacing w:line="360" w:lineRule="auto"/>
        <w:ind w:firstLine="480" w:firstLineChars="200"/>
        <w:jc w:val="left"/>
        <w:rPr>
          <w:rFonts w:hint="eastAsia" w:ascii="仿宋" w:hAnsi="仿宋" w:eastAsia="仿宋" w:cs="仿宋"/>
          <w:kern w:val="2"/>
          <w:sz w:val="24"/>
          <w:szCs w:val="18"/>
          <w:highlight w:val="none"/>
          <w:lang w:val="en-US" w:eastAsia="zh-CN" w:bidi="ar-SA"/>
        </w:rPr>
      </w:pPr>
      <w:r>
        <w:rPr>
          <w:rFonts w:hint="eastAsia" w:ascii="仿宋" w:hAnsi="仿宋" w:eastAsia="仿宋" w:cs="仿宋"/>
          <w:color w:val="auto"/>
          <w:kern w:val="2"/>
          <w:sz w:val="24"/>
          <w:szCs w:val="18"/>
          <w:highlight w:val="none"/>
          <w:lang w:val="en-US" w:eastAsia="zh-CN" w:bidi="ar-SA"/>
        </w:rPr>
        <w:t>2、</w:t>
      </w:r>
      <w:r>
        <w:rPr>
          <w:rFonts w:hint="eastAsia" w:ascii="仿宋" w:hAnsi="仿宋" w:eastAsia="仿宋" w:cs="仿宋"/>
          <w:kern w:val="2"/>
          <w:sz w:val="24"/>
          <w:szCs w:val="18"/>
          <w:highlight w:val="none"/>
          <w:lang w:val="en-US" w:eastAsia="zh-CN" w:bidi="ar-SA"/>
        </w:rPr>
        <w:t>项目实施结束后，经甲方验收合格一次性付清剩余合同款项。</w:t>
      </w:r>
    </w:p>
    <w:p w14:paraId="627F2A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rPr>
          <w:rFonts w:hint="eastAsia" w:ascii="仿宋" w:hAnsi="仿宋" w:eastAsia="仿宋" w:cs="仿宋"/>
          <w:kern w:val="2"/>
          <w:sz w:val="24"/>
          <w:szCs w:val="18"/>
          <w:highlight w:val="none"/>
          <w:lang w:val="en-US" w:eastAsia="zh-CN" w:bidi="ar-SA"/>
        </w:rPr>
      </w:pPr>
      <w:r>
        <w:rPr>
          <w:rFonts w:hint="eastAsia" w:ascii="仿宋" w:hAnsi="仿宋" w:eastAsia="仿宋" w:cs="仿宋"/>
          <w:kern w:val="2"/>
          <w:sz w:val="24"/>
          <w:szCs w:val="18"/>
          <w:highlight w:val="none"/>
          <w:lang w:val="en-US" w:eastAsia="zh-CN" w:bidi="ar-SA"/>
        </w:rPr>
        <w:t>付款前，乙方向甲方开具正式发票。</w:t>
      </w:r>
    </w:p>
    <w:p w14:paraId="775B2515">
      <w:pPr>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lang w:val="en-US" w:eastAsia="zh-CN" w:bidi="ar-SA"/>
        </w:rPr>
        <w:t>四、</w:t>
      </w:r>
      <w:r>
        <w:rPr>
          <w:rFonts w:hint="eastAsia" w:ascii="仿宋" w:hAnsi="仿宋" w:eastAsia="仿宋" w:cs="仿宋"/>
          <w:b/>
          <w:bCs/>
          <w:color w:val="auto"/>
          <w:sz w:val="24"/>
          <w:szCs w:val="24"/>
          <w:highlight w:val="none"/>
          <w:lang w:val="en-US" w:eastAsia="zh-CN"/>
        </w:rPr>
        <w:t>采购需求</w:t>
      </w:r>
    </w:p>
    <w:p w14:paraId="7F20F1F3">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、服务对象</w:t>
      </w:r>
    </w:p>
    <w:p w14:paraId="561C18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具有西安市户籍，年龄16-59(&lt;60)周岁，持有《中华人民共和国残疾人证》，有托养服务需求且本人或者监护人有接受相关服务意愿的一级、二级残疾人(听力残疾人需同时存在其他多重残疾)，以及有服务需求的三级、四级智力残疾人、稳定期的精神残疾人(指精神障碍已经在精神专科确诊并得到治疗，急性期症状已被控制，目前处于较稳定的状态，并经精神科医师风险评估可以转介托养的精神残疾人)。已经纳入孤儿保障、特困人员救助供养、服务类救助、长期护理保险、精神卫生社区康复服务等相关照护政策或项目覆盖范围的，不作为服务对象。</w:t>
      </w:r>
    </w:p>
    <w:p w14:paraId="0D246F3E">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集中托养服务</w:t>
      </w:r>
    </w:p>
    <w:p w14:paraId="0174B3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以政府购买服务的形式，采用24小时寄宿制集中居住和照料模式，为日常饮食起居需要专人护理而家庭护理有困难的重度残疾人和智力、精神残疾人提供专业化长期生活照料和日常护理服务。</w:t>
      </w:r>
    </w:p>
    <w:p w14:paraId="2B39740E">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rPr>
        <w:t>三</w:t>
      </w:r>
      <w:r>
        <w:rPr>
          <w:rFonts w:hint="eastAsia" w:ascii="仿宋" w:hAnsi="仿宋" w:eastAsia="仿宋" w:cs="仿宋"/>
          <w:b/>
          <w:bCs/>
          <w:sz w:val="24"/>
          <w:szCs w:val="24"/>
          <w:lang w:eastAsia="zh-CN"/>
        </w:rPr>
        <w:t>）</w:t>
      </w:r>
      <w:r>
        <w:rPr>
          <w:rFonts w:hint="eastAsia" w:ascii="仿宋" w:hAnsi="仿宋" w:eastAsia="仿宋" w:cs="仿宋"/>
          <w:b/>
          <w:bCs/>
          <w:sz w:val="24"/>
          <w:szCs w:val="24"/>
        </w:rPr>
        <w:t>、补助标准</w:t>
      </w:r>
    </w:p>
    <w:p w14:paraId="648E55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对符合寄宿制集中托养服务条件并接受服务的残疾人采取政府购买服务的形式，</w:t>
      </w:r>
      <w:r>
        <w:rPr>
          <w:rFonts w:hint="eastAsia" w:ascii="仿宋" w:hAnsi="仿宋" w:eastAsia="仿宋" w:cs="仿宋"/>
          <w:b/>
          <w:bCs/>
          <w:sz w:val="24"/>
          <w:szCs w:val="24"/>
        </w:rPr>
        <w:t>每服务3个月为1人次，每人次购买标准6000元</w:t>
      </w:r>
      <w:r>
        <w:rPr>
          <w:rFonts w:hint="eastAsia" w:ascii="仿宋" w:hAnsi="仿宋" w:eastAsia="仿宋" w:cs="仿宋"/>
          <w:sz w:val="24"/>
          <w:szCs w:val="24"/>
        </w:rPr>
        <w:t>。个别服务对象确需长期服务的，按具体服务的时间确定人次。</w:t>
      </w:r>
    </w:p>
    <w:p w14:paraId="64535A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kern w:val="2"/>
          <w:sz w:val="24"/>
          <w:szCs w:val="24"/>
          <w:lang w:val="en-US" w:eastAsia="zh-CN" w:bidi="ar-SA"/>
        </w:rPr>
        <w:t>五、</w:t>
      </w:r>
      <w:r>
        <w:rPr>
          <w:rFonts w:hint="eastAsia" w:ascii="仿宋" w:hAnsi="仿宋" w:eastAsia="仿宋" w:cs="仿宋"/>
          <w:b/>
          <w:bCs/>
          <w:sz w:val="24"/>
          <w:szCs w:val="24"/>
          <w:lang w:val="en-US" w:eastAsia="zh-CN"/>
        </w:rPr>
        <w:t>人次数量</w:t>
      </w:r>
    </w:p>
    <w:p w14:paraId="0F0B86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highlight w:val="none"/>
          <w:lang w:val="en-US" w:eastAsia="zh-CN"/>
        </w:rPr>
        <w:t>暂定15人次</w:t>
      </w:r>
    </w:p>
    <w:p w14:paraId="3720D8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lang w:val="en-US" w:eastAsia="zh-CN" w:bidi="ar-SA"/>
        </w:rPr>
        <w:t>六、</w:t>
      </w:r>
      <w:r>
        <w:rPr>
          <w:rFonts w:hint="eastAsia" w:ascii="仿宋" w:hAnsi="仿宋" w:eastAsia="仿宋" w:cs="仿宋"/>
          <w:b/>
          <w:bCs/>
          <w:color w:val="auto"/>
          <w:sz w:val="24"/>
          <w:szCs w:val="24"/>
          <w:highlight w:val="none"/>
          <w:lang w:val="en-US" w:eastAsia="zh-CN"/>
        </w:rPr>
        <w:t>投标报价</w:t>
      </w:r>
    </w:p>
    <w:p w14:paraId="6236EB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报综合单价及磋商总报价（报价不超过采购预算，超过的按无效标处理） </w:t>
      </w:r>
    </w:p>
    <w:p w14:paraId="74E711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lang w:val="en-US" w:eastAsia="zh-CN" w:bidi="ar-SA"/>
        </w:rPr>
        <w:t>七、</w:t>
      </w:r>
      <w:r>
        <w:rPr>
          <w:rFonts w:hint="eastAsia" w:ascii="仿宋" w:hAnsi="仿宋" w:eastAsia="仿宋" w:cs="仿宋"/>
          <w:b/>
          <w:bCs/>
          <w:color w:val="auto"/>
          <w:sz w:val="24"/>
          <w:szCs w:val="24"/>
          <w:highlight w:val="none"/>
          <w:lang w:val="en-US" w:eastAsia="zh-CN"/>
        </w:rPr>
        <w:t>结算</w:t>
      </w:r>
    </w:p>
    <w:p w14:paraId="09DD4F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依据成交综合单价、实际托养人次据实结算，结算总金额不超过成交总金额。</w:t>
      </w:r>
    </w:p>
    <w:p w14:paraId="0B62D66D">
      <w:r>
        <w:rPr>
          <w:rFonts w:hint="eastAsia" w:ascii="仿宋" w:hAnsi="仿宋" w:eastAsia="仿宋" w:cs="仿宋"/>
          <w:b w:val="0"/>
          <w:bCs w:val="0"/>
          <w:color w:val="auto"/>
          <w:sz w:val="24"/>
          <w:szCs w:val="24"/>
          <w:highlight w:val="none"/>
          <w:lang w:val="en-US" w:eastAsia="zh-CN"/>
        </w:rPr>
        <w:t>结算总金额=成交综合单价</w:t>
      </w:r>
      <w:r>
        <w:rPr>
          <w:rFonts w:hint="default" w:ascii="Arial" w:hAnsi="Arial" w:eastAsia="仿宋" w:cs="Arial"/>
          <w:b w:val="0"/>
          <w:bCs w:val="0"/>
          <w:color w:val="auto"/>
          <w:sz w:val="24"/>
          <w:szCs w:val="24"/>
          <w:highlight w:val="none"/>
          <w:lang w:val="en-US" w:eastAsia="zh-CN"/>
        </w:rPr>
        <w:t>×</w:t>
      </w:r>
      <w:r>
        <w:rPr>
          <w:rFonts w:hint="eastAsia" w:ascii="Arial" w:hAnsi="Arial" w:eastAsia="仿宋" w:cs="Arial"/>
          <w:b w:val="0"/>
          <w:bCs w:val="0"/>
          <w:color w:val="auto"/>
          <w:sz w:val="24"/>
          <w:szCs w:val="24"/>
          <w:highlight w:val="none"/>
          <w:lang w:val="en-US" w:eastAsia="zh-CN"/>
        </w:rPr>
        <w:t>实际</w:t>
      </w:r>
      <w:r>
        <w:rPr>
          <w:rFonts w:hint="eastAsia" w:ascii="仿宋" w:hAnsi="仿宋" w:eastAsia="仿宋" w:cs="仿宋"/>
          <w:b w:val="0"/>
          <w:bCs w:val="0"/>
          <w:color w:val="auto"/>
          <w:sz w:val="24"/>
          <w:szCs w:val="24"/>
          <w:highlight w:val="none"/>
          <w:lang w:val="en-US" w:eastAsia="zh-CN"/>
        </w:rPr>
        <w:t>人次</w:t>
      </w:r>
      <w:r>
        <w:rPr>
          <w:rFonts w:hint="default" w:ascii="Arial" w:hAnsi="Arial" w:eastAsia="仿宋" w:cs="Arial"/>
          <w:b w:val="0"/>
          <w:bCs w:val="0"/>
          <w:color w:val="auto"/>
          <w:sz w:val="24"/>
          <w:szCs w:val="24"/>
          <w:highlight w:val="none"/>
          <w:lang w:val="en-US" w:eastAsia="zh-CN"/>
        </w:rPr>
        <w:t>×</w:t>
      </w:r>
      <w:r>
        <w:rPr>
          <w:rFonts w:hint="eastAsia" w:ascii="Arial" w:hAnsi="Arial" w:eastAsia="仿宋" w:cs="Arial"/>
          <w:b w:val="0"/>
          <w:bCs w:val="0"/>
          <w:color w:val="auto"/>
          <w:sz w:val="24"/>
          <w:szCs w:val="24"/>
          <w:highlight w:val="none"/>
          <w:lang w:val="en-US" w:eastAsia="zh-CN"/>
        </w:rPr>
        <w:t>4</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3329AD"/>
    <w:rsid w:val="0E3329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2026-07-31T01:43:00Z</dcterms:created>
  <dc:creator>QQQQ</dc:creator>
  <cp:lastModifiedBy>QQQQ</cp:lastModifiedBy>
  <dcterms:modified xsi:type="dcterms:W3CDTF">2026-07-31T01:43:51Z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DBFFA4D8BAB846B79AAFD46DB6354135_11</vt:lpwstr>
  </property>
  <property fmtid="{D5CDD505-2E9C-101B-9397-08002B2CF9AE}" pid="4" name="KSOTemplateDocerSaveRecord">
    <vt:lpwstr>eyJoZGlkIjoiOTcyZTNiZTIzMTFiYjc4MmExNzQ3MzFlOTI4NmYyYmEiLCJ1c2VySWQiOiIzODkzMjE1NzcifQ==</vt:lpwstr>
  </property>
</Properties>
</file>