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版本号：SXLZ-2026-12920260714001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陕西省河流分级分类管理机制研究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SXLZ-2026-129</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陕西省河流分级分类管理机制研究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陕西省河流分级分类管理机制研究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综合考虑我省河流自然属性、分级管理和治理需求，以流域为单元开展全省河流分级分类工作;根据流域管理机构成果及资料提交要求配合完成相关工作。根据全省河流分级分类成果，依据《水法》《防洪法》等法律法规，研究提出河流分级分类管理机制，明确各条河流涉河水工程建设项目及规划审批权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喻存芳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15309270789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额，参照国家计委颁发的《招标代理服务收费管理暂⾏办法》(计价格〔2002〕1980号)、国家发展和改⾰委员会办公厅颁发的《关于招标代理服务费收费有关问题的通知》及《调整后的招标代理服务收费标准》(发改价格〔2011〕〕534号)规定的95%计取。2.采购代理服务费由成交供应商⽀付，成交供应商领取成交通知书时，须⼀次性向采购代理机构交纳采购代理服务费。3.采购代理服务费账户：公司名称：陕西⻰泽项⽬咨询管理有限公司；账 号：61050111583800000087；开户⾏：中国建设银⾏股份有限公司西安雁塔南路南段⽀⾏。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2.供应商将在采购项⽬实施过程中采⽤⾃有或者第三⽅知识成果的，使⽤该知识成果后，供应商需提供开发接⼝和开发⼿册等技术资料，并承诺提供⽆限期⽀持，采购⼈享有使⽤权（含采购⼈委托第三⽅在该项⽬后续开发的使⽤权）。3.如采⽤供应商所不拥有的知识产权，则在报价中必须包括合法使⽤该知识产权的相关费⽤。4.构成本采购⽂件的各组成部分，未经采购⼈书⾯同意，供应商不得擅⾃复印或⽤于⾮本采购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联系人：喻存芳</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地址：陕西省西安市国家⺠⽤航天产业基地神⾈五路与东⻓安街交汇处东南⻆航天城中⼼⼴场1号楼708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综合考虑我省河流自然属性、分级管理和治理需求，以流域为单元开展全省河流分级分类工作;根据流域管理机构成果及资料提交要求配合完成相关工作。根据全省河流分级分类成果，依据《水法》《防洪法》等法律法规，研究提出河流分级分类管理机制，明确各条河流涉河水工程建设项目及规划审批权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陕西省河流分级分类管理机制研究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标的名称：陕西省河流分级分类管理机制研究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一、采购标的与核心目标</w:t>
            </w:r>
          </w:p>
          <w:p>
            <w:pPr>
              <w:pStyle w:val="null3"/>
              <w:ind w:firstLine="560"/>
              <w:jc w:val="both"/>
            </w:pPr>
            <w:r>
              <w:rPr>
                <w:rFonts w:ascii="仿宋_GB2312" w:hAnsi="仿宋_GB2312" w:cs="仿宋_GB2312" w:eastAsia="仿宋_GB2312"/>
                <w:sz w:val="21"/>
              </w:rPr>
              <w:t>本项目旨在综合考虑全省河流的自然属性、分级管理体制及实际治理需求，以流域为基本单元，全面开展全省河流的分级分类工作。通过科学界定河流层级，摸清底数，为全省河湖水域岸线空间管控、水资源配置及防洪减灾提供科学依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1"/>
              </w:rPr>
              <w:t>二、具体工作内容与技术要求</w:t>
            </w:r>
          </w:p>
          <w:p>
            <w:pPr>
              <w:pStyle w:val="null3"/>
              <w:ind w:firstLine="560"/>
              <w:jc w:val="both"/>
            </w:pPr>
            <w:r>
              <w:rPr>
                <w:rFonts w:ascii="仿宋_GB2312" w:hAnsi="仿宋_GB2312" w:cs="仿宋_GB2312" w:eastAsia="仿宋_GB2312"/>
                <w:sz w:val="21"/>
              </w:rPr>
              <w:t>供应商需严格按照国家及地方相关法律法规要求，完成以下核心工作：</w:t>
            </w:r>
          </w:p>
          <w:p>
            <w:pPr>
              <w:pStyle w:val="null3"/>
              <w:ind w:firstLine="560"/>
              <w:jc w:val="both"/>
            </w:pPr>
            <w:r>
              <w:rPr>
                <w:rFonts w:ascii="仿宋_GB2312" w:hAnsi="仿宋_GB2312" w:cs="仿宋_GB2312" w:eastAsia="仿宋_GB2312"/>
                <w:sz w:val="21"/>
              </w:rPr>
              <w:t>1、全省河流分级分类评估</w:t>
            </w:r>
          </w:p>
          <w:p>
            <w:pPr>
              <w:pStyle w:val="null3"/>
              <w:ind w:firstLine="560"/>
              <w:jc w:val="both"/>
            </w:pPr>
            <w:r>
              <w:rPr>
                <w:rFonts w:ascii="仿宋_GB2312" w:hAnsi="仿宋_GB2312" w:cs="仿宋_GB2312" w:eastAsia="仿宋_GB2312"/>
                <w:sz w:val="21"/>
              </w:rPr>
              <w:t>按照水利部办公《关于规范河流分级分类工作的通知》（办规计</w:t>
            </w:r>
            <w:r>
              <w:rPr>
                <w:rFonts w:ascii="仿宋_GB2312" w:hAnsi="仿宋_GB2312" w:cs="仿宋_GB2312" w:eastAsia="仿宋_GB2312"/>
                <w:sz w:val="21"/>
              </w:rPr>
              <w:t>[2023]197号）及黄委规计局《关于商请配合开展规范黄河流域河流分级分类工作的函》（规计[2023]27号）等文件要求，配合流域管理机构研究提出陕西省一、二级河流名录及其他相关工作；综合考虑河流自然属性、分级管理和治理要求，按照水利部“三类五级”分级指标，以流域为单元完成陕西省三~五级河流分级分类。</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、管理审批权限政策研究</w:t>
            </w:r>
          </w:p>
          <w:p>
            <w:pPr>
              <w:pStyle w:val="null3"/>
              <w:ind w:firstLine="560"/>
              <w:jc w:val="both"/>
            </w:pPr>
            <w:r>
              <w:rPr>
                <w:rFonts w:ascii="仿宋_GB2312" w:hAnsi="仿宋_GB2312" w:cs="仿宋_GB2312" w:eastAsia="仿宋_GB2312"/>
                <w:sz w:val="21"/>
              </w:rPr>
              <w:t>以全省河流分级分类成果为基础，</w:t>
            </w:r>
            <w:r>
              <w:rPr>
                <w:rFonts w:ascii="仿宋_GB2312" w:hAnsi="仿宋_GB2312" w:cs="仿宋_GB2312" w:eastAsia="仿宋_GB2312"/>
                <w:sz w:val="21"/>
              </w:rPr>
              <w:t>进一步研究提出河流分级分类管理机制，明确各条河流涉河水工程建设项目及规划审批权限。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1"/>
              </w:rPr>
              <w:t>三、成果文件与交付要求</w:t>
            </w:r>
          </w:p>
          <w:p>
            <w:pPr>
              <w:pStyle w:val="null3"/>
              <w:ind w:firstLine="560"/>
              <w:jc w:val="both"/>
            </w:pPr>
            <w:r>
              <w:rPr>
                <w:rFonts w:ascii="仿宋_GB2312" w:hAnsi="仿宋_GB2312" w:cs="仿宋_GB2312" w:eastAsia="仿宋_GB2312"/>
                <w:sz w:val="21"/>
              </w:rPr>
              <w:t>1、交付成果：供应商需在合同约定期限内，提交</w:t>
            </w:r>
            <w:r>
              <w:rPr>
                <w:rFonts w:ascii="仿宋_GB2312" w:hAnsi="仿宋_GB2312" w:cs="仿宋_GB2312" w:eastAsia="仿宋_GB2312"/>
                <w:sz w:val="21"/>
              </w:rPr>
              <w:t>《陕西省河流分级分类管理机制研究报告》以及相关附图、附表。</w:t>
            </w:r>
          </w:p>
          <w:p>
            <w:pPr>
              <w:pStyle w:val="null3"/>
              <w:ind w:firstLine="560"/>
              <w:jc w:val="both"/>
            </w:pPr>
            <w:r>
              <w:rPr>
                <w:rFonts w:ascii="仿宋_GB2312" w:hAnsi="仿宋_GB2312" w:cs="仿宋_GB2312" w:eastAsia="仿宋_GB2312"/>
                <w:sz w:val="21"/>
              </w:rPr>
              <w:t>2、质量标准：所有成果必须符合国家及行业现行规范标准，数据详实准确、论证充分、逻辑严密，且需通过采购人组织的专家评审验收。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进度款，提交初步成果并经采购人确认后，达到付款条件起10个工作日内，支付合同总金额的60.0%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件要求及合同约定执行；事业单位参与投标时，可不提供社会保障资⾦和税收缴纳证明；依法免税或不需要缴纳社会保障资⾦的供应商，应提供相应证明⽂件，证明其依法免税或不需要缴纳社会保障资⾦；⾃然⼈（仅限中国公⺠）参与投标时，只须提供⾝份证复印件。2.为顺利推进政府采购电⼦化交易平台应⽤⼯作，供应商需要在线提交所有通过电⼦化交易平台实施的政府采购项⽬的响应⽂件，确定成交后，根据采购⼈要求，成交供应商向代理机构提交纸质版磋商响应⽂件⽤于项⽬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应符合“竞争性磋商响应⽂件格式”要求（不得因⽂件排序限制和影响供应商响应）。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磋商响应⽂件的签署盖章 应符合竞争性磋商响应⽂件要求。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报价唯⼀，磋商报价符合唯⼀性要求、响应报价表填写符合要求、报价货币符合磋商⽂件要求、报价数量与要求符合并未出现漏项、未超出采购预算和磋商⽂件规定的各分项最⾼限价；只能有⼀个有效报价，不得提交选择性报价，按要求提交⼆次或多次报价，且每轮报价不超过采购预算⾦额或最⾼限价或磋商⼩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磋商响应⽂件内容符合磋商⽂件要求； 磋商响应⽂件中项⽬名称、项⽬编号与本项⽬⼀致；磋商响应⽂件⾄少包括：（1）响应函、（2）响应报价表、（3）供应商资格证明、（4）采购需求偏离表、（5）供应商承诺书。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对磋商⽂件条款响应</w:t>
            </w:r>
          </w:p>
        </w:tc>
        <w:tc>
          <w:tcPr>
            <w:tcW w:type="dxa" w:w="3322"/>
          </w:tcPr>
          <w:p>
            <w:pPr>
              <w:pStyle w:val="null3"/>
            </w:pPr>
            <w:r>
              <w:rPr>
                <w:rFonts w:ascii="仿宋_GB2312" w:hAnsi="仿宋_GB2312" w:cs="仿宋_GB2312" w:eastAsia="仿宋_GB2312"/>
              </w:rPr>
              <w:t>要求实质性条款全部响应，不能有采购⼈不能接受的附加条件，未有负偏离且响应的内容未含有采购⼈不能接受的附加条件。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③项目重难点分析；④项目目标的理解。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针对本项目工作方案及内容，内容包含：①工作思路；②工作依据及原则；③工作范围；④工作方法；⑤主要工作内容；⑥报告编制结构框架及内容。以上内容专门针对本项目且符合本项目实际需求的得24分，每缺一项内容扣4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方案，内容包括但不限于：①质量管理体系；②质量保障措施；③质量控制手段；④成果保障措施等。以上内容专门针对本项目且符合本项目实际需求的得4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供应商提供针对本项目进度及保障措施，内容包括但不限于：①提供合理的工作计划及时间节点；②项目进度保障措施等。 以上内容专门针对本项目且符合本项目实际需求的得2分，每缺一项内容扣1分，若上述内容存在瑕疵，每存在1处瑕疵扣0.5分，扣完为止。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供应商根据本项目采购需求编制针对性保密措施方案，有相应的保障细则，内容包含：①保密范围；②保密方式及措施。 以上内容专门针对本项目且符合本项目实际需求的得2分，每缺一项内容扣1分，若上述内容存在瑕疵，每存在1处瑕疵扣0.5分，扣完为止。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企业资质</w:t>
            </w:r>
          </w:p>
        </w:tc>
        <w:tc>
          <w:tcPr>
            <w:tcW w:type="dxa" w:w="2492"/>
          </w:tcPr>
          <w:p>
            <w:pPr>
              <w:pStyle w:val="null3"/>
            </w:pPr>
            <w:r>
              <w:rPr>
                <w:rFonts w:ascii="仿宋_GB2312" w:hAnsi="仿宋_GB2312" w:cs="仿宋_GB2312" w:eastAsia="仿宋_GB2312"/>
              </w:rPr>
              <w:t>供应商具备工程设计水利行业乙级资质的，得2分；具备工程设计水利行业甲级及以上资质的，得4分；其余不得分，满分4分。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相关专业高级职称的得4分，中级职称得2分，其余不得分。【注：（1）响应文件中须提供项目负责人身份证、职称证、在职证明复印件，并加盖单位公章。证明人员与供应商具有劳动关系的证明材料可提供以下任意一种：①劳动合同及工资发放记录、②企业为其近三个月中任意一个月社保缴纳证明）。（2）相关专业包括但不限于水利水电、水文水资源。】</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团队服务人员（除项目负责人）具备与本项目相关专业高级技术职称证书，每提供1人得2分；具备与本项目相关专业中级技术职称证书，每提供1人得1分，满分14分。 【注：（1）响应文件中须提供项目团队人员职称证书等复印件并加盖单位公章。（2）相关专业包括但不限于水利水电、水文水资源，同一人员不重复得分。】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2分）：承诺1小时内专人对接响应，提供7×12小时联络热线、项目专属工作群，满足得满分2分；仅承诺2小时及以内响应得50%分值1分；承诺超过2小时不得分；未提供固定联络渠道证明扣全部分值。2.一般咨询、资料修正需求（2分）：承诺2小时内出具修改思路/回复意见得满分2分；承诺4小时及以内得50%分值1分，超出4小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 服务质量目标承诺（2分）：供应商提供针对本项目的服务质量管控标准、质量目标、质量验收、整改保障等专项承诺，承诺完整并加盖公章得2分，未提供或不完整不得分。 2. 服务进度目标承诺（2分）：供应商提供针对本项目的服务服务期限节点、进度管控、进度保障、逾期补救措施等专项承诺，承诺完整并加盖公章得2分，未提供或不完整不得分。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2023 年 1 月 1 日至响应文件递交截止之日供应商完成的类似项目，每提供一份得3分，满分15分。【注：以合同协议书关键页或中标通知书证明为准，提供扫描件并加盖鲜章。】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 2.满足磋商文件要求且投标报价最低的为评标基准价，其价格分为满分。 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详见附件：磋商方案.pdf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