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版本号：SZB-2026-013-0520260604001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陕西省知识产权代理行业高质量发展提升项目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SZB-2026-013-05</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陕西省知识产权代理行业高质量发展提升项目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SZB-2026-013-05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陕西省知识产权代理行业高质量发展提升项目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为陕西省知识产权代理行业高质量发展提升相关服务，具体包含知识产权服务业人才培训服务、知识产权代理服务信息公开小程序 2.0 版开发优化服务、全省专利代理服务典型案例库建设服务、专利代理行业团体服务标准。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1、营业执照：具有独立承担民事责任能力的法人、其他组织或自然人，提供合法有效的统一社会信用代码营业执照（其他组织提供相关证明资料，自然人应提供身份证）</w:t>
      </w:r>
    </w:p>
    <w:p>
      <w:pPr>
        <w:pStyle w:val="null3"/>
      </w:pPr>
      <w:r>
        <w:rPr>
          <w:rFonts w:ascii="仿宋_GB2312" w:hAnsi="仿宋_GB2312" w:cs="仿宋_GB2312" w:eastAsia="仿宋_GB2312"/>
        </w:rPr>
        <w:t>2、财务状况报告：提供经审计的2024年度或2025年度的财务报告或提供开标日期前六个月内其基本账户开户银行出具的资信证明；其他组织和自然人提供银行出具的资信证明或财务报表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3、税收缴纳证明：有依法缴纳税收和社会保障资金的良好记录，提供近6个月内任意1个月的纳税及社保缴纳凭证</w:t>
      </w:r>
    </w:p>
    <w:p>
      <w:pPr>
        <w:pStyle w:val="null3"/>
      </w:pPr>
      <w:r>
        <w:rPr>
          <w:rFonts w:ascii="仿宋_GB2312" w:hAnsi="仿宋_GB2312" w:cs="仿宋_GB2312" w:eastAsia="仿宋_GB2312"/>
        </w:rPr>
        <w:t>4、社会保障资金缴纳证明：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p>
      <w:pPr>
        <w:pStyle w:val="null3"/>
      </w:pPr>
      <w:r>
        <w:rPr>
          <w:rFonts w:ascii="仿宋_GB2312" w:hAnsi="仿宋_GB2312" w:cs="仿宋_GB2312" w:eastAsia="仿宋_GB2312"/>
        </w:rPr>
        <w:t>5、信用记录：参加本次政府采购活动前3年内在经营活动中没有重大违纪，以及未被列入失信被执行人、重大税收 违法案件当事人名单、政府采购严重违法失信行为记录名单</w:t>
      </w:r>
    </w:p>
    <w:p>
      <w:pPr>
        <w:pStyle w:val="null3"/>
      </w:pPr>
      <w:r>
        <w:rPr>
          <w:rFonts w:ascii="仿宋_GB2312" w:hAnsi="仿宋_GB2312" w:cs="仿宋_GB2312" w:eastAsia="仿宋_GB2312"/>
        </w:rPr>
        <w:t>6、信用主体查询：供应商通过“信用中国”网站(www.creditchina.gov.cn)查询相关主体信用记录，查询时间须在采购 文件发售期至开标截止时间之间，并将网页截图附在响应文件中</w:t>
      </w:r>
    </w:p>
    <w:p>
      <w:pPr>
        <w:pStyle w:val="null3"/>
      </w:pPr>
      <w:r>
        <w:rPr>
          <w:rFonts w:ascii="仿宋_GB2312" w:hAnsi="仿宋_GB2312" w:cs="仿宋_GB2312" w:eastAsia="仿宋_GB2312"/>
        </w:rPr>
        <w:t>7、书面声明：具有履行合同所必需的专业技术和行业组织协调能力的承诺函</w:t>
      </w:r>
    </w:p>
    <w:p>
      <w:pPr>
        <w:pStyle w:val="null3"/>
      </w:pPr>
      <w:r>
        <w:rPr>
          <w:rFonts w:ascii="仿宋_GB2312" w:hAnsi="仿宋_GB2312" w:cs="仿宋_GB2312" w:eastAsia="仿宋_GB2312"/>
        </w:rPr>
        <w:t>8、《非联合体不分包投标声明》：本项目不接受联合体投标，不允许分包：供应商提供《非联合体不分包投标声明》，视为独立响应，不分包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西安市雁翔路99号交大博源科技广场C座12楼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18821775788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代理服务费收费标准：代理服务费由成交供应商在领取成交通知书前向代理机构支付 ，参照国家计委计价格【2002】 1980号文，一次性收取。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w:t>
      </w:r>
    </w:p>
    <w:p>
      <w:pPr>
        <w:pStyle w:val="null3"/>
      </w:pPr>
      <w:r>
        <w:rPr>
          <w:rFonts w:ascii="仿宋_GB2312" w:hAnsi="仿宋_GB2312" w:cs="仿宋_GB2312" w:eastAsia="仿宋_GB2312"/>
        </w:rPr>
        <w:t>联系电话：18821775788</w:t>
      </w:r>
    </w:p>
    <w:p>
      <w:pPr>
        <w:pStyle w:val="null3"/>
      </w:pPr>
      <w:r>
        <w:rPr>
          <w:rFonts w:ascii="仿宋_GB2312" w:hAnsi="仿宋_GB2312" w:cs="仿宋_GB2312" w:eastAsia="仿宋_GB2312"/>
        </w:rPr>
        <w:t>地址：西安市雁翔路99号交大博源科技广场C座12楼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为陕西省知识产权代理行业高质量发展提升相关服务，具体包含知识产权服务业人才培训服务、知识产权代理服务信息公开小程序 2.0 版开发优化服务、全省专利代理服务典型案例库建设服务、专利代理行业团体服务标准。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800000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知识产权服务业重点培养人才提质增效实务培训班2期，培训总人数不少于170人。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建设完成全省知识产权代理机构信息公开小程序2.0版（包含全省商标代理机构相关信息）。</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围绕我省34条产业链，征集专利代理服务服务产业链经典案例不少于5个。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制定专利代理行业服务标准（团体）规范2项，开展标准宣贯不少于2次。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按照合同约定期限完成所有内容。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具有独立承担民事责任能力的法人、其他组织或自然人，提供合法有效的统一社会信用代码营业执照（其他组织提供相关证明资料，自然人应提供身份证）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提供经审计的2024年度或2025年度的财务报告或提供开标日期前六个月内其基本账户开户银行出具的资信证明；其他组织和自然人提供银行出具的资信证明或财务报表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有依法缴纳税收和社会保障资金的良好记录，提供近6个月内任意1个月的纳税及社保缴纳凭证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 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供应商通过“信用中国”网站(www.creditchina.gov.cn)查询相关主体信用记录，查询时间须在采购 文件发售期至开标截止时间之间，并将网页截图附在响应文件中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具有履行合同所必需的专业技术和行业组织协调能力的承诺函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项目背景理解</w:t>
            </w:r>
          </w:p>
        </w:tc>
        <w:tc>
          <w:tcPr>
            <w:tcW w:type="dxa" w:w="2492"/>
          </w:tcPr>
          <w:p>
            <w:pPr>
              <w:pStyle w:val="null3"/>
            </w:pPr>
            <w:r>
              <w:rPr>
                <w:rFonts w:ascii="仿宋_GB2312" w:hAnsi="仿宋_GB2312" w:cs="仿宋_GB2312" w:eastAsia="仿宋_GB2312"/>
              </w:rPr>
              <w:t>对本项目背景、相关要求及实施条件的理解程度；对项目背景熟悉，理解全面透彻得3-5分；对项目背景较为熟悉，理解较为透彻得1-3分；对项目背景及理解程度有欠缺需进一步完善得0-1分。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针对本项目制定组织实施方案，概述内容全面，逻辑缜密，具有针对性，可实施性强的得10-15分；组织实施方案内容较详实，基本能符合采购需要的得5-10分；组织实施方案明显存在缺陷的得0-5分。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针对本项目服务流程科学合理安排工作进度，提供的时间进度安排的合理、工作程序和步骤完善得10-15分；服务流程较为科学合理安排工作进度，时间进度安排较为合理、工作程序和步骤较为为完善得5-10分；内容有所欠缺需进一步完善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项目的投入和项目组人员素质情况： 1.人员配备合理，对项目的人员配置情况符合采购需求；安排参与项目的专业人员素质、技术能力、专业分布、经验情况合理可行得7-10分；人员配备较为合理，对项目的人员配置情况基本符合采购需求；安排参与项目的专业人员素质、技术能力、专业分布、经验情况较为合理可行得4-7分；人员配备一般，对项目的人员配置情况与采购需求符合性一般；安排参与项目的专业人员素质、技术能力、专业分布、经验情况一般得0-4分（提供学历证书复印件、投标人为其缴纳的社保证明） 2.项目团队人员主持过高质量发展相关课题或项目的得3分； 3.针对本项目拟派服务团队不少于10人，满足得5分，缺少一人扣0.5分，扣完为止，提供人员名单。 4.服务团队中设置骨干成员3人且具备全日制硕士研究生文化程度，满足得3分。缺少一人扣1分，扣完为止，提供人员名单、学历证明。 5.服务团队有副教授职称的，每提供一人得2分；最多得6分，提供相关证明材料。</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提供自2023年1月1日至今承接过类似项目相关业绩，一个得3分，最多9 分。业绩证明（以合同或者中标通知书为准，须在响应文件中附扫描件加盖单位公章，弄虚作假者取消其磋商资格）。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针对本项目的安全保障及保密措施，方案内容全面，逻辑合理得3-5分；方案内容较为全面，逻辑较为合理得1-3分；方案内容有所欠缺需进一步完善得0-1分。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针对突发事件的风险应对方案和服务过程中可能存在的难点的解决方案，风险应对方案的完整性（如人员变动、临时紧急项目）及难点解决方案内容完善，专业性强得3-4分；内容有所欠缺需进一步完善得0-3分。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宣贯方案</w:t>
            </w:r>
          </w:p>
        </w:tc>
        <w:tc>
          <w:tcPr>
            <w:tcW w:type="dxa" w:w="2492"/>
          </w:tcPr>
          <w:p>
            <w:pPr>
              <w:pStyle w:val="null3"/>
            </w:pPr>
            <w:r>
              <w:rPr>
                <w:rFonts w:ascii="仿宋_GB2312" w:hAnsi="仿宋_GB2312" w:cs="仿宋_GB2312" w:eastAsia="仿宋_GB2312"/>
              </w:rPr>
              <w:t>组织开展标准宣贯主题活动，制定专利代理行业服务标准（团体）规范，方案内容完善、合理可行得7-10分；方案较为完善、合理可行得4-7分；方案内容有所欠缺需进一步完善得0-4分。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评标基准价：通过资格性审查和符合性审查且报价最低的投标报价为评标基准价。 投标报价得分：投标报价得分统一按照下列公式计算： 价格分=(评标基准价／投标报价)×价格权值×100 （注：如评标委员会一致认为最低报价或某些分项报价明显不合理，有降低质量、不能诚信履约的可能时，评标委员会有权通知投标人进行解释。如投标人未能在规定期限内作出解释，或所作解释不合理，经评标委员会取得一致意见后，对该投标人将不予推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