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版本号：DQB-2026059-CS20260731001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法治政府建设评估项目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DQB-2026059-CS</w:t>
      </w:r>
      <w:r>
        <w:br/>
      </w:r>
      <w:r>
        <w:br/>
      </w:r>
      <w:r>
        <w:br/>
      </w:r>
    </w:p>
    <w:p>
      <w:pPr>
        <w:pStyle w:val="null3"/>
        <w:jc w:val="center"/>
        <w:outlineLvl w:val="2"/>
      </w:pPr>
      <w:r>
        <w:rPr>
          <w:rFonts w:ascii="仿宋_GB2312" w:hAnsi="仿宋_GB2312" w:cs="仿宋_GB2312" w:eastAsia="仿宋_GB2312"/>
          <w:sz w:val="28"/>
          <w:b/>
        </w:rPr>
        <w:t>省司法厅机关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法治政府建设评估项目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DQB-2026059-CS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法治政府建设评估项目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法治政府建设评估项目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采购包1（法治政府建设评估项目）：属于专门面向中小企业采购。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 法人的分支机构参与磋商时，除提供《法定代表人授权委托书》、《法定代表人证明书》外，还须同时提供法人给分支机构出具的授权书。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省司法厅机关经办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029-87293279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银行账号：52880188000166746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代理服务费收费标准：采购代理服务费按以下标准计取（核算代理服务费低于5000元时按5000元收取）：成交金额在100万元以下按照费率的1.5%计取。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省司法厅机关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法治政府建设评估项目。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法治政府建设评估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标的名称：法治政府建设评估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rPr>
              <w:t>一、项目概况</w:t>
            </w:r>
          </w:p>
          <w:p>
            <w:pPr>
              <w:pStyle w:val="null3"/>
              <w:ind w:firstLine="480"/>
              <w:jc w:val="both"/>
            </w:pPr>
            <w:r>
              <w:rPr>
                <w:rFonts w:ascii="仿宋_GB2312" w:hAnsi="仿宋_GB2312" w:cs="仿宋_GB2312" w:eastAsia="仿宋_GB2312"/>
                <w:sz w:val="21"/>
              </w:rPr>
              <w:t>评估主要围绕《陕西省关于进一步推进法治政府建设的若干措施》《市县法治政府建设示范指标体系》等文件要求，重点对依法行政制度体系、重大行政决策、行政执法、行政权力制约监督、</w:t>
            </w:r>
            <w:r>
              <w:rPr>
                <w:rFonts w:ascii="仿宋_GB2312" w:hAnsi="仿宋_GB2312" w:cs="仿宋_GB2312" w:eastAsia="仿宋_GB2312"/>
                <w:sz w:val="21"/>
              </w:rPr>
              <w:t>行政复议和行政应诉工作、矛盾纠纷化解、</w:t>
            </w:r>
            <w:r>
              <w:rPr>
                <w:rFonts w:ascii="仿宋_GB2312" w:hAnsi="仿宋_GB2312" w:cs="仿宋_GB2312" w:eastAsia="仿宋_GB2312"/>
                <w:sz w:val="21"/>
              </w:rPr>
              <w:t>依法行政能力建设和法治经济、信用经济建设等内容进行指标设计。</w:t>
            </w:r>
            <w:r>
              <w:rPr>
                <w:rFonts w:ascii="仿宋_GB2312" w:hAnsi="仿宋_GB2312" w:cs="仿宋_GB2312" w:eastAsia="仿宋_GB2312"/>
                <w:sz w:val="21"/>
              </w:rPr>
              <w:t>依托</w:t>
            </w:r>
            <w:r>
              <w:rPr>
                <w:rFonts w:ascii="仿宋_GB2312" w:hAnsi="仿宋_GB2312" w:cs="仿宋_GB2312" w:eastAsia="仿宋_GB2312"/>
                <w:sz w:val="21"/>
              </w:rPr>
              <w:t>专业评估团队，运用网络检索、材料查证等线上线下相结合形式，</w:t>
            </w:r>
            <w:r>
              <w:rPr>
                <w:rFonts w:ascii="仿宋_GB2312" w:hAnsi="仿宋_GB2312" w:cs="仿宋_GB2312" w:eastAsia="仿宋_GB2312"/>
                <w:sz w:val="21"/>
              </w:rPr>
              <w:t>从</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月开始至</w:t>
            </w:r>
            <w:r>
              <w:rPr>
                <w:rFonts w:ascii="仿宋_GB2312" w:hAnsi="仿宋_GB2312" w:cs="仿宋_GB2312" w:eastAsia="仿宋_GB2312"/>
                <w:sz w:val="21"/>
              </w:rPr>
              <w:t>2027</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月结束，</w:t>
            </w:r>
            <w:r>
              <w:rPr>
                <w:rFonts w:ascii="仿宋_GB2312" w:hAnsi="仿宋_GB2312" w:cs="仿宋_GB2312" w:eastAsia="仿宋_GB2312"/>
                <w:sz w:val="21"/>
              </w:rPr>
              <w:t>完成对</w:t>
            </w:r>
            <w:r>
              <w:rPr>
                <w:rFonts w:ascii="仿宋_GB2312" w:hAnsi="仿宋_GB2312" w:cs="仿宋_GB2312" w:eastAsia="仿宋_GB2312"/>
                <w:sz w:val="21"/>
              </w:rPr>
              <w:t>10</w:t>
            </w:r>
            <w:r>
              <w:rPr>
                <w:rFonts w:ascii="仿宋_GB2312" w:hAnsi="仿宋_GB2312" w:cs="仿宋_GB2312" w:eastAsia="仿宋_GB2312"/>
                <w:sz w:val="21"/>
              </w:rPr>
              <w:t>个设区市及杨凌示范区、</w:t>
            </w:r>
            <w:r>
              <w:rPr>
                <w:rFonts w:ascii="仿宋_GB2312" w:hAnsi="仿宋_GB2312" w:cs="仿宋_GB2312" w:eastAsia="仿宋_GB2312"/>
                <w:sz w:val="21"/>
              </w:rPr>
              <w:t>107</w:t>
            </w:r>
            <w:r>
              <w:rPr>
                <w:rFonts w:ascii="仿宋_GB2312" w:hAnsi="仿宋_GB2312" w:cs="仿宋_GB2312" w:eastAsia="仿宋_GB2312"/>
                <w:sz w:val="21"/>
              </w:rPr>
              <w:t>个县</w:t>
            </w:r>
            <w:r>
              <w:rPr>
                <w:rFonts w:ascii="仿宋_GB2312" w:hAnsi="仿宋_GB2312" w:cs="仿宋_GB2312" w:eastAsia="仿宋_GB2312"/>
                <w:sz w:val="21"/>
              </w:rPr>
              <w:t>(</w:t>
            </w:r>
            <w:r>
              <w:rPr>
                <w:rFonts w:ascii="仿宋_GB2312" w:hAnsi="仿宋_GB2312" w:cs="仿宋_GB2312" w:eastAsia="仿宋_GB2312"/>
                <w:sz w:val="21"/>
              </w:rPr>
              <w:t>区、市</w:t>
            </w:r>
            <w:r>
              <w:rPr>
                <w:rFonts w:ascii="仿宋_GB2312" w:hAnsi="仿宋_GB2312" w:cs="仿宋_GB2312" w:eastAsia="仿宋_GB2312"/>
                <w:sz w:val="21"/>
              </w:rPr>
              <w:t>)</w:t>
            </w:r>
            <w:r>
              <w:rPr>
                <w:rFonts w:ascii="仿宋_GB2312" w:hAnsi="仿宋_GB2312" w:cs="仿宋_GB2312" w:eastAsia="仿宋_GB2312"/>
                <w:sz w:val="21"/>
              </w:rPr>
              <w:t>和</w:t>
            </w:r>
            <w:r>
              <w:rPr>
                <w:rFonts w:ascii="仿宋_GB2312" w:hAnsi="仿宋_GB2312" w:cs="仿宋_GB2312" w:eastAsia="仿宋_GB2312"/>
                <w:sz w:val="21"/>
              </w:rPr>
              <w:t>52</w:t>
            </w:r>
            <w:r>
              <w:rPr>
                <w:rFonts w:ascii="仿宋_GB2312" w:hAnsi="仿宋_GB2312" w:cs="仿宋_GB2312" w:eastAsia="仿宋_GB2312"/>
                <w:sz w:val="21"/>
              </w:rPr>
              <w:t>个</w:t>
            </w:r>
            <w:r>
              <w:rPr>
                <w:rFonts w:ascii="仿宋_GB2312" w:hAnsi="仿宋_GB2312" w:cs="仿宋_GB2312" w:eastAsia="仿宋_GB2312"/>
                <w:sz w:val="21"/>
              </w:rPr>
              <w:t>省直</w:t>
            </w:r>
            <w:r>
              <w:rPr>
                <w:rFonts w:ascii="仿宋_GB2312" w:hAnsi="仿宋_GB2312" w:cs="仿宋_GB2312" w:eastAsia="仿宋_GB2312"/>
                <w:sz w:val="21"/>
              </w:rPr>
              <w:t>部门的评估工作</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评估工作结束后形成分析报告，</w:t>
            </w:r>
            <w:r>
              <w:rPr>
                <w:rFonts w:ascii="仿宋_GB2312" w:hAnsi="仿宋_GB2312" w:cs="仿宋_GB2312" w:eastAsia="仿宋_GB2312"/>
                <w:sz w:val="21"/>
              </w:rPr>
              <w:t>包括</w:t>
            </w:r>
            <w:r>
              <w:rPr>
                <w:rFonts w:ascii="仿宋_GB2312" w:hAnsi="仿宋_GB2312" w:cs="仿宋_GB2312" w:eastAsia="仿宋_GB2312"/>
                <w:sz w:val="21"/>
              </w:rPr>
              <w:t>《陕西省法治政府建设工作评估总报告》《陕西省各地市法治政府建设分报告》《陕西省省级部门法治政府建设分报告》</w:t>
            </w:r>
            <w:r>
              <w:rPr>
                <w:rFonts w:ascii="仿宋_GB2312" w:hAnsi="仿宋_GB2312" w:cs="仿宋_GB2312" w:eastAsia="仿宋_GB2312"/>
                <w:sz w:val="21"/>
              </w:rPr>
              <w:t>以及</w:t>
            </w:r>
            <w:r>
              <w:rPr>
                <w:rFonts w:ascii="仿宋_GB2312" w:hAnsi="仿宋_GB2312" w:cs="仿宋_GB2312" w:eastAsia="仿宋_GB2312"/>
                <w:sz w:val="21"/>
              </w:rPr>
              <w:t>《陕西省各地市法治政府建设评估问题清单》和《陕西省省级部门法治政府建设评估问题清单》。</w:t>
            </w:r>
          </w:p>
          <w:p>
            <w:pPr>
              <w:pStyle w:val="null3"/>
              <w:ind w:firstLine="480"/>
              <w:jc w:val="both"/>
            </w:pPr>
            <w:r>
              <w:rPr>
                <w:rFonts w:ascii="仿宋_GB2312" w:hAnsi="仿宋_GB2312" w:cs="仿宋_GB2312" w:eastAsia="仿宋_GB2312"/>
                <w:sz w:val="21"/>
                <w:b/>
              </w:rPr>
              <w:t>二、履约验收方案</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验收交付标准和方法：成果达到采购人要求，采购人内部验收。</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履约验收程序：项目成果提交后进行验收。</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履约验收时间：项目成果提交后</w:t>
            </w:r>
            <w:r>
              <w:rPr>
                <w:rFonts w:ascii="仿宋_GB2312" w:hAnsi="仿宋_GB2312" w:cs="仿宋_GB2312" w:eastAsia="仿宋_GB2312"/>
                <w:sz w:val="21"/>
              </w:rPr>
              <w:t>10</w:t>
            </w:r>
            <w:r>
              <w:rPr>
                <w:rFonts w:ascii="仿宋_GB2312" w:hAnsi="仿宋_GB2312" w:cs="仿宋_GB2312" w:eastAsia="仿宋_GB2312"/>
                <w:sz w:val="21"/>
              </w:rPr>
              <w:t>个工作日内。</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技术履约验收内容：陕西省法治政府建设工作评估报告。</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商务履约验收内容：合同签订，发票开具等符合要求。</w:t>
            </w:r>
          </w:p>
          <w:p>
            <w:pPr>
              <w:pStyle w:val="null3"/>
            </w:pPr>
            <w:r>
              <w:rPr>
                <w:rFonts w:ascii="仿宋_GB2312" w:hAnsi="仿宋_GB2312" w:cs="仿宋_GB2312" w:eastAsia="仿宋_GB2312"/>
                <w:sz w:val="21"/>
              </w:rPr>
              <w:t xml:space="preserve">         6.</w:t>
            </w:r>
            <w:r>
              <w:rPr>
                <w:rFonts w:ascii="仿宋_GB2312" w:hAnsi="仿宋_GB2312" w:cs="仿宋_GB2312" w:eastAsia="仿宋_GB2312"/>
                <w:sz w:val="21"/>
              </w:rPr>
              <w:t>履约验收标准：采购人综合评定成果质量是否达到采购要求。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自合同签订之日起至2027年3月1日。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进度款，项目整体内容完成组织验收，通过验收后，达到付款条件起10个工作日内，支付合同总金额的30.0%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严格按照本合同约定，全面、适当履行各自的合同义务。任何一方未履行、未完全履行或未按合同约定履行其义务的，均构成违约；违约方应承担相应的违约责任，赔偿因其违约行为给守约方造成的全部实际损失（包括但不限于直接损失、合理预期收益损失及为维权支出的合理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（1.1.2）投标（响应）报价低于通过符合性审查的次低报价供应商投标（响应）报价50%的，即投标（响应）报价&lt;通过符合性审查的次低报价供应商投标（响应）报价×65%；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1.3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 法人的分支机构参与磋商时，除提供《法定代表人授权委托书》、《法定代表人证明书》外，还须同时提供法人给分支机构出具的授权书。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根据供应商提供的需求理解，包含1、工作重点；2、关键点分析；3、工作难点；4、服务优势等。方案各部分内容全面详细、阐述条理清晰详尽、符合本项目项目需求理解得4分；以上分项每缺少一项内容扣1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含：1、服务总体规划；2、服务实施安排；3、服务规范流程；4、服务细化内容；5、服务标准；6、服务衔接机制等。方案各部分内容全面详细、阐述条理清晰详尽、符合本项目服务方案得12分；以上分项每缺少一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提供的进度保障措施，包含：1、具体详细的工作计划；2、具有合理的阶段划分；3、明确各阶段有明确的工作目标；4、具有可行的时间进度安排；5、服务实施保障；6、流程执行保障；7、资源调配保障；8、应急响应保障；9、合规性保障等。方案各部分内容全面详细、阐述条理清晰详尽、符合本项目进度保障措施得18分；以上分项每缺少一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问题整改跟踪与保密方案</w:t>
            </w:r>
          </w:p>
        </w:tc>
        <w:tc>
          <w:tcPr>
            <w:tcW w:type="dxa" w:w="2492"/>
          </w:tcPr>
          <w:p>
            <w:pPr>
              <w:pStyle w:val="null3"/>
            </w:pPr>
            <w:r>
              <w:rPr>
                <w:rFonts w:ascii="仿宋_GB2312" w:hAnsi="仿宋_GB2312" w:cs="仿宋_GB2312" w:eastAsia="仿宋_GB2312"/>
              </w:rPr>
              <w:t>根据供应商提供的问题整改跟踪与保密方案，包含：1、指标培训；2、数据复核；3、整改回访机制；4、完整法治评估数据分级保密管理制度；5、数据存储销毁流程；6、人员保密承诺书范本等。方案各部分内容全面详细、阐述条理清晰详尽、贴合本项目工作实际、具备落地性、无缺陷得6分；以上分项每缺少一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项目配置人员</w:t>
            </w:r>
          </w:p>
        </w:tc>
        <w:tc>
          <w:tcPr>
            <w:tcW w:type="dxa" w:w="2492"/>
          </w:tcPr>
          <w:p>
            <w:pPr>
              <w:pStyle w:val="null3"/>
            </w:pPr>
            <w:r>
              <w:rPr>
                <w:rFonts w:ascii="仿宋_GB2312" w:hAnsi="仿宋_GB2312" w:cs="仿宋_GB2312" w:eastAsia="仿宋_GB2312"/>
              </w:rPr>
              <w:t>项目配置人员（5分） 1、项目负责人具有5年（含）以上法治政府建设评估项目活动经验的得5分，5年以下的每少一年扣1分，扣完为止。（佐证材料：连续5年负责的法治政府建设评估项目业绩证明）。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承诺结果资料可根据采购人意见免费无条件修改至采购人满意（提供承诺函，格式自拟），得5分，逾期交付承诺或材料不全不得分。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承诺提供7×24小时售后保障，30分钟响应、3小时内到达现场处置（提供承诺函，格式自拟），得5分，逾期交付承诺或材料不全不得分。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供应商提供针对法治政府建设评估等方面的增值服务承诺（提供与本项目履约配套、可落地、不附加额外采购成本的增值服务），每提供1个经磋商小组一致认定的增值服务承诺计1分，最多得5分。）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承诺配置6 名项目专职工作人员完整团队人员清单（提供承诺函及人员清单，格式自拟），得5分；逾期交付承诺或材料不全不得分。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供应商提供2024年1月1日至响应截止日期承接的同类项目业绩，每份合格业绩计5分，满分25分；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