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版本号：ZCSP-临渭区-2026-00151、XHLJZC-WN2026-07620260630001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渔业绿色发展新品种新技术引进项目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ZCSP-临渭区-2026-00151、XHLJZC-WN2026-076</w:t>
      </w:r>
      <w:r>
        <w:br/>
      </w:r>
      <w:r>
        <w:br/>
      </w:r>
      <w:r>
        <w:br/>
      </w:r>
    </w:p>
    <w:p>
      <w:pPr>
        <w:pStyle w:val="null3"/>
        <w:jc w:val="center"/>
        <w:outlineLvl w:val="2"/>
      </w:pPr>
      <w:r>
        <w:rPr>
          <w:rFonts w:ascii="仿宋_GB2312" w:hAnsi="仿宋_GB2312" w:cs="仿宋_GB2312" w:eastAsia="仿宋_GB2312"/>
          <w:sz w:val="28"/>
          <w:b/>
        </w:rPr>
        <w:t>渭南市临渭区水产工作站</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渭南市临渭区水产工作站</w:t>
      </w:r>
      <w:r>
        <w:rPr>
          <w:rFonts w:ascii="仿宋_GB2312" w:hAnsi="仿宋_GB2312" w:cs="仿宋_GB2312" w:eastAsia="仿宋_GB2312"/>
        </w:rPr>
        <w:t>委托，拟对</w:t>
      </w:r>
      <w:r>
        <w:rPr>
          <w:rFonts w:ascii="仿宋_GB2312" w:hAnsi="仿宋_GB2312" w:cs="仿宋_GB2312" w:eastAsia="仿宋_GB2312"/>
        </w:rPr>
        <w:t>渔业绿色发展新品种新技术引进项目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ZCSP-临渭区-2026-00151、XHLJZC-WN2026-076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渔业绿色发展新品种新技术引进项目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鱼苗及配套设备，详见文件。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8、资质条件：提供行政主管部门颁发的有效期内的《水产苗种生产许可证》（生产品种或种类须至少包含三个采购品种）或《水产苗种生产临时许可证》（生产品种或种类须至少包含三个采购品种）。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渭南市临渭区水产工作站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渭南市临渭区站北路40号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0913-2030601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高凡、毛嘉伟、樊锐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029-89182932、029-89183511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渭南市临渭区水产工作站</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渭南市临渭区水产工作站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渭南市临渭区水产工作站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西安欣华联建工程咨询有限公司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符合国家法律法规规定的合格标准、采购文件、响应文件的要求。（2）所有产品均已运输至指定地点，并安装调试完毕。（3）应有产品合格证、检测报告、检疫证书以及相应产品的检定证书和其他应具有的单证。</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联系人：高凡、毛嘉伟、樊锐</w:t>
      </w:r>
    </w:p>
    <w:p>
      <w:pPr>
        <w:pStyle w:val="null3"/>
      </w:pPr>
      <w:r>
        <w:rPr>
          <w:rFonts w:ascii="仿宋_GB2312" w:hAnsi="仿宋_GB2312" w:cs="仿宋_GB2312" w:eastAsia="仿宋_GB2312"/>
        </w:rPr>
        <w:t>联系电话：029-89182932</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鱼苗及配套设备。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渔业绿色发展新品种新技术引进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标的名称：渔业绿色发展新品种新技术引进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49"/>
            </w:tblGrid>
            <w:tr>
              <w:tc>
                <w:tcPr>
                  <w:tcW w:type="dxa" w:w="2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437"/>
                    <w:gridCol w:w="574"/>
                    <w:gridCol w:w="337"/>
                    <w:gridCol w:w="413"/>
                    <w:gridCol w:w="560"/>
                  </w:tblGrid>
                  <w:tr>
                    <w:tc>
                      <w:tcPr>
                        <w:tcW w:type="dxa" w:w="232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2"/>
                          <w:jc w:val="left"/>
                        </w:pPr>
                        <w:r>
                          <w:rPr>
                            <w:rFonts w:ascii="仿宋_GB2312" w:hAnsi="仿宋_GB2312" w:cs="仿宋_GB2312" w:eastAsia="仿宋_GB2312"/>
                            <w:sz w:val="21"/>
                            <w:b/>
                          </w:rPr>
                          <w:t>我单位采购预算金额30万元，其中鱼苗采购约23万</w:t>
                        </w:r>
                        <w:r>
                          <w:rPr>
                            <w:rFonts w:ascii="仿宋_GB2312" w:hAnsi="仿宋_GB2312" w:cs="仿宋_GB2312" w:eastAsia="仿宋_GB2312"/>
                            <w:sz w:val="21"/>
                            <w:b/>
                          </w:rPr>
                          <w:t>元</w:t>
                        </w:r>
                        <w:r>
                          <w:rPr>
                            <w:rFonts w:ascii="仿宋_GB2312" w:hAnsi="仿宋_GB2312" w:cs="仿宋_GB2312" w:eastAsia="仿宋_GB2312"/>
                            <w:sz w:val="21"/>
                            <w:b/>
                          </w:rPr>
                          <w:t>，辅助设备采购约7万元。</w:t>
                        </w:r>
                      </w:p>
                    </w:tc>
                  </w:tr>
                  <w:tr>
                    <w:tc>
                      <w:tcPr>
                        <w:tcW w:type="dxa" w:w="23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b/>
                          </w:rPr>
                          <w:t>鱼苗</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品种</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规格</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单位</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最高单价</w:t>
                        </w:r>
                      </w:p>
                      <w:p>
                        <w:pPr>
                          <w:pStyle w:val="null3"/>
                          <w:spacing w:before="105" w:after="105"/>
                          <w:jc w:val="center"/>
                        </w:pPr>
                        <w:r>
                          <w:rPr>
                            <w:rFonts w:ascii="仿宋_GB2312" w:hAnsi="仿宋_GB2312" w:cs="仿宋_GB2312" w:eastAsia="仿宋_GB2312"/>
                            <w:sz w:val="21"/>
                            <w:b/>
                            <w:color w:val="000000"/>
                          </w:rPr>
                          <w:t>（元）</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备注</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鲈鱼</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10–15cm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尾</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1.30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含运、90%成活率</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鳜鱼</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10–15cm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尾</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7.50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含运、90%成活率</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长丰鲢</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10–15cm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尾</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0.40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含运、90%成活率</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草鱼</w:t>
                        </w:r>
                      </w:p>
                      <w:p>
                        <w:pPr>
                          <w:pStyle w:val="null3"/>
                          <w:spacing w:before="105" w:after="105"/>
                          <w:jc w:val="center"/>
                        </w:pPr>
                        <w:r>
                          <w:rPr>
                            <w:rFonts w:ascii="仿宋_GB2312" w:hAnsi="仿宋_GB2312" w:cs="仿宋_GB2312" w:eastAsia="仿宋_GB2312"/>
                            <w:sz w:val="21"/>
                            <w:color w:val="000000"/>
                          </w:rPr>
                          <w:t>（沪苏1号）</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10–15cm</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尾</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0.55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含运、90%成活率</w:t>
                        </w:r>
                      </w:p>
                    </w:tc>
                  </w:tr>
                </w:tbl>
                <w:tbl>
                  <w:tblPr>
                    <w:tblBorders>
                      <w:top w:val="none" w:color="000000" w:sz="4"/>
                      <w:left w:val="none" w:color="000000" w:sz="4"/>
                      <w:bottom w:val="none" w:color="000000" w:sz="4"/>
                      <w:right w:val="none" w:color="000000" w:sz="4"/>
                      <w:insideH w:val="none"/>
                      <w:insideV w:val="none"/>
                    </w:tblBorders>
                  </w:tblPr>
                  <w:tblGrid>
                    <w:gridCol w:w="237"/>
                    <w:gridCol w:w="484"/>
                    <w:gridCol w:w="898"/>
                    <w:gridCol w:w="256"/>
                    <w:gridCol w:w="446"/>
                  </w:tblGrid>
                  <w:tr>
                    <w:tc>
                      <w:tcPr>
                        <w:tcW w:type="dxa" w:w="232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b/>
                            <w:color w:val="000000"/>
                          </w:rPr>
                          <w:t>产品</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序号</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名称</w:t>
                        </w:r>
                      </w:p>
                    </w:tc>
                    <w:tc>
                      <w:tcPr>
                        <w:tcW w:type="dxa" w:w="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技术要求</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单位</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最高单价（元）</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一</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叶轮式变频增氧机</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电源：三相380V50Hz</w:t>
                        </w:r>
                      </w:p>
                      <w:p>
                        <w:pPr>
                          <w:pStyle w:val="null3"/>
                          <w:spacing w:before="105" w:after="105"/>
                          <w:jc w:val="left"/>
                        </w:pPr>
                        <w:r>
                          <w:rPr>
                            <w:rFonts w:ascii="仿宋_GB2312" w:hAnsi="仿宋_GB2312" w:cs="仿宋_GB2312" w:eastAsia="仿宋_GB2312"/>
                            <w:sz w:val="21"/>
                          </w:rPr>
                          <w:t>功率：3.0KW两款可选</w:t>
                        </w:r>
                      </w:p>
                      <w:p>
                        <w:pPr>
                          <w:pStyle w:val="null3"/>
                          <w:spacing w:before="105" w:after="105"/>
                          <w:jc w:val="left"/>
                        </w:pPr>
                        <w:r>
                          <w:rPr>
                            <w:rFonts w:ascii="仿宋_GB2312" w:hAnsi="仿宋_GB2312" w:cs="仿宋_GB2312" w:eastAsia="仿宋_GB2312"/>
                            <w:sz w:val="21"/>
                          </w:rPr>
                          <w:t>配置：国标纯铜电机，自带缺相、过载、漏电保护</w:t>
                        </w:r>
                      </w:p>
                      <w:p>
                        <w:pPr>
                          <w:pStyle w:val="null3"/>
                          <w:spacing w:before="105" w:after="105"/>
                          <w:jc w:val="left"/>
                        </w:pPr>
                        <w:r>
                          <w:rPr>
                            <w:rFonts w:ascii="仿宋_GB2312" w:hAnsi="仿宋_GB2312" w:cs="仿宋_GB2312" w:eastAsia="仿宋_GB2312"/>
                            <w:sz w:val="21"/>
                          </w:rPr>
                          <w:t>结构：不锈钢主轴，一体加厚PE浮体，耐腐蚀耐用</w:t>
                        </w:r>
                      </w:p>
                      <w:p>
                        <w:pPr>
                          <w:pStyle w:val="null3"/>
                          <w:spacing w:before="105" w:after="105"/>
                          <w:jc w:val="left"/>
                        </w:pPr>
                        <w:r>
                          <w:rPr>
                            <w:rFonts w:ascii="仿宋_GB2312" w:hAnsi="仿宋_GB2312" w:cs="仿宋_GB2312" w:eastAsia="仿宋_GB2312"/>
                            <w:sz w:val="21"/>
                          </w:rPr>
                          <w:t>功能：智能变频调速，增氧效率高，运行噪音低</w:t>
                        </w:r>
                      </w:p>
                      <w:p>
                        <w:pPr>
                          <w:pStyle w:val="null3"/>
                          <w:spacing w:before="105" w:after="105"/>
                          <w:jc w:val="left"/>
                        </w:pPr>
                        <w:r>
                          <w:rPr>
                            <w:rFonts w:ascii="仿宋_GB2312" w:hAnsi="仿宋_GB2312" w:cs="仿宋_GB2312" w:eastAsia="仿宋_GB2312"/>
                            <w:sz w:val="21"/>
                          </w:rPr>
                          <w:t>适用：鱼塘、虾蟹塘通用，户外防水防晒</w:t>
                        </w:r>
                      </w:p>
                      <w:p>
                        <w:pPr>
                          <w:pStyle w:val="null3"/>
                          <w:spacing w:before="105" w:after="105"/>
                          <w:jc w:val="left"/>
                        </w:pPr>
                        <w:r>
                          <w:rPr>
                            <w:rFonts w:ascii="仿宋_GB2312" w:hAnsi="仿宋_GB2312" w:cs="仿宋_GB2312" w:eastAsia="仿宋_GB2312"/>
                            <w:sz w:val="21"/>
                          </w:rPr>
                          <w:t>售后：整机质保1年，电机质保2年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2100.00</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二</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全自动鱼塘投料机</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电源：单相220V50Hz</w:t>
                        </w:r>
                      </w:p>
                      <w:p>
                        <w:pPr>
                          <w:pStyle w:val="null3"/>
                          <w:spacing w:before="105" w:after="105"/>
                          <w:jc w:val="left"/>
                        </w:pPr>
                        <w:r>
                          <w:rPr>
                            <w:rFonts w:ascii="仿宋_GB2312" w:hAnsi="仿宋_GB2312" w:cs="仿宋_GB2312" w:eastAsia="仿宋_GB2312"/>
                            <w:sz w:val="21"/>
                          </w:rPr>
                          <w:t>料仓容量：120kg</w:t>
                        </w:r>
                      </w:p>
                      <w:p>
                        <w:pPr>
                          <w:pStyle w:val="null3"/>
                          <w:spacing w:before="105" w:after="105"/>
                          <w:jc w:val="left"/>
                        </w:pPr>
                        <w:r>
                          <w:rPr>
                            <w:rFonts w:ascii="仿宋_GB2312" w:hAnsi="仿宋_GB2312" w:cs="仿宋_GB2312" w:eastAsia="仿宋_GB2312"/>
                            <w:sz w:val="21"/>
                          </w:rPr>
                          <w:t>操控：微电脑定时定量自动投喂，断电记忆</w:t>
                        </w:r>
                      </w:p>
                      <w:p>
                        <w:pPr>
                          <w:pStyle w:val="null3"/>
                          <w:spacing w:before="105" w:after="105"/>
                          <w:jc w:val="left"/>
                        </w:pPr>
                        <w:r>
                          <w:rPr>
                            <w:rFonts w:ascii="仿宋_GB2312" w:hAnsi="仿宋_GB2312" w:cs="仿宋_GB2312" w:eastAsia="仿宋_GB2312"/>
                            <w:sz w:val="21"/>
                          </w:rPr>
                          <w:t>功能：可调投料远近、快慢，防卡料、无料自停</w:t>
                        </w:r>
                      </w:p>
                      <w:p>
                        <w:pPr>
                          <w:pStyle w:val="null3"/>
                          <w:spacing w:before="105" w:after="105"/>
                          <w:jc w:val="left"/>
                        </w:pPr>
                        <w:r>
                          <w:rPr>
                            <w:rFonts w:ascii="仿宋_GB2312" w:hAnsi="仿宋_GB2312" w:cs="仿宋_GB2312" w:eastAsia="仿宋_GB2312"/>
                            <w:sz w:val="21"/>
                          </w:rPr>
                          <w:t>材质：加厚防腐料箱，坚固抗老化</w:t>
                        </w:r>
                      </w:p>
                      <w:p>
                        <w:pPr>
                          <w:pStyle w:val="null3"/>
                          <w:spacing w:before="105" w:after="105"/>
                          <w:jc w:val="left"/>
                        </w:pPr>
                        <w:r>
                          <w:rPr>
                            <w:rFonts w:ascii="仿宋_GB2312" w:hAnsi="仿宋_GB2312" w:cs="仿宋_GB2312" w:eastAsia="仿宋_GB2312"/>
                            <w:sz w:val="21"/>
                          </w:rPr>
                          <w:t>适用：浮性、沉性水产颗粒饲料通用</w:t>
                        </w:r>
                      </w:p>
                      <w:p>
                        <w:pPr>
                          <w:pStyle w:val="null3"/>
                          <w:spacing w:before="105" w:after="105"/>
                          <w:jc w:val="left"/>
                        </w:pPr>
                        <w:r>
                          <w:rPr>
                            <w:rFonts w:ascii="仿宋_GB2312" w:hAnsi="仿宋_GB2312" w:cs="仿宋_GB2312" w:eastAsia="仿宋_GB2312"/>
                            <w:sz w:val="21"/>
                          </w:rPr>
                          <w:t>售后：整机质保1年，控制主板质保2年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1500.00</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三</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水产养殖罗茨风机</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电源：三相380V/50Hz</w:t>
                        </w:r>
                      </w:p>
                      <w:p>
                        <w:pPr>
                          <w:pStyle w:val="null3"/>
                          <w:spacing w:before="105" w:after="105"/>
                          <w:jc w:val="left"/>
                        </w:pPr>
                        <w:r>
                          <w:rPr>
                            <w:rFonts w:ascii="仿宋_GB2312" w:hAnsi="仿宋_GB2312" w:cs="仿宋_GB2312" w:eastAsia="仿宋_GB2312"/>
                            <w:sz w:val="21"/>
                          </w:rPr>
                          <w:t>功率：2.2kWkW（养殖常用三档）</w:t>
                        </w:r>
                      </w:p>
                      <w:p>
                        <w:pPr>
                          <w:pStyle w:val="null3"/>
                          <w:spacing w:before="105" w:after="105"/>
                          <w:jc w:val="left"/>
                        </w:pPr>
                        <w:r>
                          <w:rPr>
                            <w:rFonts w:ascii="仿宋_GB2312" w:hAnsi="仿宋_GB2312" w:cs="仿宋_GB2312" w:eastAsia="仿宋_GB2312"/>
                            <w:sz w:val="21"/>
                          </w:rPr>
                          <w:t>型式：三叶罗茨风机，强制曝气、风量大、压力稳</w:t>
                        </w:r>
                      </w:p>
                      <w:p>
                        <w:pPr>
                          <w:pStyle w:val="null3"/>
                          <w:spacing w:before="105" w:after="105"/>
                          <w:jc w:val="left"/>
                        </w:pPr>
                        <w:r>
                          <w:rPr>
                            <w:rFonts w:ascii="仿宋_GB2312" w:hAnsi="仿宋_GB2312" w:cs="仿宋_GB2312" w:eastAsia="仿宋_GB2312"/>
                            <w:sz w:val="21"/>
                          </w:rPr>
                          <w:t>材质：铸铁机身+防腐涂层，耐用耐腐蚀</w:t>
                        </w:r>
                      </w:p>
                      <w:p>
                        <w:pPr>
                          <w:pStyle w:val="null3"/>
                          <w:spacing w:before="105" w:after="105"/>
                          <w:jc w:val="left"/>
                        </w:pPr>
                        <w:r>
                          <w:rPr>
                            <w:rFonts w:ascii="仿宋_GB2312" w:hAnsi="仿宋_GB2312" w:cs="仿宋_GB2312" w:eastAsia="仿宋_GB2312"/>
                            <w:sz w:val="21"/>
                          </w:rPr>
                          <w:t>配置：国标纯铜电机，带消音器、压力表、泄压阀</w:t>
                        </w:r>
                      </w:p>
                      <w:p>
                        <w:pPr>
                          <w:pStyle w:val="null3"/>
                          <w:spacing w:before="105" w:after="105"/>
                          <w:jc w:val="left"/>
                        </w:pPr>
                        <w:r>
                          <w:rPr>
                            <w:rFonts w:ascii="仿宋_GB2312" w:hAnsi="仿宋_GB2312" w:cs="仿宋_GB2312" w:eastAsia="仿宋_GB2312"/>
                            <w:sz w:val="21"/>
                          </w:rPr>
                          <w:t>保护：缺相、过载、过热保护，可24小时连续运行</w:t>
                        </w:r>
                      </w:p>
                      <w:p>
                        <w:pPr>
                          <w:pStyle w:val="null3"/>
                          <w:spacing w:before="105" w:after="105"/>
                          <w:jc w:val="left"/>
                        </w:pPr>
                        <w:r>
                          <w:rPr>
                            <w:rFonts w:ascii="仿宋_GB2312" w:hAnsi="仿宋_GB2312" w:cs="仿宋_GB2312" w:eastAsia="仿宋_GB2312"/>
                            <w:sz w:val="21"/>
                          </w:rPr>
                          <w:t>噪音：≤65dB，低噪不影响鱼虾</w:t>
                        </w:r>
                      </w:p>
                      <w:p>
                        <w:pPr>
                          <w:pStyle w:val="null3"/>
                          <w:spacing w:before="105" w:after="105"/>
                          <w:jc w:val="left"/>
                        </w:pPr>
                        <w:r>
                          <w:rPr>
                            <w:rFonts w:ascii="仿宋_GB2312" w:hAnsi="仿宋_GB2312" w:cs="仿宋_GB2312" w:eastAsia="仿宋_GB2312"/>
                            <w:sz w:val="21"/>
                          </w:rPr>
                          <w:t>售后：整机质保1年，电机质保2年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2600.00</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四</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渔业智能控制柜</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用途：集中控制增氧机、投料机、罗茨风机，一键启停+自动联动</w:t>
                        </w:r>
                      </w:p>
                      <w:p>
                        <w:pPr>
                          <w:pStyle w:val="null3"/>
                          <w:spacing w:before="105" w:after="105"/>
                          <w:jc w:val="left"/>
                        </w:pPr>
                        <w:r>
                          <w:rPr>
                            <w:rFonts w:ascii="仿宋_GB2312" w:hAnsi="仿宋_GB2312" w:cs="仿宋_GB2312" w:eastAsia="仿宋_GB2312"/>
                            <w:sz w:val="21"/>
                          </w:rPr>
                          <w:t>电源：380V三相+220V单相，总功率15–30kW</w:t>
                        </w:r>
                      </w:p>
                      <w:p>
                        <w:pPr>
                          <w:pStyle w:val="null3"/>
                          <w:spacing w:before="105" w:after="105"/>
                          <w:jc w:val="left"/>
                        </w:pPr>
                        <w:r>
                          <w:rPr>
                            <w:rFonts w:ascii="仿宋_GB2312" w:hAnsi="仿宋_GB2312" w:cs="仿宋_GB2312" w:eastAsia="仿宋_GB2312"/>
                            <w:sz w:val="21"/>
                          </w:rPr>
                          <w:t>控制回路：6路（可接增氧机、风机、投料机）</w:t>
                        </w:r>
                      </w:p>
                      <w:p>
                        <w:pPr>
                          <w:pStyle w:val="null3"/>
                          <w:spacing w:before="105" w:after="105"/>
                          <w:jc w:val="left"/>
                        </w:pPr>
                        <w:r>
                          <w:rPr>
                            <w:rFonts w:ascii="仿宋_GB2312" w:hAnsi="仿宋_GB2312" w:cs="仿宋_GB2312" w:eastAsia="仿宋_GB2312"/>
                            <w:sz w:val="21"/>
                          </w:rPr>
                          <w:t>控制模式：手动/自动/远程三模式</w:t>
                        </w:r>
                      </w:p>
                      <w:p>
                        <w:pPr>
                          <w:pStyle w:val="null3"/>
                          <w:spacing w:before="105" w:after="105"/>
                          <w:jc w:val="left"/>
                        </w:pPr>
                        <w:r>
                          <w:rPr>
                            <w:rFonts w:ascii="仿宋_GB2312" w:hAnsi="仿宋_GB2312" w:cs="仿宋_GB2312" w:eastAsia="仿宋_GB2312"/>
                            <w:sz w:val="21"/>
                          </w:rPr>
                          <w:t>保护：缺相、过载、漏电、防雷、急停</w:t>
                        </w:r>
                      </w:p>
                      <w:p>
                        <w:pPr>
                          <w:pStyle w:val="null3"/>
                          <w:spacing w:before="105" w:after="105"/>
                          <w:jc w:val="left"/>
                        </w:pPr>
                        <w:r>
                          <w:rPr>
                            <w:rFonts w:ascii="仿宋_GB2312" w:hAnsi="仿宋_GB2312" w:cs="仿宋_GB2312" w:eastAsia="仿宋_GB2312"/>
                            <w:sz w:val="21"/>
                          </w:rPr>
                          <w:t>联动：溶氧低自动开增氧机，可设阈值（如DO&lt;5mg/L开机）</w:t>
                        </w:r>
                      </w:p>
                      <w:p>
                        <w:pPr>
                          <w:pStyle w:val="null3"/>
                          <w:spacing w:before="105" w:after="105"/>
                          <w:jc w:val="left"/>
                        </w:pPr>
                        <w:r>
                          <w:rPr>
                            <w:rFonts w:ascii="仿宋_GB2312" w:hAnsi="仿宋_GB2312" w:cs="仿宋_GB2312" w:eastAsia="仿宋_GB2312"/>
                            <w:sz w:val="21"/>
                          </w:rPr>
                          <w:t>通信：4G/以太网，手机APP远程控制</w:t>
                        </w:r>
                      </w:p>
                      <w:p>
                        <w:pPr>
                          <w:pStyle w:val="null3"/>
                          <w:spacing w:before="105" w:after="105"/>
                          <w:jc w:val="left"/>
                        </w:pPr>
                        <w:r>
                          <w:rPr>
                            <w:rFonts w:ascii="仿宋_GB2312" w:hAnsi="仿宋_GB2312" w:cs="仿宋_GB2312" w:eastAsia="仿宋_GB2312"/>
                            <w:sz w:val="21"/>
                          </w:rPr>
                          <w:t>柜体：不锈钢/冷轧钢，IP54防水防尘</w:t>
                        </w:r>
                      </w:p>
                      <w:p>
                        <w:pPr>
                          <w:pStyle w:val="null3"/>
                          <w:spacing w:before="105" w:after="105"/>
                          <w:jc w:val="left"/>
                        </w:pPr>
                        <w:r>
                          <w:rPr>
                            <w:rFonts w:ascii="仿宋_GB2312" w:hAnsi="仿宋_GB2312" w:cs="仿宋_GB2312" w:eastAsia="仿宋_GB2312"/>
                            <w:sz w:val="21"/>
                          </w:rPr>
                          <w:t>售后：整机质保1年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4300.00</w:t>
                        </w:r>
                      </w:p>
                    </w:tc>
                  </w:tr>
                </w:tbl>
                <w:p>
                  <w:pPr>
                    <w:pStyle w:val="null3"/>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渭南市临渭区水产工作站指定地点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其他，供货完成并经采购人验收合格后，达到付款条件起7个工作日内，支付合同总金额的70.0%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符合国家法律法规规定的合格标准、采购文件、响应文件的要求。（2）所有产品均已运输至指定地点，并安装调试完毕。（3）应有产品合格证、检测报告、检疫证书以及相应产品的检定证书和其他应具有的单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采购人逾期付款，应就逾期部分向供应商支付按照中国人民银行规定的同期贷款基准利率计算的逾期付款违约金。2、采购人违反合同规定拒绝接收货物的，应当承担由此对供应商造成的损失。3、供应商不能按期交货的，每逾期1日，应向采购人赔付合同总价的0.1%作为违约金。4、供应商所提供的服务不符合国家法律法规和合同规定的，采购人有权拒收，并由供应商承担一切费用。争议解决：双方本着友好合作的态度,对合同履行过程中发生的违约行为进行及时的协商解决,如不能协商解决可向采购人住所地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提供行政主管部门颁发的有效期内的《水产苗种生产许可证》（生产品种或种类须至少包含三个采购品种）或《水产苗种生产临时许可证》（生产品种或种类须至少包含三个采购品种）。</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分项报价表 中小企业声明函 技术要求响应表 报价表 商务要求响应表 响应文件封面 政府采购供应商拒绝政府采购领域商业贿赂承诺书 残疾人福利性单位声明函 投标保证金缴纳凭证及退还申请表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（1）报价未超过最高单价 （2）未出现选择性报价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分项报价表 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如出现最终报价相同，按技术指标优劣顺序排列推荐。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详见附件：投标保证金缴纳凭证及退还申请表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详见附件：商务要求响应表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