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highlight w:val="none"/>
        </w:rPr>
      </w:pPr>
      <w:r>
        <w:rPr>
          <w:rStyle w:val="11"/>
          <w:rFonts w:hint="eastAsia" w:ascii="仿宋" w:hAnsi="仿宋" w:eastAsia="仿宋" w:cs="仿宋"/>
          <w:b/>
          <w:bCs/>
          <w:color w:val="auto"/>
          <w:sz w:val="40"/>
          <w:szCs w:val="40"/>
          <w:highlight w:val="none"/>
          <w:lang w:val="zh-CN" w:eastAsia="zh-CN"/>
        </w:rPr>
        <w:t>拟签订的合同条款文本</w:t>
      </w:r>
    </w:p>
    <w:p w14:paraId="284A42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甲方（采购人）： </w:t>
      </w:r>
    </w:p>
    <w:p w14:paraId="63C34C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成交供应商</w:t>
      </w:r>
      <w:r>
        <w:rPr>
          <w:rFonts w:hint="eastAsia" w:ascii="仿宋" w:hAnsi="仿宋" w:eastAsia="仿宋" w:cs="仿宋"/>
          <w:bCs/>
          <w:color w:val="auto"/>
          <w:sz w:val="24"/>
          <w:szCs w:val="24"/>
          <w:highlight w:val="none"/>
        </w:rPr>
        <w:t xml:space="preserve">）： </w:t>
      </w:r>
    </w:p>
    <w:p w14:paraId="4C09DFE8">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太康路小学教育教学设备采购</w:t>
      </w:r>
      <w:bookmarkStart w:id="0" w:name="_GoBack"/>
      <w:bookmarkEnd w:id="0"/>
      <w:r>
        <w:rPr>
          <w:rFonts w:hint="eastAsia" w:ascii="仿宋" w:hAnsi="仿宋" w:eastAsia="仿宋" w:cs="仿宋"/>
          <w:bCs/>
          <w:color w:val="auto"/>
          <w:sz w:val="24"/>
          <w:szCs w:val="24"/>
          <w:highlight w:val="none"/>
          <w:u w:val="single"/>
        </w:rPr>
        <w:t>(项目编号：</w:t>
      </w:r>
      <w:r>
        <w:rPr>
          <w:rFonts w:hint="eastAsia" w:ascii="仿宋" w:hAnsi="仿宋" w:eastAsia="仿宋" w:cs="仿宋"/>
          <w:bCs/>
          <w:color w:val="auto"/>
          <w:sz w:val="24"/>
          <w:szCs w:val="24"/>
          <w:highlight w:val="none"/>
          <w:u w:val="single"/>
          <w:lang w:val="en-US" w:eastAsia="zh-CN"/>
        </w:rPr>
        <w:t>FMY-ZBDL-2026-035</w:t>
      </w:r>
      <w:r>
        <w:rPr>
          <w:rFonts w:hint="eastAsia" w:ascii="仿宋" w:hAnsi="仿宋" w:eastAsia="仿宋" w:cs="仿宋"/>
          <w:bCs/>
          <w:color w:val="auto"/>
          <w:sz w:val="24"/>
          <w:szCs w:val="24"/>
          <w:highlight w:val="none"/>
          <w:u w:val="single"/>
        </w:rPr>
        <w:t>)</w:t>
      </w:r>
      <w:r>
        <w:rPr>
          <w:rFonts w:hint="eastAsia" w:ascii="仿宋" w:hAnsi="仿宋" w:eastAsia="仿宋" w:cs="仿宋"/>
          <w:bCs/>
          <w:color w:val="auto"/>
          <w:sz w:val="24"/>
          <w:szCs w:val="24"/>
          <w:highlight w:val="none"/>
        </w:rPr>
        <w:t>，由</w:t>
      </w:r>
      <w:r>
        <w:rPr>
          <w:rFonts w:hint="eastAsia" w:ascii="仿宋" w:hAnsi="仿宋" w:eastAsia="仿宋" w:cs="仿宋"/>
          <w:bCs/>
          <w:color w:val="auto"/>
          <w:sz w:val="24"/>
          <w:szCs w:val="24"/>
          <w:highlight w:val="none"/>
          <w:lang w:eastAsia="zh-CN"/>
        </w:rPr>
        <w:t>陕西方铭壹工程项目管理有限公司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val="en-US" w:eastAsia="zh-CN"/>
        </w:rPr>
        <w:t>公开招标</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西安市未央区教育局</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（以下简称“乙方”）为该项目的</w:t>
      </w:r>
      <w:r>
        <w:rPr>
          <w:rFonts w:hint="eastAsia" w:ascii="仿宋" w:hAnsi="仿宋" w:eastAsia="仿宋" w:cs="仿宋"/>
          <w:bCs/>
          <w:color w:val="auto"/>
          <w:sz w:val="24"/>
          <w:szCs w:val="24"/>
          <w:highlight w:val="none"/>
          <w:lang w:eastAsia="zh-CN"/>
        </w:rPr>
        <w:t>成交供应商</w:t>
      </w:r>
      <w:r>
        <w:rPr>
          <w:rFonts w:hint="eastAsia" w:ascii="仿宋" w:hAnsi="仿宋" w:eastAsia="仿宋" w:cs="仿宋"/>
          <w:bCs/>
          <w:color w:val="auto"/>
          <w:sz w:val="24"/>
          <w:szCs w:val="24"/>
          <w:highlight w:val="none"/>
        </w:rPr>
        <w:t>。</w:t>
      </w:r>
    </w:p>
    <w:p w14:paraId="35A80E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依据《中华人民共和国</w:t>
      </w:r>
      <w:r>
        <w:rPr>
          <w:rFonts w:hint="eastAsia" w:ascii="仿宋" w:hAnsi="仿宋" w:eastAsia="仿宋" w:cs="仿宋"/>
          <w:bCs/>
          <w:color w:val="auto"/>
          <w:sz w:val="24"/>
          <w:szCs w:val="24"/>
          <w:highlight w:val="none"/>
          <w:lang w:eastAsia="zh-CN"/>
        </w:rPr>
        <w:t>民法典</w:t>
      </w:r>
      <w:r>
        <w:rPr>
          <w:rFonts w:hint="eastAsia" w:ascii="仿宋" w:hAnsi="仿宋" w:eastAsia="仿宋" w:cs="仿宋"/>
          <w:bCs/>
          <w:color w:val="auto"/>
          <w:sz w:val="24"/>
          <w:szCs w:val="24"/>
          <w:highlight w:val="none"/>
        </w:rPr>
        <w:t>》和《中华人民共和国政府采购法》之规定，经双方在平等、自愿、互利的基础上，签订本合同，共同信守。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一、</w:t>
      </w:r>
      <w:r>
        <w:rPr>
          <w:rFonts w:hint="eastAsia" w:ascii="仿宋" w:hAnsi="仿宋" w:eastAsia="仿宋" w:cs="仿宋"/>
          <w:b/>
          <w:bCs/>
          <w:color w:val="auto"/>
          <w:sz w:val="24"/>
          <w:szCs w:val="24"/>
          <w:highlight w:val="none"/>
          <w:lang w:val="zh-CN"/>
        </w:rPr>
        <w:t>合同标的</w:t>
      </w:r>
      <w:r>
        <w:rPr>
          <w:rFonts w:hint="eastAsia" w:ascii="仿宋" w:hAnsi="仿宋" w:eastAsia="仿宋" w:cs="仿宋"/>
          <w:b/>
          <w:bCs/>
          <w:color w:val="auto"/>
          <w:sz w:val="24"/>
          <w:szCs w:val="24"/>
          <w:highlight w:val="none"/>
        </w:rPr>
        <w:t>物内容</w:t>
      </w:r>
      <w:r>
        <w:rPr>
          <w:rFonts w:hint="eastAsia" w:ascii="仿宋" w:hAnsi="仿宋" w:eastAsia="仿宋" w:cs="仿宋"/>
          <w:b/>
          <w:bCs/>
          <w:color w:val="auto"/>
          <w:sz w:val="24"/>
          <w:szCs w:val="24"/>
          <w:highlight w:val="none"/>
          <w:lang w:val="zh-CN"/>
        </w:rPr>
        <w:t>及数量</w:t>
      </w:r>
    </w:p>
    <w:p w14:paraId="7A5E7B4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乙方向甲方提供下列货物（产品）：</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1649" w:type="dxa"/>
            <w:noWrap w:val="0"/>
            <w:vAlign w:val="center"/>
          </w:tcPr>
          <w:p w14:paraId="10741A5E">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货物</w:t>
            </w:r>
            <w:r>
              <w:rPr>
                <w:rFonts w:hint="eastAsia" w:ascii="仿宋" w:hAnsi="仿宋" w:eastAsia="仿宋" w:cs="仿宋"/>
                <w:bCs/>
                <w:color w:val="auto"/>
                <w:sz w:val="24"/>
                <w:szCs w:val="24"/>
                <w:highlight w:val="none"/>
              </w:rPr>
              <w:t>名称</w:t>
            </w:r>
          </w:p>
        </w:tc>
        <w:tc>
          <w:tcPr>
            <w:tcW w:w="1481" w:type="dxa"/>
            <w:noWrap w:val="0"/>
            <w:vAlign w:val="center"/>
          </w:tcPr>
          <w:p w14:paraId="08B50234">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品牌/型号</w:t>
            </w:r>
          </w:p>
        </w:tc>
        <w:tc>
          <w:tcPr>
            <w:tcW w:w="531" w:type="dxa"/>
            <w:noWrap w:val="0"/>
            <w:vAlign w:val="center"/>
          </w:tcPr>
          <w:p w14:paraId="40E35D28">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规格</w:t>
            </w:r>
          </w:p>
        </w:tc>
        <w:tc>
          <w:tcPr>
            <w:tcW w:w="717" w:type="dxa"/>
            <w:noWrap w:val="0"/>
            <w:vAlign w:val="center"/>
          </w:tcPr>
          <w:p w14:paraId="68211333">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单位</w:t>
            </w:r>
          </w:p>
        </w:tc>
        <w:tc>
          <w:tcPr>
            <w:tcW w:w="730" w:type="dxa"/>
            <w:noWrap w:val="0"/>
            <w:vAlign w:val="center"/>
          </w:tcPr>
          <w:p w14:paraId="4EC0C578">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数量</w:t>
            </w:r>
          </w:p>
        </w:tc>
        <w:tc>
          <w:tcPr>
            <w:tcW w:w="1060" w:type="dxa"/>
            <w:noWrap w:val="0"/>
            <w:vAlign w:val="center"/>
          </w:tcPr>
          <w:p w14:paraId="35FC5682">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单价（元）</w:t>
            </w:r>
          </w:p>
        </w:tc>
        <w:tc>
          <w:tcPr>
            <w:tcW w:w="1461" w:type="dxa"/>
            <w:noWrap w:val="0"/>
            <w:vAlign w:val="center"/>
          </w:tcPr>
          <w:p w14:paraId="3FB28F77">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649" w:type="dxa"/>
            <w:noWrap w:val="0"/>
            <w:vAlign w:val="top"/>
          </w:tcPr>
          <w:p w14:paraId="4033781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81" w:type="dxa"/>
            <w:noWrap w:val="0"/>
            <w:vAlign w:val="top"/>
          </w:tcPr>
          <w:p w14:paraId="2A030D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531" w:type="dxa"/>
            <w:noWrap w:val="0"/>
            <w:vAlign w:val="top"/>
          </w:tcPr>
          <w:p w14:paraId="0A77671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17" w:type="dxa"/>
            <w:noWrap w:val="0"/>
            <w:vAlign w:val="top"/>
          </w:tcPr>
          <w:p w14:paraId="157A6FA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30" w:type="dxa"/>
            <w:noWrap w:val="0"/>
            <w:vAlign w:val="top"/>
          </w:tcPr>
          <w:p w14:paraId="1876E6A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060" w:type="dxa"/>
            <w:noWrap w:val="0"/>
            <w:vAlign w:val="top"/>
          </w:tcPr>
          <w:p w14:paraId="52A00F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61" w:type="dxa"/>
            <w:noWrap w:val="0"/>
            <w:vAlign w:val="top"/>
          </w:tcPr>
          <w:p w14:paraId="7043B0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649" w:type="dxa"/>
            <w:noWrap w:val="0"/>
            <w:vAlign w:val="top"/>
          </w:tcPr>
          <w:p w14:paraId="4C30AA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81" w:type="dxa"/>
            <w:noWrap w:val="0"/>
            <w:vAlign w:val="top"/>
          </w:tcPr>
          <w:p w14:paraId="0FA1160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531" w:type="dxa"/>
            <w:noWrap w:val="0"/>
            <w:vAlign w:val="top"/>
          </w:tcPr>
          <w:p w14:paraId="7DEE1C4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17" w:type="dxa"/>
            <w:noWrap w:val="0"/>
            <w:vAlign w:val="top"/>
          </w:tcPr>
          <w:p w14:paraId="37FEAC0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30" w:type="dxa"/>
            <w:noWrap w:val="0"/>
            <w:vAlign w:val="top"/>
          </w:tcPr>
          <w:p w14:paraId="21F949A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060" w:type="dxa"/>
            <w:noWrap w:val="0"/>
            <w:vAlign w:val="top"/>
          </w:tcPr>
          <w:p w14:paraId="6E5DFD0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61" w:type="dxa"/>
            <w:noWrap w:val="0"/>
            <w:vAlign w:val="top"/>
          </w:tcPr>
          <w:p w14:paraId="221E60F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649" w:type="dxa"/>
            <w:noWrap w:val="0"/>
            <w:vAlign w:val="top"/>
          </w:tcPr>
          <w:p w14:paraId="17A330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81" w:type="dxa"/>
            <w:noWrap w:val="0"/>
            <w:vAlign w:val="top"/>
          </w:tcPr>
          <w:p w14:paraId="5BFAFF5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531" w:type="dxa"/>
            <w:noWrap w:val="0"/>
            <w:vAlign w:val="top"/>
          </w:tcPr>
          <w:p w14:paraId="38F7A3B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17" w:type="dxa"/>
            <w:noWrap w:val="0"/>
            <w:vAlign w:val="top"/>
          </w:tcPr>
          <w:p w14:paraId="0316669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730" w:type="dxa"/>
            <w:noWrap w:val="0"/>
            <w:vAlign w:val="top"/>
          </w:tcPr>
          <w:p w14:paraId="6127EF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060" w:type="dxa"/>
            <w:noWrap w:val="0"/>
            <w:vAlign w:val="top"/>
          </w:tcPr>
          <w:p w14:paraId="3E1E7F8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c>
          <w:tcPr>
            <w:tcW w:w="1461" w:type="dxa"/>
            <w:noWrap w:val="0"/>
            <w:vAlign w:val="top"/>
          </w:tcPr>
          <w:p w14:paraId="388008F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合计</w:t>
            </w:r>
          </w:p>
        </w:tc>
        <w:tc>
          <w:tcPr>
            <w:tcW w:w="3459" w:type="dxa"/>
            <w:gridSpan w:val="4"/>
            <w:noWrap w:val="0"/>
            <w:vAlign w:val="center"/>
          </w:tcPr>
          <w:p w14:paraId="4B4D81C3">
            <w:pPr>
              <w:autoSpaceDE w:val="0"/>
              <w:autoSpaceDN w:val="0"/>
              <w:adjustRightInd w:val="0"/>
              <w:snapToGrid w:val="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大写</w:t>
            </w:r>
          </w:p>
        </w:tc>
        <w:tc>
          <w:tcPr>
            <w:tcW w:w="2521" w:type="dxa"/>
            <w:gridSpan w:val="2"/>
            <w:noWrap w:val="0"/>
            <w:vAlign w:val="center"/>
          </w:tcPr>
          <w:p w14:paraId="090BD9EB">
            <w:pPr>
              <w:autoSpaceDE w:val="0"/>
              <w:autoSpaceDN w:val="0"/>
              <w:adjustRightInd w:val="0"/>
              <w:snapToGrid w:val="0"/>
              <w:ind w:firstLine="480" w:firstLineChars="200"/>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p>
        </w:tc>
      </w:tr>
    </w:tbl>
    <w:p w14:paraId="28C00B6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二、合同价款</w:t>
      </w:r>
    </w:p>
    <w:p w14:paraId="413538F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（一）合同价款为人民币（大写）</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11DDB6D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（二）合同价款包括但不限于</w:t>
      </w:r>
      <w:r>
        <w:rPr>
          <w:rFonts w:hint="eastAsia" w:ascii="仿宋" w:hAnsi="仿宋" w:eastAsia="仿宋" w:cs="仿宋"/>
          <w:color w:val="auto"/>
          <w:sz w:val="24"/>
          <w:szCs w:val="24"/>
          <w:highlight w:val="none"/>
          <w:lang w:val="zh-CN"/>
        </w:rPr>
        <w:t>产品供应费、运</w:t>
      </w:r>
      <w:r>
        <w:rPr>
          <w:rFonts w:hint="eastAsia" w:ascii="仿宋" w:hAnsi="仿宋" w:eastAsia="仿宋" w:cs="仿宋"/>
          <w:color w:val="auto"/>
          <w:sz w:val="24"/>
          <w:szCs w:val="24"/>
          <w:highlight w:val="none"/>
          <w:lang w:val="en-US" w:eastAsia="zh-CN"/>
        </w:rPr>
        <w:t>杂</w:t>
      </w:r>
      <w:r>
        <w:rPr>
          <w:rFonts w:hint="eastAsia" w:ascii="仿宋" w:hAnsi="仿宋" w:eastAsia="仿宋" w:cs="仿宋"/>
          <w:color w:val="auto"/>
          <w:sz w:val="24"/>
          <w:szCs w:val="24"/>
          <w:highlight w:val="none"/>
          <w:lang w:val="zh-CN"/>
        </w:rPr>
        <w:t>费、</w:t>
      </w:r>
      <w:r>
        <w:rPr>
          <w:rFonts w:hint="eastAsia" w:ascii="仿宋" w:hAnsi="仿宋" w:eastAsia="仿宋" w:cs="仿宋"/>
          <w:color w:val="auto"/>
          <w:sz w:val="24"/>
          <w:szCs w:val="24"/>
          <w:highlight w:val="none"/>
          <w:lang w:val="en-US" w:eastAsia="zh-CN"/>
        </w:rPr>
        <w:t>质检</w:t>
      </w:r>
      <w:r>
        <w:rPr>
          <w:rFonts w:hint="eastAsia" w:ascii="仿宋" w:hAnsi="仿宋" w:eastAsia="仿宋" w:cs="仿宋"/>
          <w:color w:val="auto"/>
          <w:sz w:val="24"/>
          <w:szCs w:val="24"/>
          <w:highlight w:val="none"/>
          <w:lang w:val="zh-CN"/>
        </w:rPr>
        <w:t>验收费、税金及其它相关的费用</w:t>
      </w:r>
      <w:r>
        <w:rPr>
          <w:rFonts w:hint="eastAsia" w:ascii="仿宋" w:hAnsi="仿宋" w:eastAsia="仿宋" w:cs="仿宋"/>
          <w:bCs/>
          <w:color w:val="auto"/>
          <w:sz w:val="24"/>
          <w:szCs w:val="24"/>
          <w:highlight w:val="none"/>
        </w:rPr>
        <w:t>。</w:t>
      </w:r>
    </w:p>
    <w:p w14:paraId="428DDED8">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（三）合同价款一次性包死，不受市场价格变化因素的影响。</w:t>
      </w:r>
    </w:p>
    <w:p w14:paraId="6BA27243">
      <w:pPr>
        <w:autoSpaceDE w:val="0"/>
        <w:autoSpaceDN w:val="0"/>
        <w:adjustRightIn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款项结算</w:t>
      </w:r>
    </w:p>
    <w:p w14:paraId="03C9F8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（一）付款方式：</w:t>
      </w:r>
    </w:p>
    <w:p w14:paraId="5B411EEA">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项目交付且由甲方确认合格并收到供应商开具的发票后，达到付款条件起30日，支付合同总金额的100.00%。</w:t>
      </w:r>
    </w:p>
    <w:p w14:paraId="4C31BD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（二）结算</w:t>
      </w:r>
      <w:r>
        <w:rPr>
          <w:rFonts w:hint="eastAsia" w:ascii="仿宋" w:hAnsi="仿宋" w:eastAsia="仿宋" w:cs="仿宋"/>
          <w:bCs/>
          <w:color w:val="auto"/>
          <w:sz w:val="24"/>
          <w:szCs w:val="24"/>
          <w:highlight w:val="none"/>
        </w:rPr>
        <w:t>方式：银行转账。</w:t>
      </w:r>
    </w:p>
    <w:p w14:paraId="15E52D2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w:t>
      </w:r>
      <w:r>
        <w:rPr>
          <w:rFonts w:hint="eastAsia" w:ascii="仿宋" w:hAnsi="仿宋" w:eastAsia="仿宋" w:cs="仿宋"/>
          <w:bCs/>
          <w:color w:val="auto"/>
          <w:sz w:val="24"/>
          <w:szCs w:val="24"/>
          <w:highlight w:val="none"/>
          <w:lang w:val="en-US" w:eastAsia="zh-CN"/>
        </w:rPr>
        <w:t>结算单位</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lang w:val="zh-CN"/>
        </w:rPr>
        <w:t>由</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zh-CN"/>
        </w:rPr>
        <w:t>负责结算，</w:t>
      </w:r>
      <w:r>
        <w:rPr>
          <w:rFonts w:hint="eastAsia" w:ascii="仿宋" w:hAnsi="仿宋" w:eastAsia="仿宋" w:cs="仿宋"/>
          <w:bCs/>
          <w:color w:val="auto"/>
          <w:sz w:val="24"/>
          <w:szCs w:val="24"/>
          <w:highlight w:val="none"/>
        </w:rPr>
        <w:t>乙方开具</w:t>
      </w:r>
      <w:r>
        <w:rPr>
          <w:rFonts w:hint="eastAsia" w:ascii="仿宋" w:hAnsi="仿宋" w:eastAsia="仿宋" w:cs="仿宋"/>
          <w:bCs/>
          <w:color w:val="auto"/>
          <w:sz w:val="24"/>
          <w:szCs w:val="24"/>
          <w:highlight w:val="none"/>
          <w:lang w:val="en-US" w:eastAsia="zh-CN"/>
        </w:rPr>
        <w:t>等</w:t>
      </w:r>
      <w:r>
        <w:rPr>
          <w:rFonts w:hint="eastAsia" w:ascii="仿宋" w:hAnsi="仿宋" w:eastAsia="仿宋" w:cs="仿宋"/>
          <w:bCs/>
          <w:color w:val="auto"/>
          <w:sz w:val="24"/>
          <w:szCs w:val="24"/>
          <w:highlight w:val="none"/>
        </w:rPr>
        <w:t>额发票给甲方。</w:t>
      </w:r>
    </w:p>
    <w:p w14:paraId="00A41548">
      <w:pPr>
        <w:autoSpaceDE w:val="0"/>
        <w:autoSpaceDN w:val="0"/>
        <w:adjustRightIn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交货条件</w:t>
      </w:r>
    </w:p>
    <w:p w14:paraId="34FD6A1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交货期</w:t>
      </w:r>
      <w:r>
        <w:rPr>
          <w:rFonts w:hint="eastAsia" w:ascii="仿宋" w:hAnsi="仿宋" w:eastAsia="仿宋" w:cs="仿宋"/>
          <w:bCs/>
          <w:color w:val="auto"/>
          <w:sz w:val="24"/>
          <w:szCs w:val="24"/>
          <w:highlight w:val="none"/>
        </w:rPr>
        <w:t>：自合同签订之日起 15日历天内完成所有产品的供货、安装、调试工作</w:t>
      </w:r>
      <w:r>
        <w:rPr>
          <w:rFonts w:hint="eastAsia" w:ascii="仿宋" w:hAnsi="仿宋" w:eastAsia="仿宋" w:cs="仿宋"/>
          <w:bCs/>
          <w:color w:val="auto"/>
          <w:sz w:val="24"/>
          <w:szCs w:val="24"/>
          <w:highlight w:val="none"/>
          <w:lang w:eastAsia="zh-CN"/>
        </w:rPr>
        <w:t>。</w:t>
      </w:r>
    </w:p>
    <w:p w14:paraId="1482F53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二</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val="en-US" w:eastAsia="zh-CN"/>
        </w:rPr>
        <w:t>甲方指定地点</w:t>
      </w:r>
      <w:r>
        <w:rPr>
          <w:rFonts w:hint="eastAsia" w:ascii="仿宋" w:hAnsi="仿宋" w:eastAsia="仿宋" w:cs="仿宋"/>
          <w:bCs/>
          <w:color w:val="auto"/>
          <w:sz w:val="24"/>
          <w:szCs w:val="24"/>
          <w:highlight w:val="none"/>
        </w:rPr>
        <w:t>。</w:t>
      </w:r>
    </w:p>
    <w:p w14:paraId="33247ED9">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五、技术标准、质量标准及其他要求</w:t>
      </w:r>
    </w:p>
    <w:p w14:paraId="7D8DB21F">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（一）所选材料必须保证质量可靠、进货渠道正规，服装面料、成衣符合国家、行业标准合格品要求。</w:t>
      </w:r>
    </w:p>
    <w:p w14:paraId="2C4D8564">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（二）所提供的产品符合国家现行标准和相应的技术规范，标准和技术规范应为合同签订之日为止最新公布发行的标准和技术规范。</w:t>
      </w:r>
    </w:p>
    <w:p w14:paraId="033D2E94">
      <w:pPr>
        <w:pStyle w:val="7"/>
        <w:spacing w:line="360" w:lineRule="auto"/>
        <w:ind w:firstLine="480" w:firstLineChars="200"/>
        <w:rPr>
          <w:rFonts w:ascii="仿宋" w:hAnsi="仿宋" w:eastAsia="仿宋" w:cs="仿宋"/>
          <w:color w:val="auto"/>
          <w:sz w:val="24"/>
          <w:highlight w:val="none"/>
        </w:rPr>
      </w:pPr>
      <w:r>
        <w:rPr>
          <w:rFonts w:hint="eastAsia" w:ascii="仿宋" w:hAnsi="仿宋" w:eastAsia="仿宋" w:cs="仿宋"/>
          <w:b w:val="0"/>
          <w:bCs/>
          <w:color w:val="auto"/>
          <w:sz w:val="24"/>
          <w:szCs w:val="24"/>
          <w:highlight w:val="none"/>
        </w:rPr>
        <w:t>（三）</w:t>
      </w:r>
      <w:r>
        <w:rPr>
          <w:rFonts w:hint="eastAsia" w:ascii="仿宋" w:hAnsi="仿宋" w:eastAsia="仿宋" w:cs="仿宋"/>
          <w:color w:val="auto"/>
          <w:sz w:val="24"/>
          <w:highlight w:val="none"/>
        </w:rPr>
        <w:t>质保期</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年，且不得低于产品生产商对产品保修期标准。</w:t>
      </w:r>
    </w:p>
    <w:p w14:paraId="08D2F49A">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（四）乙方提供的产品，若发生侵权而产生的一切后果，由乙方负责，甲方保留索赔权力。</w:t>
      </w:r>
    </w:p>
    <w:p w14:paraId="490658C8">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双方的权利和义务</w:t>
      </w:r>
    </w:p>
    <w:p w14:paraId="7E4FE7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（一）甲方的权利与义务</w:t>
      </w:r>
    </w:p>
    <w:p w14:paraId="4432449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积极配合乙方验收工作。</w:t>
      </w:r>
    </w:p>
    <w:p w14:paraId="3913289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组织使用单位严格按照</w:t>
      </w:r>
      <w:r>
        <w:rPr>
          <w:rFonts w:hint="eastAsia" w:ascii="仿宋" w:hAnsi="仿宋" w:eastAsia="仿宋" w:cs="仿宋"/>
          <w:bCs/>
          <w:color w:val="auto"/>
          <w:sz w:val="24"/>
          <w:szCs w:val="24"/>
          <w:highlight w:val="none"/>
          <w:lang w:val="en-US" w:eastAsia="zh-CN"/>
        </w:rPr>
        <w:t>招标</w:t>
      </w:r>
      <w:r>
        <w:rPr>
          <w:rFonts w:hint="eastAsia" w:ascii="仿宋" w:hAnsi="仿宋" w:eastAsia="仿宋" w:cs="仿宋"/>
          <w:bCs/>
          <w:color w:val="auto"/>
          <w:sz w:val="24"/>
          <w:szCs w:val="24"/>
          <w:highlight w:val="none"/>
          <w:lang w:eastAsia="zh-CN"/>
        </w:rPr>
        <w:t>文件</w:t>
      </w:r>
      <w:r>
        <w:rPr>
          <w:rFonts w:hint="eastAsia" w:ascii="仿宋" w:hAnsi="仿宋" w:eastAsia="仿宋" w:cs="仿宋"/>
          <w:bCs/>
          <w:color w:val="auto"/>
          <w:sz w:val="24"/>
          <w:szCs w:val="24"/>
          <w:highlight w:val="none"/>
        </w:rPr>
        <w:t>及</w:t>
      </w:r>
      <w:r>
        <w:rPr>
          <w:rFonts w:hint="eastAsia" w:ascii="仿宋" w:hAnsi="仿宋" w:eastAsia="仿宋" w:cs="仿宋"/>
          <w:bCs/>
          <w:color w:val="auto"/>
          <w:sz w:val="24"/>
          <w:szCs w:val="24"/>
          <w:highlight w:val="none"/>
          <w:lang w:val="en-US" w:eastAsia="zh-CN"/>
        </w:rPr>
        <w:t>响应文件</w:t>
      </w:r>
      <w:r>
        <w:rPr>
          <w:rFonts w:hint="eastAsia" w:ascii="仿宋" w:hAnsi="仿宋" w:eastAsia="仿宋" w:cs="仿宋"/>
          <w:bCs/>
          <w:color w:val="auto"/>
          <w:sz w:val="24"/>
          <w:szCs w:val="24"/>
          <w:highlight w:val="none"/>
        </w:rPr>
        <w:t>要求和标准验收货物。</w:t>
      </w:r>
    </w:p>
    <w:p w14:paraId="67B07D1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（二）乙方的权利与义务</w:t>
      </w:r>
    </w:p>
    <w:p w14:paraId="47EE1C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负责产品的</w:t>
      </w:r>
      <w:r>
        <w:rPr>
          <w:rFonts w:hint="eastAsia" w:ascii="仿宋" w:hAnsi="仿宋" w:eastAsia="仿宋" w:cs="仿宋"/>
          <w:bCs/>
          <w:color w:val="auto"/>
          <w:sz w:val="24"/>
          <w:szCs w:val="24"/>
          <w:highlight w:val="none"/>
          <w:lang w:val="en-US" w:eastAsia="zh-CN"/>
        </w:rPr>
        <w:t>供应、</w:t>
      </w:r>
      <w:r>
        <w:rPr>
          <w:rFonts w:hint="eastAsia" w:ascii="仿宋" w:hAnsi="仿宋" w:eastAsia="仿宋" w:cs="仿宋"/>
          <w:bCs/>
          <w:color w:val="auto"/>
          <w:sz w:val="24"/>
          <w:szCs w:val="24"/>
          <w:highlight w:val="none"/>
        </w:rPr>
        <w:t>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4</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按照合同约定要求甲方及时付款。</w:t>
      </w:r>
    </w:p>
    <w:p w14:paraId="27D85106">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七</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val="en-US" w:eastAsia="zh-CN"/>
        </w:rPr>
        <w:t>运输</w:t>
      </w:r>
    </w:p>
    <w:p w14:paraId="12EEAEB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八</w:t>
      </w:r>
      <w:r>
        <w:rPr>
          <w:rFonts w:hint="eastAsia" w:ascii="仿宋" w:hAnsi="仿宋" w:eastAsia="仿宋" w:cs="仿宋"/>
          <w:b/>
          <w:bCs w:val="0"/>
          <w:color w:val="auto"/>
          <w:sz w:val="24"/>
          <w:szCs w:val="24"/>
          <w:highlight w:val="none"/>
        </w:rPr>
        <w:t>、</w:t>
      </w:r>
      <w:r>
        <w:rPr>
          <w:rFonts w:hint="eastAsia" w:ascii="仿宋" w:hAnsi="仿宋" w:eastAsia="仿宋" w:cs="仿宋"/>
          <w:b/>
          <w:bCs w:val="0"/>
          <w:color w:val="auto"/>
          <w:sz w:val="24"/>
          <w:szCs w:val="24"/>
          <w:highlight w:val="none"/>
          <w:lang w:val="en-US" w:eastAsia="zh-CN"/>
        </w:rPr>
        <w:t>验收</w:t>
      </w:r>
    </w:p>
    <w:p w14:paraId="76945CC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（一）本项目验收费用，由乙方自行承担。</w:t>
      </w:r>
    </w:p>
    <w:p w14:paraId="64290FF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（四）验收依据：</w:t>
      </w:r>
    </w:p>
    <w:p w14:paraId="2E9AC9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本合同及附加文本；</w:t>
      </w:r>
    </w:p>
    <w:p w14:paraId="79132C7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投标文件</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成交供应商</w:t>
      </w:r>
      <w:r>
        <w:rPr>
          <w:rFonts w:hint="eastAsia" w:ascii="仿宋" w:hAnsi="仿宋" w:eastAsia="仿宋" w:cs="仿宋"/>
          <w:bCs/>
          <w:color w:val="auto"/>
          <w:sz w:val="24"/>
          <w:szCs w:val="24"/>
          <w:highlight w:val="none"/>
        </w:rPr>
        <w:t>的</w:t>
      </w:r>
      <w:r>
        <w:rPr>
          <w:rFonts w:hint="eastAsia" w:ascii="仿宋" w:hAnsi="仿宋" w:eastAsia="仿宋" w:cs="仿宋"/>
          <w:bCs/>
          <w:color w:val="auto"/>
          <w:sz w:val="24"/>
          <w:szCs w:val="24"/>
          <w:highlight w:val="none"/>
          <w:lang w:val="en-US" w:eastAsia="zh-CN"/>
        </w:rPr>
        <w:t>响应文件</w:t>
      </w:r>
      <w:r>
        <w:rPr>
          <w:rFonts w:hint="eastAsia" w:ascii="仿宋" w:hAnsi="仿宋" w:eastAsia="仿宋" w:cs="仿宋"/>
          <w:bCs/>
          <w:color w:val="auto"/>
          <w:sz w:val="24"/>
          <w:szCs w:val="24"/>
          <w:highlight w:val="none"/>
        </w:rPr>
        <w:t>及澄清（承诺）函；</w:t>
      </w:r>
    </w:p>
    <w:p w14:paraId="1FB5F6AE">
      <w:pPr>
        <w:autoSpaceDE w:val="0"/>
        <w:autoSpaceDN w:val="0"/>
        <w:adjustRightInd w:val="0"/>
        <w:snapToGri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Cs/>
          <w:color w:val="auto"/>
          <w:sz w:val="24"/>
          <w:szCs w:val="24"/>
          <w:highlight w:val="none"/>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国家相应的标准、规范。</w:t>
      </w:r>
    </w:p>
    <w:p w14:paraId="2CD80BB0">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九</w:t>
      </w:r>
      <w:r>
        <w:rPr>
          <w:rFonts w:hint="eastAsia" w:ascii="仿宋" w:hAnsi="仿宋" w:eastAsia="仿宋" w:cs="仿宋"/>
          <w:b/>
          <w:bCs/>
          <w:color w:val="auto"/>
          <w:sz w:val="24"/>
          <w:szCs w:val="24"/>
          <w:highlight w:val="none"/>
        </w:rPr>
        <w:t>、违约责任</w:t>
      </w:r>
    </w:p>
    <w:p w14:paraId="30632D9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w:t>
      </w:r>
      <w:r>
        <w:rPr>
          <w:rFonts w:hint="eastAsia" w:ascii="仿宋" w:hAnsi="仿宋" w:eastAsia="仿宋" w:cs="仿宋"/>
          <w:bCs/>
          <w:color w:val="auto"/>
          <w:sz w:val="24"/>
          <w:szCs w:val="24"/>
          <w:highlight w:val="none"/>
          <w:lang w:val="en-US" w:eastAsia="zh-CN"/>
        </w:rPr>
        <w:t>未按合同要求提供服务或服务质量不能满足合同要求，甲方有权依据《</w:t>
      </w:r>
      <w:r>
        <w:rPr>
          <w:rFonts w:hint="eastAsia" w:ascii="仿宋" w:hAnsi="仿宋" w:eastAsia="仿宋" w:cs="仿宋"/>
          <w:bCs/>
          <w:color w:val="auto"/>
          <w:sz w:val="24"/>
          <w:szCs w:val="24"/>
          <w:highlight w:val="none"/>
        </w:rPr>
        <w:t>中华人民共和国民法典</w:t>
      </w:r>
      <w:r>
        <w:rPr>
          <w:rFonts w:hint="eastAsia" w:ascii="仿宋" w:hAnsi="仿宋" w:eastAsia="仿宋" w:cs="仿宋"/>
          <w:bCs/>
          <w:color w:val="auto"/>
          <w:sz w:val="24"/>
          <w:szCs w:val="24"/>
          <w:highlight w:val="none"/>
          <w:lang w:val="en-US" w:eastAsia="zh-CN"/>
        </w:rPr>
        <w:t>》有关条款及合同约定终止合同，并要求乙方承担违约责任。</w:t>
      </w:r>
    </w:p>
    <w:p w14:paraId="3B05831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w:t>
      </w:r>
      <w:r>
        <w:rPr>
          <w:rFonts w:hint="eastAsia" w:ascii="仿宋" w:hAnsi="仿宋" w:eastAsia="仿宋" w:cs="仿宋"/>
          <w:bCs/>
          <w:color w:val="auto"/>
          <w:sz w:val="24"/>
          <w:szCs w:val="24"/>
          <w:highlight w:val="none"/>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仿宋" w:hAnsi="仿宋" w:eastAsia="仿宋" w:cs="仿宋"/>
          <w:bCs/>
          <w:color w:val="auto"/>
          <w:sz w:val="24"/>
          <w:szCs w:val="24"/>
          <w:highlight w:val="none"/>
        </w:rPr>
        <w:t>。</w:t>
      </w:r>
    </w:p>
    <w:p w14:paraId="4389FB6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四</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0E89C1B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五</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151F08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六</w:t>
      </w:r>
      <w:r>
        <w:rPr>
          <w:rFonts w:hint="eastAsia" w:ascii="仿宋" w:hAnsi="仿宋" w:eastAsia="仿宋" w:cs="仿宋"/>
          <w:bCs/>
          <w:color w:val="auto"/>
          <w:sz w:val="24"/>
          <w:szCs w:val="24"/>
          <w:highlight w:val="none"/>
        </w:rPr>
        <w:t>）任何一方因不可抗力原因不能履行协议时，应尽快通知对方，双方均设法补偿。如仍无法履约协议，可协商延缓或撤销协议，双方责任免除。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十、合同争议解决的方式</w:t>
      </w:r>
    </w:p>
    <w:p w14:paraId="090E00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（一）本合同在履行过程中发生的争议，由甲、乙双方当事人协商解决，协商不成的按下列第</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种方式解决：</w:t>
      </w:r>
    </w:p>
    <w:p w14:paraId="2A09EBB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提交西安市仲裁委员会仲裁；</w:t>
      </w:r>
    </w:p>
    <w:p w14:paraId="3ABD08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依法向甲方所在地人民法院起诉。</w:t>
      </w:r>
    </w:p>
    <w:p w14:paraId="40B9D4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w:t>
      </w: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bCs/>
          <w:color w:val="auto"/>
          <w:sz w:val="24"/>
          <w:szCs w:val="24"/>
          <w:highlight w:val="none"/>
        </w:rPr>
        <w:t>、合同生效</w:t>
      </w:r>
    </w:p>
    <w:p w14:paraId="0DDF42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份，甲乙双方各执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031EF79E">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（四）本合同如有未尽事宜，甲、乙双方协商解决。</w:t>
      </w:r>
    </w:p>
    <w:p w14:paraId="5AC04E29">
      <w:pPr>
        <w:rPr>
          <w:rFonts w:hint="eastAsia" w:ascii="仿宋" w:hAnsi="仿宋" w:eastAsia="仿宋" w:cs="仿宋"/>
          <w:color w:val="auto"/>
          <w:sz w:val="24"/>
          <w:szCs w:val="24"/>
          <w:highlight w:val="none"/>
          <w:lang w:val="en-US" w:eastAsia="zh-CN"/>
        </w:rPr>
      </w:pPr>
    </w:p>
    <w:p w14:paraId="325327C7">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46386224">
      <w:pPr>
        <w:rPr>
          <w:rFonts w:hint="eastAsia" w:ascii="仿宋" w:hAnsi="仿宋" w:eastAsia="仿宋" w:cs="仿宋"/>
          <w:color w:val="auto"/>
          <w:highlight w:val="none"/>
          <w:lang w:val="en-US" w:eastAsia="zh-CN"/>
        </w:rPr>
      </w:pPr>
    </w:p>
    <w:tbl>
      <w:tblPr>
        <w:tblStyle w:val="9"/>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0"/>
            <w:vAlign w:val="center"/>
          </w:tcPr>
          <w:p w14:paraId="26E60690">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both"/>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0"/>
            <w:vAlign w:val="center"/>
          </w:tcPr>
          <w:p w14:paraId="6744793F">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0"/>
            <w:vAlign w:val="center"/>
          </w:tcPr>
          <w:p w14:paraId="6D5DA718">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0"/>
            <w:vAlign w:val="center"/>
          </w:tcPr>
          <w:p w14:paraId="6AA5548C">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法定代表人： </w:t>
            </w:r>
          </w:p>
        </w:tc>
        <w:tc>
          <w:tcPr>
            <w:tcW w:w="4202" w:type="dxa"/>
            <w:noWrap w:val="0"/>
            <w:vAlign w:val="center"/>
          </w:tcPr>
          <w:p w14:paraId="06000618">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c>
          <w:tcPr>
            <w:tcW w:w="4202" w:type="dxa"/>
            <w:noWrap w:val="0"/>
            <w:vAlign w:val="center"/>
          </w:tcPr>
          <w:p w14:paraId="550229EE">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0"/>
            <w:vAlign w:val="center"/>
          </w:tcPr>
          <w:p w14:paraId="0651BE80">
            <w:pPr>
              <w:autoSpaceDE w:val="0"/>
              <w:autoSpaceDN w:val="0"/>
              <w:adjustRightInd w:val="0"/>
              <w:ind w:left="84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0"/>
            <w:vAlign w:val="center"/>
          </w:tcPr>
          <w:p w14:paraId="5F2AEC41">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0"/>
            <w:vAlign w:val="center"/>
          </w:tcPr>
          <w:p w14:paraId="6EAE380B">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0"/>
            <w:vAlign w:val="center"/>
          </w:tcPr>
          <w:p w14:paraId="66A9B5BD">
            <w:pPr>
              <w:autoSpaceDE w:val="0"/>
              <w:autoSpaceDN w:val="0"/>
              <w:adjustRightInd w:val="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042EF480">
      <w:pPr>
        <w:pStyle w:val="12"/>
        <w:rPr>
          <w:rFonts w:hint="eastAsia" w:ascii="仿宋" w:hAnsi="仿宋" w:eastAsia="仿宋" w:cs="仿宋"/>
          <w:highlight w:val="none"/>
          <w:lang w:val="en-US" w:eastAsia="zh-Hans"/>
        </w:rPr>
      </w:pPr>
    </w:p>
    <w:p w14:paraId="1E2F0545"/>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odoni MT">
    <w:panose1 w:val="02070603080606020203"/>
    <w:charset w:val="00"/>
    <w:family w:val="roman"/>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BAEF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C69829">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C69829">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232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Bodoni MT" w:hAnsi="Bodoni MT"/>
      <w:szCs w:val="24"/>
    </w:rPr>
  </w:style>
  <w:style w:type="paragraph" w:styleId="5">
    <w:name w:val="Body Text Indent"/>
    <w:basedOn w:val="1"/>
    <w:next w:val="1"/>
    <w:qFormat/>
    <w:uiPriority w:val="0"/>
    <w:pPr>
      <w:adjustRightInd w:val="0"/>
      <w:spacing w:line="360" w:lineRule="auto"/>
      <w:ind w:left="600"/>
      <w:textAlignment w:val="baseline"/>
    </w:pPr>
    <w:rPr>
      <w:rFonts w:ascii="宋体"/>
      <w:kern w:val="0"/>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qFormat/>
    <w:uiPriority w:val="0"/>
    <w:pPr>
      <w:ind w:firstLine="420" w:firstLineChars="100"/>
    </w:pPr>
  </w:style>
  <w:style w:type="paragraph" w:styleId="8">
    <w:name w:val="Body Text First Indent 2"/>
    <w:basedOn w:val="5"/>
    <w:next w:val="1"/>
    <w:qFormat/>
    <w:uiPriority w:val="99"/>
    <w:pPr>
      <w:spacing w:after="120"/>
      <w:ind w:left="420" w:leftChars="200" w:right="0" w:rightChars="0" w:firstLine="420" w:firstLineChars="200"/>
    </w:pPr>
    <w:rPr>
      <w:rFonts w:ascii="Times New Roman" w:hAnsi="Times New Roman"/>
      <w:sz w:val="21"/>
      <w:szCs w:val="24"/>
    </w:rPr>
  </w:style>
  <w:style w:type="character" w:customStyle="1" w:styleId="11">
    <w:name w:val="标题 1 Char"/>
    <w:link w:val="3"/>
    <w:qFormat/>
    <w:uiPriority w:val="0"/>
    <w:rPr>
      <w:rFonts w:hint="eastAsia" w:ascii="宋体" w:hAnsi="宋体" w:eastAsia="宋体" w:cs="宋体"/>
      <w:b/>
      <w:bCs/>
      <w:kern w:val="44"/>
      <w:sz w:val="48"/>
      <w:szCs w:val="48"/>
      <w:lang w:val="en-US" w:eastAsia="zh-CN" w:bidi="ar"/>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2026-07-29T13:11:02Z</dcterms:created>
  <dc:creator>27981</dc:creator>
  <cp:lastModifiedBy>doit</cp:lastModifiedBy>
  <dcterms:modified xsi:type="dcterms:W3CDTF">2026-07-29T13:12:28Z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eyJoZGlkIjoiNjliYTIzN2IxMmY2NTJlYTMwMmVjM2MyZTQ3ZjgxYTEiLCJ1c2VySWQiOiI1NDQyNTk1OTUifQ==</vt:lpwstr>
  </property>
  <property fmtid="{D5CDD505-2E9C-101B-9397-08002B2CF9AE}" pid="4" name="ICV">
    <vt:lpwstr>DC03260261834A3E9A572AF49F5B359F_12</vt:lpwstr>
  </property>
</Properties>
</file>