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版本号：HYRZ-2026-01220260623001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陕西省汉中市勉县2026年国家重点保护野生动物危害监测防控项目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HYRZ-2026-012</w:t>
      </w:r>
      <w:r>
        <w:br/>
      </w:r>
      <w:r>
        <w:br/>
      </w:r>
      <w:r>
        <w:br/>
      </w:r>
    </w:p>
    <w:p>
      <w:pPr>
        <w:pStyle w:val="null3"/>
        <w:jc w:val="center"/>
        <w:outlineLvl w:val="2"/>
      </w:pPr>
      <w:r>
        <w:rPr>
          <w:rFonts w:ascii="仿宋_GB2312" w:hAnsi="仿宋_GB2312" w:cs="仿宋_GB2312" w:eastAsia="仿宋_GB2312"/>
          <w:sz w:val="28"/>
          <w:b/>
        </w:rPr>
        <w:t>勉县湿地保护管理中心（勉县野生动植物保护管理站）</w:t>
      </w:r>
    </w:p>
    <w:p>
      <w:pPr>
        <w:pStyle w:val="null3"/>
        <w:jc w:val="center"/>
        <w:outlineLvl w:val="2"/>
      </w:pPr>
      <w:r>
        <w:rPr>
          <w:rFonts w:ascii="仿宋_GB2312" w:hAnsi="仿宋_GB2312" w:cs="仿宋_GB2312" w:eastAsia="仿宋_GB2312"/>
          <w:sz w:val="28"/>
          <w:b/>
        </w:rPr>
        <w:t>陕西鸿运锐志项目管理有限公司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陕西鸿运锐志项目管理有限公司</w:t>
      </w:r>
      <w:r>
        <w:rPr>
          <w:rFonts w:ascii="仿宋_GB2312" w:hAnsi="仿宋_GB2312" w:cs="仿宋_GB2312" w:eastAsia="仿宋_GB2312"/>
        </w:rPr>
        <w:t>（以下简称“代理机构”）受</w:t>
      </w:r>
      <w:r>
        <w:rPr>
          <w:rFonts w:ascii="仿宋_GB2312" w:hAnsi="仿宋_GB2312" w:cs="仿宋_GB2312" w:eastAsia="仿宋_GB2312"/>
        </w:rPr>
        <w:t>勉县湿地保护管理中心（勉县野生动植物保护管理站）</w:t>
      </w:r>
      <w:r>
        <w:rPr>
          <w:rFonts w:ascii="仿宋_GB2312" w:hAnsi="仿宋_GB2312" w:cs="仿宋_GB2312" w:eastAsia="仿宋_GB2312"/>
        </w:rPr>
        <w:t>委托，拟对</w:t>
      </w:r>
      <w:r>
        <w:rPr>
          <w:rFonts w:ascii="仿宋_GB2312" w:hAnsi="仿宋_GB2312" w:cs="仿宋_GB2312" w:eastAsia="仿宋_GB2312"/>
        </w:rPr>
        <w:t>陕西省汉中市勉县2026年国家重点保护野生动物危害监测防控项目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HYRZ-2026-012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陕西省汉中市勉县2026年国家重点保护野生动物危害监测防控项目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勉县总面积2386平方公里，辖17个镇、1个街道、202个村(社区)。勉县生态环境持续向好，野生动物资源日益丰富，但野猪种群数量增长过快，已超出环境承载容量，导致损毁农作物、威胁群众人身安全的事件频发。为深入贯彻落实《中华人民共和国野生动物保护法》关于“预防、控制野生动物可能造成的危害”的规定，切实保障人民群众生命财产安全和农业生产安全，维护生态平衡，根据各镇(街道)反馈及野生动物致害理赔数据，计划在全县范围内对野猪种群实施科学调控400头；猎获物无害化处理率达到100%，确保生物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采购包1（陕西省汉中市勉县2026年国家重点保护野生动物危害监测防控项目）：属于专门面向中小企业采购。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2、法定代表人或被授权委托代理人身份：法定代表人授权委托书（附法定代表人身份证复印件）及被授权委托人身份证（法定代表人参加投标只须提供法定代表人身份证）；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4、本项目不接受联合体磋商：本项目不接受联合体磋商（提供非联合体声明）。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勉县湿地保护管理中心（勉县野生动植物保护管理站）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陕西省汉中市勉县天荡山路45号林业局院内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勉县湿地保护管理中心经办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0916-3224046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陕西鸿运锐志项目管理有限公司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陕西省汉中市汉台区东关街道办事处盛世国际2号写字楼808室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0916-2616812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开户名称：陕西鸿运锐志项目管理有限公司</w:t>
            </w:r>
          </w:p>
          <w:p>
            <w:pPr>
              <w:pStyle w:val="null3"/>
            </w:pPr>
            <w:r>
              <w:rPr>
                <w:rFonts w:ascii="仿宋_GB2312" w:hAnsi="仿宋_GB2312" w:cs="仿宋_GB2312" w:eastAsia="仿宋_GB2312"/>
              </w:rPr>
              <w:t>开户银行：中国农业银行陕西省汉中石马路分理处</w:t>
            </w:r>
          </w:p>
          <w:p>
            <w:pPr>
              <w:pStyle w:val="null3"/>
            </w:pPr>
            <w:r>
              <w:rPr>
                <w:rFonts w:ascii="仿宋_GB2312" w:hAnsi="仿宋_GB2312" w:cs="仿宋_GB2312" w:eastAsia="仿宋_GB2312"/>
              </w:rPr>
              <w:t>银行账号：26650301040003480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照成交价，采购代理机构按照国家计委关于印发《招标代理服务收费管理暂行办法》的通知（计价格〔2002〕1980号）和《国家发展和改革委员会办公厅关于招标代理服务收费有关问题的通知》（发改办价格〔2003〕857号）文件的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勉县湿地保护管理中心（勉县野生动植物保护管理站）</w:t>
      </w:r>
      <w:r>
        <w:rPr>
          <w:rFonts w:ascii="仿宋_GB2312" w:hAnsi="仿宋_GB2312" w:cs="仿宋_GB2312" w:eastAsia="仿宋_GB2312"/>
        </w:rPr>
        <w:t>和</w:t>
      </w:r>
      <w:r>
        <w:rPr>
          <w:rFonts w:ascii="仿宋_GB2312" w:hAnsi="仿宋_GB2312" w:cs="仿宋_GB2312" w:eastAsia="仿宋_GB2312"/>
        </w:rPr>
        <w:t>陕西鸿运锐志项目管理有限公司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勉县湿地保护管理中心（勉县野生动植物保护管理站）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陕西鸿运锐志项目管理有限公司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勉县湿地保护管理中心（勉县野生动植物保护管理站）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陕西鸿运锐志项目管理有限公司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陕西鸿运锐志项目管理有限公司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陕西鸿运锐志项目管理有限公司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陕西鸿运锐志项目管理有限公司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联系人：郭先生</w:t>
      </w:r>
    </w:p>
    <w:p>
      <w:pPr>
        <w:pStyle w:val="null3"/>
      </w:pPr>
      <w:r>
        <w:rPr>
          <w:rFonts w:ascii="仿宋_GB2312" w:hAnsi="仿宋_GB2312" w:cs="仿宋_GB2312" w:eastAsia="仿宋_GB2312"/>
        </w:rPr>
        <w:t>联系电话：0916-2616812</w:t>
      </w:r>
    </w:p>
    <w:p>
      <w:pPr>
        <w:pStyle w:val="null3"/>
      </w:pPr>
      <w:r>
        <w:rPr>
          <w:rFonts w:ascii="仿宋_GB2312" w:hAnsi="仿宋_GB2312" w:cs="仿宋_GB2312" w:eastAsia="仿宋_GB2312"/>
        </w:rPr>
        <w:t>地址：陕西省汉中市汉台区东关街道办事处盛世国际2号写字楼808室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勉县总面积2386平方公里，辖17个镇、1个街道、202个村(社区)。勉县生态环境持续向好，野生动物资源日益丰富，但野猪种群数量增长过快，已超出环境承载容量，导致损毁农作物、威胁群众人身安全的事件频发。为深入贯彻落实《中华人民共和国野生动物保护法》关于“预防、控制野生动物可能造成的危害”的规定，切实保障人民群众生命财产安全和农业生产安全，维护生态平衡，根据各镇(街道)反馈及野生动物致害理赔数据，计划在全县范围内对野猪种群实施科学调控400头；猎获物无害化处理率达到100%，确保生物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野生动物危害监测防控</w:t>
            </w:r>
          </w:p>
        </w:tc>
        <w:tc>
          <w:tcPr>
            <w:tcW w:type="dxa" w:w="755"/>
          </w:tcPr>
          <w:p>
            <w:pPr>
              <w:pStyle w:val="null3"/>
              <w:jc w:val="right"/>
            </w:pPr>
            <w:r>
              <w:rPr>
                <w:rFonts w:ascii="仿宋_GB2312" w:hAnsi="仿宋_GB2312" w:cs="仿宋_GB2312" w:eastAsia="仿宋_GB2312"/>
              </w:rPr>
              <w:t>400.00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头</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标的名称：野生动物危害监测防控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猎捕方式及种类。本次猎捕的对象为野猪，通过无人机热成像技术及诱捕的方式寻找目标，确定目标后以人工捕杀</w:t>
            </w:r>
            <w:r>
              <w:rPr>
                <w:rFonts w:ascii="仿宋_GB2312" w:hAnsi="仿宋_GB2312" w:cs="仿宋_GB2312" w:eastAsia="仿宋_GB2312"/>
                <w:sz w:val="21"/>
              </w:rPr>
              <w:t>+</w:t>
            </w:r>
            <w:r>
              <w:rPr>
                <w:rFonts w:ascii="仿宋_GB2312" w:hAnsi="仿宋_GB2312" w:cs="仿宋_GB2312" w:eastAsia="仿宋_GB2312"/>
                <w:sz w:val="21"/>
              </w:rPr>
              <w:t>猎狗围猎的方式对野猪进行精准猎杀。在不具备猎狗围猎条件的前提下，有人、家畜、其他野生动物出现在狩猎点，采取人工围猎的方式，避免出现误杀、错杀现象。县林业局专人全程现场监督指导。</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无害化处理方案。对狩猎的野猪选择焚烧深埋法，根据实际情况、条件、猎获物数量和场地设施等情况，分期分批实施。严格按照无害化处理技术规范进行处置，最大程度减少风险隐患，确保卫生安全。在处理过程中，应防止病原扩散，涉及运输、装卸等环节要避免洒漏，对运输装卸工具要彻底消毒，严防危害自然生态。</w:t>
            </w:r>
          </w:p>
          <w:p>
            <w:pPr>
              <w:pStyle w:val="null3"/>
            </w:pPr>
            <w:r>
              <w:rPr>
                <w:rFonts w:ascii="仿宋_GB2312" w:hAnsi="仿宋_GB2312" w:cs="仿宋_GB2312" w:eastAsia="仿宋_GB2312"/>
                <w:sz w:val="21"/>
              </w:rPr>
              <w:t>要求</w:t>
            </w:r>
            <w:r>
              <w:rPr>
                <w:rFonts w:ascii="仿宋_GB2312" w:hAnsi="仿宋_GB2312" w:cs="仿宋_GB2312" w:eastAsia="仿宋_GB2312"/>
                <w:sz w:val="21"/>
              </w:rPr>
              <w:t>:</w:t>
            </w:r>
            <w:r>
              <w:rPr>
                <w:rFonts w:ascii="仿宋_GB2312" w:hAnsi="仿宋_GB2312" w:cs="仿宋_GB2312" w:eastAsia="仿宋_GB2312"/>
                <w:sz w:val="21"/>
              </w:rPr>
              <w:t>选择具备焚烧条件的地方实施，确保达到环境标准和要求</w:t>
            </w:r>
            <w:r>
              <w:rPr>
                <w:rFonts w:ascii="仿宋_GB2312" w:hAnsi="仿宋_GB2312" w:cs="仿宋_GB2312" w:eastAsia="仿宋_GB2312"/>
                <w:sz w:val="21"/>
              </w:rPr>
              <w:t>;</w:t>
            </w:r>
            <w:r>
              <w:rPr>
                <w:rFonts w:ascii="仿宋_GB2312" w:hAnsi="仿宋_GB2312" w:cs="仿宋_GB2312" w:eastAsia="仿宋_GB2312"/>
                <w:sz w:val="21"/>
              </w:rPr>
              <w:t>对于无法到具备焚烧条件的地方，用交通工具进行拉运，运输到离居民区</w:t>
            </w:r>
            <w:r>
              <w:rPr>
                <w:rFonts w:ascii="仿宋_GB2312" w:hAnsi="仿宋_GB2312" w:cs="仿宋_GB2312" w:eastAsia="仿宋_GB2312"/>
                <w:sz w:val="21"/>
              </w:rPr>
              <w:t>5</w:t>
            </w:r>
            <w:r>
              <w:rPr>
                <w:rFonts w:ascii="仿宋_GB2312" w:hAnsi="仿宋_GB2312" w:cs="仿宋_GB2312" w:eastAsia="仿宋_GB2312"/>
                <w:sz w:val="21"/>
              </w:rPr>
              <w:t>公里以上的地方进行焚烧。焚烧过程要全程做好人员防护和监控，并对焚烧残余物进行填埋处置。深埋地点要选择地势高燥，处于下风向的地点</w:t>
            </w:r>
            <w:r>
              <w:rPr>
                <w:rFonts w:ascii="仿宋_GB2312" w:hAnsi="仿宋_GB2312" w:cs="仿宋_GB2312" w:eastAsia="仿宋_GB2312"/>
                <w:sz w:val="21"/>
              </w:rPr>
              <w:t>;</w:t>
            </w:r>
            <w:r>
              <w:rPr>
                <w:rFonts w:ascii="仿宋_GB2312" w:hAnsi="仿宋_GB2312" w:cs="仿宋_GB2312" w:eastAsia="仿宋_GB2312"/>
                <w:sz w:val="21"/>
              </w:rPr>
              <w:t>应远离居民生产生活区、各类水源地、各类建设用地规划区域或线路、野生动物频繁活动区域等</w:t>
            </w:r>
            <w:r>
              <w:rPr>
                <w:rFonts w:ascii="仿宋_GB2312" w:hAnsi="仿宋_GB2312" w:cs="仿宋_GB2312" w:eastAsia="仿宋_GB2312"/>
                <w:sz w:val="21"/>
              </w:rPr>
              <w:t>;</w:t>
            </w:r>
            <w:r>
              <w:rPr>
                <w:rFonts w:ascii="仿宋_GB2312" w:hAnsi="仿宋_GB2312" w:cs="仿宋_GB2312" w:eastAsia="仿宋_GB2312"/>
                <w:sz w:val="21"/>
              </w:rPr>
              <w:t>深埋坑体容积以实际处理动物尸体及相关动物产品数量确定</w:t>
            </w:r>
            <w:r>
              <w:rPr>
                <w:rFonts w:ascii="仿宋_GB2312" w:hAnsi="仿宋_GB2312" w:cs="仿宋_GB2312" w:eastAsia="仿宋_GB2312"/>
                <w:sz w:val="21"/>
              </w:rPr>
              <w:t>;</w:t>
            </w:r>
            <w:r>
              <w:rPr>
                <w:rFonts w:ascii="仿宋_GB2312" w:hAnsi="仿宋_GB2312" w:cs="仿宋_GB2312" w:eastAsia="仿宋_GB2312"/>
                <w:sz w:val="21"/>
              </w:rPr>
              <w:t>深埋坑底应高出地下水位</w:t>
            </w:r>
            <w:r>
              <w:rPr>
                <w:rFonts w:ascii="仿宋_GB2312" w:hAnsi="仿宋_GB2312" w:cs="仿宋_GB2312" w:eastAsia="仿宋_GB2312"/>
                <w:sz w:val="21"/>
              </w:rPr>
              <w:t>1.5</w:t>
            </w:r>
            <w:r>
              <w:rPr>
                <w:rFonts w:ascii="仿宋_GB2312" w:hAnsi="仿宋_GB2312" w:cs="仿宋_GB2312" w:eastAsia="仿宋_GB2312"/>
                <w:sz w:val="21"/>
              </w:rPr>
              <w:t>米以上</w:t>
            </w:r>
            <w:r>
              <w:rPr>
                <w:rFonts w:ascii="仿宋_GB2312" w:hAnsi="仿宋_GB2312" w:cs="仿宋_GB2312" w:eastAsia="仿宋_GB2312"/>
                <w:sz w:val="21"/>
              </w:rPr>
              <w:t>;</w:t>
            </w:r>
            <w:r>
              <w:rPr>
                <w:rFonts w:ascii="仿宋_GB2312" w:hAnsi="仿宋_GB2312" w:cs="仿宋_GB2312" w:eastAsia="仿宋_GB2312"/>
                <w:sz w:val="21"/>
              </w:rPr>
              <w:t>坑底洒一层厚度为</w:t>
            </w:r>
            <w:r>
              <w:rPr>
                <w:rFonts w:ascii="仿宋_GB2312" w:hAnsi="仿宋_GB2312" w:cs="仿宋_GB2312" w:eastAsia="仿宋_GB2312"/>
                <w:sz w:val="21"/>
              </w:rPr>
              <w:t>2-5</w:t>
            </w:r>
            <w:r>
              <w:rPr>
                <w:rFonts w:ascii="仿宋_GB2312" w:hAnsi="仿宋_GB2312" w:cs="仿宋_GB2312" w:eastAsia="仿宋_GB2312"/>
                <w:sz w:val="21"/>
              </w:rPr>
              <w:t>厘米的生石灰或漂白粉等消毒药</w:t>
            </w:r>
            <w:r>
              <w:rPr>
                <w:rFonts w:ascii="仿宋_GB2312" w:hAnsi="仿宋_GB2312" w:cs="仿宋_GB2312" w:eastAsia="仿宋_GB2312"/>
                <w:sz w:val="21"/>
              </w:rPr>
              <w:t>;</w:t>
            </w:r>
            <w:r>
              <w:rPr>
                <w:rFonts w:ascii="仿宋_GB2312" w:hAnsi="仿宋_GB2312" w:cs="仿宋_GB2312" w:eastAsia="仿宋_GB2312"/>
                <w:sz w:val="21"/>
              </w:rPr>
              <w:t>将动物尸体及相关动物产品投入坑内，最上层距离地表</w:t>
            </w:r>
            <w:r>
              <w:rPr>
                <w:rFonts w:ascii="仿宋_GB2312" w:hAnsi="仿宋_GB2312" w:cs="仿宋_GB2312" w:eastAsia="仿宋_GB2312"/>
                <w:sz w:val="21"/>
              </w:rPr>
              <w:t>1.5</w:t>
            </w:r>
            <w:r>
              <w:rPr>
                <w:rFonts w:ascii="仿宋_GB2312" w:hAnsi="仿宋_GB2312" w:cs="仿宋_GB2312" w:eastAsia="仿宋_GB2312"/>
                <w:sz w:val="21"/>
              </w:rPr>
              <w:t>米以上</w:t>
            </w:r>
            <w:r>
              <w:rPr>
                <w:rFonts w:ascii="仿宋_GB2312" w:hAnsi="仿宋_GB2312" w:cs="仿宋_GB2312" w:eastAsia="仿宋_GB2312"/>
                <w:sz w:val="21"/>
              </w:rPr>
              <w:t>;</w:t>
            </w:r>
            <w:r>
              <w:rPr>
                <w:rFonts w:ascii="仿宋_GB2312" w:hAnsi="仿宋_GB2312" w:cs="仿宋_GB2312" w:eastAsia="仿宋_GB2312"/>
                <w:sz w:val="21"/>
              </w:rPr>
              <w:t>利用生石灰或漂白粉等消毒药进行消毒</w:t>
            </w:r>
            <w:r>
              <w:rPr>
                <w:rFonts w:ascii="仿宋_GB2312" w:hAnsi="仿宋_GB2312" w:cs="仿宋_GB2312" w:eastAsia="仿宋_GB2312"/>
                <w:sz w:val="21"/>
              </w:rPr>
              <w:t>;</w:t>
            </w:r>
            <w:r>
              <w:rPr>
                <w:rFonts w:ascii="仿宋_GB2312" w:hAnsi="仿宋_GB2312" w:cs="仿宋_GB2312" w:eastAsia="仿宋_GB2312"/>
                <w:sz w:val="21"/>
              </w:rPr>
              <w:t>覆盖距地表</w:t>
            </w:r>
            <w:r>
              <w:rPr>
                <w:rFonts w:ascii="仿宋_GB2312" w:hAnsi="仿宋_GB2312" w:cs="仿宋_GB2312" w:eastAsia="仿宋_GB2312"/>
                <w:sz w:val="21"/>
              </w:rPr>
              <w:t>20-30</w:t>
            </w:r>
            <w:r>
              <w:rPr>
                <w:rFonts w:ascii="仿宋_GB2312" w:hAnsi="仿宋_GB2312" w:cs="仿宋_GB2312" w:eastAsia="仿宋_GB2312"/>
                <w:sz w:val="21"/>
              </w:rPr>
              <w:t>厘米，厚度不少于</w:t>
            </w:r>
            <w:r>
              <w:rPr>
                <w:rFonts w:ascii="仿宋_GB2312" w:hAnsi="仿宋_GB2312" w:cs="仿宋_GB2312" w:eastAsia="仿宋_GB2312"/>
                <w:sz w:val="21"/>
              </w:rPr>
              <w:t>1-1.2</w:t>
            </w:r>
            <w:r>
              <w:rPr>
                <w:rFonts w:ascii="仿宋_GB2312" w:hAnsi="仿宋_GB2312" w:cs="仿宋_GB2312" w:eastAsia="仿宋_GB2312"/>
                <w:sz w:val="21"/>
              </w:rPr>
              <w:t>米的覆土</w:t>
            </w:r>
            <w:r>
              <w:rPr>
                <w:rFonts w:ascii="仿宋_GB2312" w:hAnsi="仿宋_GB2312" w:cs="仿宋_GB2312" w:eastAsia="仿宋_GB2312"/>
                <w:sz w:val="21"/>
              </w:rPr>
              <w:t>;</w:t>
            </w:r>
            <w:r>
              <w:rPr>
                <w:rFonts w:ascii="仿宋_GB2312" w:hAnsi="仿宋_GB2312" w:cs="仿宋_GB2312" w:eastAsia="仿宋_GB2312"/>
                <w:sz w:val="21"/>
              </w:rPr>
              <w:t>掩埋覆土不要太实，以免腐败产气造成气泡冒出和液体渗漏</w:t>
            </w:r>
            <w:r>
              <w:rPr>
                <w:rFonts w:ascii="仿宋_GB2312" w:hAnsi="仿宋_GB2312" w:cs="仿宋_GB2312" w:eastAsia="仿宋_GB2312"/>
                <w:sz w:val="21"/>
              </w:rPr>
              <w:t>;</w:t>
            </w:r>
            <w:r>
              <w:rPr>
                <w:rFonts w:ascii="仿宋_GB2312" w:hAnsi="仿宋_GB2312" w:cs="仿宋_GB2312" w:eastAsia="仿宋_GB2312"/>
                <w:sz w:val="21"/>
              </w:rPr>
              <w:t>掩埋后，在掩埋处设置警示标识</w:t>
            </w:r>
            <w:r>
              <w:rPr>
                <w:rFonts w:ascii="仿宋_GB2312" w:hAnsi="仿宋_GB2312" w:cs="仿宋_GB2312" w:eastAsia="仿宋_GB2312"/>
                <w:sz w:val="21"/>
              </w:rPr>
              <w:t>;</w:t>
            </w:r>
            <w:r>
              <w:rPr>
                <w:rFonts w:ascii="仿宋_GB2312" w:hAnsi="仿宋_GB2312" w:cs="仿宋_GB2312" w:eastAsia="仿宋_GB2312"/>
                <w:sz w:val="21"/>
              </w:rPr>
              <w:t>深埋后应立即用氯制剂、漂白粉或生石灰等消毒药对深埋场所进行</w:t>
            </w:r>
            <w:r>
              <w:rPr>
                <w:rFonts w:ascii="仿宋_GB2312" w:hAnsi="仿宋_GB2312" w:cs="仿宋_GB2312" w:eastAsia="仿宋_GB2312"/>
                <w:sz w:val="21"/>
              </w:rPr>
              <w:t>1</w:t>
            </w:r>
            <w:r>
              <w:rPr>
                <w:rFonts w:ascii="仿宋_GB2312" w:hAnsi="仿宋_GB2312" w:cs="仿宋_GB2312" w:eastAsia="仿宋_GB2312"/>
                <w:sz w:val="21"/>
              </w:rPr>
              <w:t>次彻底消毒</w:t>
            </w:r>
            <w:r>
              <w:rPr>
                <w:rFonts w:ascii="仿宋_GB2312" w:hAnsi="仿宋_GB2312" w:cs="仿宋_GB2312" w:eastAsia="仿宋_GB2312"/>
                <w:sz w:val="21"/>
              </w:rPr>
              <w:t>;</w:t>
            </w:r>
            <w:r>
              <w:rPr>
                <w:rFonts w:ascii="仿宋_GB2312" w:hAnsi="仿宋_GB2312" w:cs="仿宋_GB2312" w:eastAsia="仿宋_GB2312"/>
                <w:sz w:val="21"/>
              </w:rPr>
              <w:t>深埋后第</w:t>
            </w:r>
            <w:r>
              <w:rPr>
                <w:rFonts w:ascii="仿宋_GB2312" w:hAnsi="仿宋_GB2312" w:cs="仿宋_GB2312" w:eastAsia="仿宋_GB2312"/>
                <w:sz w:val="21"/>
              </w:rPr>
              <w:t>1</w:t>
            </w:r>
            <w:r>
              <w:rPr>
                <w:rFonts w:ascii="仿宋_GB2312" w:hAnsi="仿宋_GB2312" w:cs="仿宋_GB2312" w:eastAsia="仿宋_GB2312"/>
                <w:sz w:val="21"/>
              </w:rPr>
              <w:t>周内应坚持每日巡查和消毒</w:t>
            </w:r>
            <w:r>
              <w:rPr>
                <w:rFonts w:ascii="仿宋_GB2312" w:hAnsi="仿宋_GB2312" w:cs="仿宋_GB2312" w:eastAsia="仿宋_GB2312"/>
                <w:sz w:val="21"/>
              </w:rPr>
              <w:t>1</w:t>
            </w:r>
            <w:r>
              <w:rPr>
                <w:rFonts w:ascii="仿宋_GB2312" w:hAnsi="仿宋_GB2312" w:cs="仿宋_GB2312" w:eastAsia="仿宋_GB2312"/>
                <w:sz w:val="21"/>
              </w:rPr>
              <w:t>次，第</w:t>
            </w:r>
            <w:r>
              <w:rPr>
                <w:rFonts w:ascii="仿宋_GB2312" w:hAnsi="仿宋_GB2312" w:cs="仿宋_GB2312" w:eastAsia="仿宋_GB2312"/>
                <w:sz w:val="21"/>
              </w:rPr>
              <w:t>2</w:t>
            </w:r>
            <w:r>
              <w:rPr>
                <w:rFonts w:ascii="仿宋_GB2312" w:hAnsi="仿宋_GB2312" w:cs="仿宋_GB2312" w:eastAsia="仿宋_GB2312"/>
                <w:sz w:val="21"/>
              </w:rPr>
              <w:t>周起应每周巡查和消毒</w:t>
            </w:r>
            <w:r>
              <w:rPr>
                <w:rFonts w:ascii="仿宋_GB2312" w:hAnsi="仿宋_GB2312" w:cs="仿宋_GB2312" w:eastAsia="仿宋_GB2312"/>
                <w:sz w:val="21"/>
              </w:rPr>
              <w:t>1</w:t>
            </w:r>
            <w:r>
              <w:rPr>
                <w:rFonts w:ascii="仿宋_GB2312" w:hAnsi="仿宋_GB2312" w:cs="仿宋_GB2312" w:eastAsia="仿宋_GB2312"/>
                <w:sz w:val="21"/>
              </w:rPr>
              <w:t>次，连续消毒</w:t>
            </w:r>
            <w:r>
              <w:rPr>
                <w:rFonts w:ascii="仿宋_GB2312" w:hAnsi="仿宋_GB2312" w:cs="仿宋_GB2312" w:eastAsia="仿宋_GB2312"/>
                <w:sz w:val="21"/>
              </w:rPr>
              <w:t>3</w:t>
            </w:r>
            <w:r>
              <w:rPr>
                <w:rFonts w:ascii="仿宋_GB2312" w:hAnsi="仿宋_GB2312" w:cs="仿宋_GB2312" w:eastAsia="仿宋_GB2312"/>
                <w:sz w:val="21"/>
              </w:rPr>
              <w:t>次以上，连续巡查</w:t>
            </w:r>
            <w:r>
              <w:rPr>
                <w:rFonts w:ascii="仿宋_GB2312" w:hAnsi="仿宋_GB2312" w:cs="仿宋_GB2312" w:eastAsia="仿宋_GB2312"/>
                <w:sz w:val="21"/>
              </w:rPr>
              <w:t>3</w:t>
            </w:r>
            <w:r>
              <w:rPr>
                <w:rFonts w:ascii="仿宋_GB2312" w:hAnsi="仿宋_GB2312" w:cs="仿宋_GB2312" w:eastAsia="仿宋_GB2312"/>
                <w:sz w:val="21"/>
              </w:rPr>
              <w:t>个月</w:t>
            </w:r>
            <w:r>
              <w:rPr>
                <w:rFonts w:ascii="仿宋_GB2312" w:hAnsi="仿宋_GB2312" w:cs="仿宋_GB2312" w:eastAsia="仿宋_GB2312"/>
                <w:sz w:val="21"/>
              </w:rPr>
              <w:t>;</w:t>
            </w:r>
            <w:r>
              <w:rPr>
                <w:rFonts w:ascii="仿宋_GB2312" w:hAnsi="仿宋_GB2312" w:cs="仿宋_GB2312" w:eastAsia="仿宋_GB2312"/>
                <w:sz w:val="21"/>
              </w:rPr>
              <w:t>巡查发现深埋坑塌陷，应及时加盖覆土。掩埋点做好标记及消杀记录。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满足项目人员配备要求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根据项目实际情况提供实施设备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勉县全境(重点区域为野猪致害频发的镇、村)</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根据项目检查情况等综合指标进行验收。各项指标均应符合验收标准及要求。验收合格后，填写验收单，双方签字生效。</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进度款，验收合格且审计完成，达到付款条件起30个工作日内，支付合同总金额的100.0%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法定代表人或被授权委托代理人身份</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符合文件要求，响应⽂件内容齐全、无遗漏。</w:t>
            </w:r>
          </w:p>
        </w:tc>
        <w:tc>
          <w:tcPr>
            <w:tcW w:type="dxa" w:w="1661"/>
          </w:tcPr>
          <w:p>
            <w:pPr>
              <w:pStyle w:val="null3"/>
            </w:pPr>
            <w:r>
              <w:rPr>
                <w:rFonts w:ascii="仿宋_GB2312" w:hAnsi="仿宋_GB2312" w:cs="仿宋_GB2312" w:eastAsia="仿宋_GB2312"/>
              </w:rPr>
              <w:t>商务方案.docx 中小企业声明函 商务应答表 服务内容及服务要求应答表 报价表 响应文件封面 供应商认为需要提供的其他资料.docx 供应商应提交的相关资格证明材料.docx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商务方案.docx 中小企业声明函 商务应答表 服务内容及服务要求应答表 报价表 响应文件封面 供应商应提交的相关资格证明材料.docx 供应商认为需要提供的其他资料.docx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供应商提供近三年（2023年1月-至今）完成类似业绩证明材料（时间以签订的合同时间为准），每提供1个业绩得2.5分，此项最高得5分；未提供不得分。（注：业绩评审需提供加盖公章的合同复印件）。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每提供一个狩猎人员得1分，此项最高得10分；未提供不得分。（以人员身份证及劳动合同复印件为准）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商务方案.docx</w:t>
            </w:r>
          </w:p>
        </w:tc>
      </w:tr>
      <w:tr>
        <w:tc>
          <w:tcPr>
            <w:tcW w:type="dxa" w:w="831"/>
            <w:vMerge/>
          </w:tcPr>
          <w:p/>
        </w:tc>
        <w:tc>
          <w:tcPr>
            <w:tcW w:type="dxa" w:w="1661"/>
          </w:tcPr>
          <w:p>
            <w:pPr>
              <w:pStyle w:val="null3"/>
            </w:pPr>
            <w:r>
              <w:rPr>
                <w:rFonts w:ascii="仿宋_GB2312" w:hAnsi="仿宋_GB2312" w:cs="仿宋_GB2312" w:eastAsia="仿宋_GB2312"/>
              </w:rPr>
              <w:t>无人机驾驶员</w:t>
            </w:r>
          </w:p>
        </w:tc>
        <w:tc>
          <w:tcPr>
            <w:tcW w:type="dxa" w:w="2492"/>
          </w:tcPr>
          <w:p>
            <w:pPr>
              <w:pStyle w:val="null3"/>
            </w:pPr>
            <w:r>
              <w:rPr>
                <w:rFonts w:ascii="仿宋_GB2312" w:hAnsi="仿宋_GB2312" w:cs="仿宋_GB2312" w:eastAsia="仿宋_GB2312"/>
              </w:rPr>
              <w:t>提供1名无人机驾驶员得3分，此项最高得3分；未提供不得分。（以在有效期内的无人驾驶航空器操控员执照及劳动合同复印件为准）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商务方案.docx</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1.供应商提供禁止非法猎捕工具承诺函（承诺绝不使用：电网、毒饵、毒药、爆炸物、地弓、钢丝套、大型陷阱等法律法规禁用工具；仅使用审批许可的猎捕器械，违规自愿承担刑事责任与全部赔偿）得5分；2.提供野生动物保护合规承诺函（承诺误捕鸟类、兽类等其他野生动物立即放生并上报林草部门；且不买卖、转运、食用野猪活体、肉、皮毛，不私自流向市场）得5分；3.提供野猪无害化处理专项承诺函（猎捕野猪统一运至指定合规场所做无害化处理（深埋 / 化制）；且完整留存处理影像、台账、单据，接受林草、农业农村部门疫源疫病检查）得5分。未提供不得分。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商务方案.docx</w:t>
            </w:r>
          </w:p>
        </w:tc>
      </w:tr>
      <w:tr>
        <w:tc>
          <w:tcPr>
            <w:tcW w:type="dxa" w:w="831"/>
            <w:vMerge/>
          </w:tcPr>
          <w:p/>
        </w:tc>
        <w:tc>
          <w:tcPr>
            <w:tcW w:type="dxa" w:w="1661"/>
          </w:tcPr>
          <w:p>
            <w:pPr>
              <w:pStyle w:val="null3"/>
            </w:pPr>
            <w:r>
              <w:rPr>
                <w:rFonts w:ascii="仿宋_GB2312" w:hAnsi="仿宋_GB2312" w:cs="仿宋_GB2312" w:eastAsia="仿宋_GB2312"/>
              </w:rPr>
              <w:t>专业狩猎犬</w:t>
            </w:r>
          </w:p>
        </w:tc>
        <w:tc>
          <w:tcPr>
            <w:tcW w:type="dxa" w:w="2492"/>
          </w:tcPr>
          <w:p>
            <w:pPr>
              <w:pStyle w:val="null3"/>
            </w:pPr>
            <w:r>
              <w:rPr>
                <w:rFonts w:ascii="仿宋_GB2312" w:hAnsi="仿宋_GB2312" w:cs="仿宋_GB2312" w:eastAsia="仿宋_GB2312"/>
              </w:rPr>
              <w:t>拟投入合规狩猎犬≥15条得9分；10-14条得6分；5-9条得3分；4条及以下得1分；未提供不得分。（须提供全部猎犬有效的狂犬疫苗证明及猎犬实拍图）</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商务方案.docx</w:t>
            </w:r>
          </w:p>
        </w:tc>
      </w:tr>
      <w:tr>
        <w:tc>
          <w:tcPr>
            <w:tcW w:type="dxa" w:w="831"/>
            <w:vMerge/>
          </w:tcPr>
          <w:p/>
        </w:tc>
        <w:tc>
          <w:tcPr>
            <w:tcW w:type="dxa" w:w="1661"/>
          </w:tcPr>
          <w:p>
            <w:pPr>
              <w:pStyle w:val="null3"/>
            </w:pPr>
            <w:r>
              <w:rPr>
                <w:rFonts w:ascii="仿宋_GB2312" w:hAnsi="仿宋_GB2312" w:cs="仿宋_GB2312" w:eastAsia="仿宋_GB2312"/>
              </w:rPr>
              <w:t>经营场地</w:t>
            </w:r>
          </w:p>
        </w:tc>
        <w:tc>
          <w:tcPr>
            <w:tcW w:type="dxa" w:w="2492"/>
          </w:tcPr>
          <w:p>
            <w:pPr>
              <w:pStyle w:val="null3"/>
            </w:pPr>
            <w:r>
              <w:rPr>
                <w:rFonts w:ascii="仿宋_GB2312" w:hAnsi="仿宋_GB2312" w:cs="仿宋_GB2312" w:eastAsia="仿宋_GB2312"/>
              </w:rPr>
              <w:t>自有/租赁专用办公、狩猎物资存放场地＞300㎡得8分；150㎡-300㎡得6分；150㎡以下得4分；未提供不得分。（须提供不动产权证或场地租赁合同）</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商务方案.docx</w:t>
            </w:r>
          </w:p>
        </w:tc>
      </w:tr>
      <w:tr>
        <w:tc>
          <w:tcPr>
            <w:tcW w:type="dxa" w:w="831"/>
            <w:vMerge/>
          </w:tcPr>
          <w:p/>
        </w:tc>
        <w:tc>
          <w:tcPr>
            <w:tcW w:type="dxa" w:w="1661"/>
          </w:tcPr>
          <w:p>
            <w:pPr>
              <w:pStyle w:val="null3"/>
            </w:pPr>
            <w:r>
              <w:rPr>
                <w:rFonts w:ascii="仿宋_GB2312" w:hAnsi="仿宋_GB2312" w:cs="仿宋_GB2312" w:eastAsia="仿宋_GB2312"/>
              </w:rPr>
              <w:t>总体狩猎方案</w:t>
            </w:r>
          </w:p>
        </w:tc>
        <w:tc>
          <w:tcPr>
            <w:tcW w:type="dxa" w:w="2492"/>
          </w:tcPr>
          <w:p>
            <w:pPr>
              <w:pStyle w:val="null3"/>
            </w:pPr>
            <w:r>
              <w:rPr>
                <w:rFonts w:ascii="仿宋_GB2312" w:hAnsi="仿宋_GB2312" w:cs="仿宋_GB2312" w:eastAsia="仿宋_GB2312"/>
              </w:rPr>
              <w:t>一、评审内容：供应商针对本项目编制完善的狩猎部署，内容包含：①狩猎准备及总体概述；②勘查勘测技术；③狩猎布置与安排；④狩猎实施的流程。 二、评审标准：1、完整性：方案全面,对评审内容中的各项要求有详细描述；2、可实施性：切合本项目实际情况，提出步清晰、措施合理的方案；3、针对性：方案能够紧扣项目实际情况，内容科学合理。 三、赋分标准(满分12分)：（针对每条评审标准，如存在不合理的方面扣0.5分，扣完为止）①狩猎准备及总体概述：每满足一个评审标准得1分，满分3分; ②勘查勘测技术：每满足一个评审标准得1 分，满分3分；③狩猎布置与安排：每满足一个评审标准得1 分，满分3分；④狩猎实施的流程：每满足一个评审标准得1分，满分3分；未提供者不得分。备注：不合理方面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安全狩猎保证措施</w:t>
            </w:r>
          </w:p>
        </w:tc>
        <w:tc>
          <w:tcPr>
            <w:tcW w:type="dxa" w:w="2492"/>
          </w:tcPr>
          <w:p>
            <w:pPr>
              <w:pStyle w:val="null3"/>
            </w:pPr>
            <w:r>
              <w:rPr>
                <w:rFonts w:ascii="仿宋_GB2312" w:hAnsi="仿宋_GB2312" w:cs="仿宋_GB2312" w:eastAsia="仿宋_GB2312"/>
              </w:rPr>
              <w:t>一、评审内容:供应商针对本项目编制完整的安全狩猎措施，内容包含：①安全管理目标；②安全管理机构职责分工；③安全管理制度；④安全保证措施。 二、评审标准：1、完整性：方案必须全面，对评审内容中的各项要求有详细描述；2、可实施性：切合本项目实际情况，提出步骤清晰、合理的方案；3、针对性：方案能够紧扣项目实际情况，内容科学合理。 三、赋分标准(满分12分)：（针对每条评审标准，如存在不合理的方面扣 0.5 分，扣完为止）①安全生产管理制度:每完全满足一个评审标准得1分，满分3分；②安全施工措施：每完全满足一个评审标准得1分，满分3分；③安全应急预案:每完全满足一个评审标准得1分，满分3分；④安全生产教育：每完全满足一个评审标准得1分，满分3分；未提供者不得分。备注：不合理方面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狩猎进度保障措施</w:t>
            </w:r>
          </w:p>
        </w:tc>
        <w:tc>
          <w:tcPr>
            <w:tcW w:type="dxa" w:w="2492"/>
          </w:tcPr>
          <w:p>
            <w:pPr>
              <w:pStyle w:val="null3"/>
            </w:pPr>
            <w:r>
              <w:rPr>
                <w:rFonts w:ascii="仿宋_GB2312" w:hAnsi="仿宋_GB2312" w:cs="仿宋_GB2312" w:eastAsia="仿宋_GB2312"/>
              </w:rPr>
              <w:t>一、评审内容:供应商针对本项目编制完整的狩猎进度保障措施，内容包含：①总工期及节点工期安排；②狩猎进度计划安排；③进度保证措施。 二、评审标准：1、完整性：方案必须全面，对评审内容中的各项要求有详细描述；2、可实施性：切合本项目实际情况，提出步骤清晰、合理的方案；3、针对性：方案能够紧扣项目实际情况，内容科学合理。 三、赋分标准(满分9分)：（针对每条评审标准，如存在不合理的方面扣 0.5 分，扣完为止）①总工期及节点工期安排:每完全满足一个评审标准得1分，满分3分；②狩猎进度计划安排：每完全满足一个评审标准得1分，满分3分；③进度保证措施:每完全满足一个评审标准得1分，满分3分；未提供者不得分。备注：不合理方面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无害化处理方案</w:t>
            </w:r>
          </w:p>
        </w:tc>
        <w:tc>
          <w:tcPr>
            <w:tcW w:type="dxa" w:w="2492"/>
          </w:tcPr>
          <w:p>
            <w:pPr>
              <w:pStyle w:val="null3"/>
            </w:pPr>
            <w:r>
              <w:rPr>
                <w:rFonts w:ascii="仿宋_GB2312" w:hAnsi="仿宋_GB2312" w:cs="仿宋_GB2312" w:eastAsia="仿宋_GB2312"/>
              </w:rPr>
              <w:t>供应商针对本项目制定的无害化处理方案。无害化处理内容贴合项目实际、完整详实、落地可行，无任何缺陷计4分，若上述内容存在缺陷，每出现一处缺陷扣0.5分，扣完为止。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供应商针对本项目制定的合理化建议。合理化建议内容贴合项目实际、完整详实、落地可行，无任何缺陷计3分，若上述内容存在缺陷，每出现一处缺陷扣0.5分，扣完为止。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2.磋商报价采用低价优先法计算，即满足竞争性磋商文件要求且最后磋商总报价最低的报价为评审基准价，其价格分为满分。其他供应商的价格分统一按照下列公式计算： 磋商报价得分=（评审基准价/最后磋商总报价）×10； 3.本项目已专门面向中小微企业，对小微企业、监狱企业、残疾人福利性单位不再给予价格扣除，供应商需如实填写《中小企业声明函》。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详见附件：商务方案.docx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