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76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132"/>
        <w:gridCol w:w="844"/>
        <w:gridCol w:w="1290"/>
        <w:gridCol w:w="1572"/>
        <w:gridCol w:w="1903"/>
        <w:gridCol w:w="5153"/>
      </w:tblGrid>
      <w:tr w14:paraId="05AEB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37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5AC5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采购包2漕运明渠工程运行维护项目费用组成明细表</w:t>
            </w:r>
          </w:p>
        </w:tc>
      </w:tr>
      <w:tr w14:paraId="6A527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6D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B8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59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B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B6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D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515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8E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 注</w:t>
            </w:r>
          </w:p>
        </w:tc>
      </w:tr>
      <w:tr w14:paraId="5B3F5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0F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B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漕运明渠工程运行维护</w:t>
            </w:r>
          </w:p>
        </w:tc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7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石化大道至入渭口段(10.534KM）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FC6B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E7F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593D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60422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4B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（一）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D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水利设施工程日常养护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5A4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6B90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B8C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EA8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6E2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9DEA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BA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河堤道路保洁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77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D1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157548.07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4CE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AB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7C2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漕运明渠10.534km。包括防汛抢道路清扫、洒水、捡拾垃圾、河道护栏清洗、野广告清理等。</w:t>
            </w:r>
          </w:p>
        </w:tc>
      </w:tr>
      <w:tr w14:paraId="2E4C6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BB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E5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水体保洁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89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0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78923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495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14D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88F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对漕运明渠管护范围内78923㎡水体中的水草、漂浮物、杂物等进行清理、打捞及清运等。</w:t>
            </w:r>
          </w:p>
        </w:tc>
      </w:tr>
      <w:tr w14:paraId="68E20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BA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36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河道巡查及管理站看护人员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0A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人·月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15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D03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C02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2BA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负责漕运明渠河道日常巡查及汛期巡查等工作2人。管理站看护人员包括石化大道管理站1人、庞马管理站1人、后勤保障1人。</w:t>
            </w:r>
          </w:p>
        </w:tc>
      </w:tr>
      <w:tr w14:paraId="36820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24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9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日常垃圾消纳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C6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F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1B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525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DC0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包括漕运明渠管辖范围内垃圾处理、清运费。</w:t>
            </w:r>
          </w:p>
        </w:tc>
      </w:tr>
      <w:tr w14:paraId="5BD31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21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A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劳保、工具费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D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9B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68C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697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E5C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保洁员的日常使用保洁工具及防暑降温品等。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此项为暂估价，按10000元填报。</w:t>
            </w:r>
          </w:p>
        </w:tc>
      </w:tr>
      <w:tr w14:paraId="090B8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34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87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公众责任险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32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5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D8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2E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95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为漕运明渠管理范围内购买公众责任险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（含第三者责任险）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，保障群众生命财产。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此项为暂估价，按42000元填报。</w:t>
            </w:r>
          </w:p>
        </w:tc>
      </w:tr>
      <w:tr w14:paraId="08539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BC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（二）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6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绿化工程养护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7E6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68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DA782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004D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9930E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94BD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4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73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绿化日常养护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1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91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244034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02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928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D57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对漕运明渠10.534km管护范围内绿化工程进行日常养护，包括绿化修剪、除草、修枝、浇灌、施肥、防害、用药、冬季树木刷白、落叶清理等，其中绿化修剪每季度至少1次，其余项目按照实际情况及时实施。</w:t>
            </w:r>
          </w:p>
        </w:tc>
      </w:tr>
      <w:tr w14:paraId="4A141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0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63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乔木补植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5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D8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4D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77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73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对漕运明渠全段枯死乔木进行补栽,含整地、垃圾外运、土壤改良（规格胸径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≧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10cm），包括养护（死亡率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≦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10%）。</w:t>
            </w:r>
          </w:p>
        </w:tc>
      </w:tr>
      <w:tr w14:paraId="272F5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8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6E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灌木补植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0A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B8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EB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0F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D3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对漕运明渠全段枯死的灌木补栽红叶石楠、女贞等（规格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≧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H50×P40），包括养护（死亡率 ≤ 15%）。</w:t>
            </w:r>
          </w:p>
        </w:tc>
      </w:tr>
      <w:tr w14:paraId="034E0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AA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E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草皮补植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0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75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4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11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根据绿化带、护坡情况补植阔叶麦冬草、狗牙根等品种，含整地、垃圾外运、土壤改良、种植，包括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养护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（死亡率 ≤ 15%）。</w:t>
            </w:r>
          </w:p>
        </w:tc>
      </w:tr>
      <w:tr w14:paraId="18F79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2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E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杨絮柳絮治理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F7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D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2F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E1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94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对漕运明渠管理范围内杨树絮、柳树絮进行治理，含药剂、人工、洒水等。</w:t>
            </w:r>
          </w:p>
        </w:tc>
      </w:tr>
      <w:tr w14:paraId="7F75D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D0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B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冬季落叶清理、防火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7B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96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73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9B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AC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冬季落叶清理清运、防火。</w:t>
            </w:r>
          </w:p>
        </w:tc>
      </w:tr>
      <w:tr w14:paraId="44072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17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（三）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4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附属设施维修养护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863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3AAC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FEA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3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A6B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1266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15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BE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桥梁设施日常维护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F6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1E8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097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86D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漕运明渠自管8座桥梁日常维护，包括路面破损、伸缩缝堵塞、排水口堵塞、护栏锈蚀破损等进行维护</w:t>
            </w:r>
          </w:p>
        </w:tc>
      </w:tr>
      <w:tr w14:paraId="4F803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7E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03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路面修复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9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7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A7D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2C5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F01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破损路面拆除、修复及垃圾外运等。</w:t>
            </w:r>
          </w:p>
        </w:tc>
      </w:tr>
      <w:tr w14:paraId="61795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B2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C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道牙维修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C1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EE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E19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CD5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6FE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破除原损坏道牙、垃圾外运、底座加固、安装新道牙、混凝土填实等。</w:t>
            </w:r>
          </w:p>
        </w:tc>
      </w:tr>
      <w:tr w14:paraId="27361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5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3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护坡浆砌石维护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A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545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80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BF8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清缝、洗缝、凿缝、勾缝等。</w:t>
            </w:r>
          </w:p>
        </w:tc>
      </w:tr>
      <w:tr w14:paraId="6F032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D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标识标牌维护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AC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D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E06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66D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E62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对漕运明渠全段宣传栏，标识标牌、排水口信息牌等进行维护更新。</w:t>
            </w:r>
          </w:p>
        </w:tc>
      </w:tr>
      <w:tr w14:paraId="0867E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E5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E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限高门维修维护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60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05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A9B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29D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7F6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刷漆、焊接、破损维修、更换等，每年至少一次。</w:t>
            </w:r>
          </w:p>
        </w:tc>
      </w:tr>
      <w:tr w14:paraId="2E565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88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A4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限行桩、挡车球维护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33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BF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637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B10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CB8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刷漆、焊接、破损维修、更换等，每年至少一次。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此项为暂估价，按10000元填报。</w:t>
            </w:r>
          </w:p>
        </w:tc>
      </w:tr>
      <w:tr w14:paraId="77731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10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F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护栏、封堵门维护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CA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6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28E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8E8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0A8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除锈、刷漆、修理破损等，每年至少一次。</w:t>
            </w:r>
          </w:p>
        </w:tc>
      </w:tr>
      <w:tr w14:paraId="24F90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2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42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仿汉白玉护栏翻新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09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54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9CB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665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对漕运明渠河道范围内褪色、污损的仿汉白玉护栏进行打磨、喷漆等。</w:t>
            </w:r>
          </w:p>
        </w:tc>
      </w:tr>
      <w:tr w14:paraId="565B2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4B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仿汉白玉护栏更换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3B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76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BD6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811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E02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对漕运明渠河道范围内损坏的仿汉白玉护栏进行拆除更换。</w:t>
            </w:r>
          </w:p>
        </w:tc>
      </w:tr>
      <w:tr w14:paraId="31E15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1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02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界桩维护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5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CC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8B7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DA1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8B7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对漕运明渠河道范围内221个界桩进行一次描字、清洁、维修维护、对损坏的进行更新等。</w:t>
            </w:r>
          </w:p>
        </w:tc>
      </w:tr>
      <w:tr w14:paraId="078F1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9B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FF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垃圾桶更换、维护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5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73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8E2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D65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D2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对漕运明渠10.534km堤防道路中损坏的垃圾桶进行更换，对破损不严重的垃圾桶进行维修。</w:t>
            </w:r>
          </w:p>
        </w:tc>
      </w:tr>
      <w:tr w14:paraId="40134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4A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CD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渠底淤积物、垃圾、石块清理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01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m³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B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B69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C27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D2A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对漕运明渠10.534km渠底淤积物、垃圾、石块进行清理（含清运）。</w:t>
            </w:r>
          </w:p>
        </w:tc>
      </w:tr>
      <w:tr w14:paraId="2C1D7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C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4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拦污栅维护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22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B5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FB1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A5E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A81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拦污栅日常维修维护、清理及检修等。</w:t>
            </w:r>
          </w:p>
        </w:tc>
      </w:tr>
      <w:tr w14:paraId="7A0D2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8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66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冬季除雪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1E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94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AA2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B2E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832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包括购买融雪剂、租赁除雪机械、人工除雪等。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此项为暂估价，按10000元填报。</w:t>
            </w:r>
          </w:p>
        </w:tc>
      </w:tr>
      <w:tr w14:paraId="46DC2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ED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A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排水口封堵及维修维护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51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CF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F1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B9E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5D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漕运明渠全线排水口封堵及破损修复。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此项为暂估价，按10000元填报。</w:t>
            </w:r>
          </w:p>
        </w:tc>
      </w:tr>
      <w:tr w14:paraId="4248E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09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（四）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8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安全生产建设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D76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AC17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E2129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CF749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EC544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D52E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5C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A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微型消防站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B3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B8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4F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15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A4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含消防柜内配套消防器材。</w:t>
            </w:r>
          </w:p>
        </w:tc>
      </w:tr>
      <w:tr w14:paraId="2E604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8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6B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灭火器加粉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B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2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E9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76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A8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每年更换1次，年检1次。</w:t>
            </w:r>
          </w:p>
        </w:tc>
      </w:tr>
      <w:tr w14:paraId="717AA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9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B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小型消防箱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74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FA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9E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96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F4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定期进行清洁、维修维护。</w:t>
            </w:r>
          </w:p>
        </w:tc>
      </w:tr>
      <w:tr w14:paraId="4BF32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7B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B3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安全标识标牌更换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68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C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0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73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52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1.2m*0.8m底板边框</w:t>
            </w:r>
          </w:p>
        </w:tc>
      </w:tr>
      <w:tr w14:paraId="64FEF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D18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94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E5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4C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D5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EC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0.6m*0.9m底板边框</w:t>
            </w:r>
          </w:p>
        </w:tc>
      </w:tr>
      <w:tr w14:paraId="53749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26F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548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E1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4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DC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FB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DE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0.7m*0.9m底板边框</w:t>
            </w:r>
          </w:p>
        </w:tc>
      </w:tr>
      <w:tr w14:paraId="75685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9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01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安全生产宣传、培训、应急演练、安全隐患整改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A4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8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8C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38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日常安全生产宣传、培训、应急演练，对安全检查中发现的安全隐患进行整改等。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此项为暂估价，按5000元填报。</w:t>
            </w:r>
          </w:p>
        </w:tc>
      </w:tr>
      <w:tr w14:paraId="21727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1E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D3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防溺水安全救援设施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F5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1A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3F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B6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86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在深水区域每隔300m设置一处“四个一”设施，包含救生圈、救生杆、救生绳、警示牌及相关设施设备等。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此项为暂估价，按5000元填报。</w:t>
            </w:r>
          </w:p>
        </w:tc>
      </w:tr>
      <w:tr w14:paraId="024CC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0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（五）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3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防汛物资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C6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AFA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4BF2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CB23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748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DBEE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D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6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防汛物资购置储备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2A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6A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B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73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8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黑色大雨伞、多功能手提巡检灯、强光手电、编织袋、头灯、呼吸面罩、橡皮艇等。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此项为暂估价，按20000元填报。</w:t>
            </w:r>
          </w:p>
        </w:tc>
      </w:tr>
      <w:tr w14:paraId="640AD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（六）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2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管理站维护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18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DFA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F8C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E4FF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10AD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8350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D7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8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管理站日常维护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FA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FC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75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5E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1E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对漕运明渠沿线管理范围内管理站、卫生间、上下水管道、电线等基础设施进行日常维修；院内绿化管护；零星设施维修等。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此项为暂估价，按50000元填报。</w:t>
            </w:r>
          </w:p>
        </w:tc>
      </w:tr>
      <w:tr w14:paraId="68C2E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2F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F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日常电费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98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0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35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BC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2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各管理站日常用电。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此项为暂估价，按40000元填报。</w:t>
            </w:r>
          </w:p>
        </w:tc>
      </w:tr>
      <w:tr w14:paraId="6C9E2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E7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8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日常水费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1D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BD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DB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D3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E8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各管理站日常用水。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此项为暂估价，按10000元填报。</w:t>
            </w:r>
          </w:p>
        </w:tc>
      </w:tr>
      <w:tr w14:paraId="05C74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E2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（七）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DE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病媒生物防治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EB5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F25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D35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D5BE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5785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CC9D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4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E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毒饵盒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F5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08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18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E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漕运明渠沿线毒饵盒购买及投放、补充更换等。</w:t>
            </w:r>
          </w:p>
        </w:tc>
      </w:tr>
      <w:tr w14:paraId="12328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26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E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病媒生物消杀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C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95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244034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3A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B7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F7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含摇蚊消杀、购买病媒生物消杀药品等。每年从3月底开始，10月底结束，每月至少一次，根据气候情况及时加密病媒生物消杀频次。</w:t>
            </w:r>
          </w:p>
        </w:tc>
      </w:tr>
      <w:tr w14:paraId="109C1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DA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C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害虫动物防治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B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E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B3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50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52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漕运明渠管理范围内白蚁等害虫动物防治，含药品购买等。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此项为暂估价，按1000元填报。</w:t>
            </w:r>
          </w:p>
        </w:tc>
      </w:tr>
      <w:tr w14:paraId="31A96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89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（八）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2E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预备费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46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8F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AC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D5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预备费，按322494.8元填报</w:t>
            </w:r>
            <w:r>
              <w:rPr>
                <w:rStyle w:val="9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,主要用于管护工作中应急事项，项目评审费等。</w:t>
            </w:r>
          </w:p>
        </w:tc>
      </w:tr>
      <w:tr w14:paraId="52ABA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2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0B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7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45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24781307">
      <w:pPr>
        <w:topLinePunct/>
        <w:autoSpaceDE w:val="0"/>
        <w:autoSpaceDN w:val="0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说明：</w:t>
      </w:r>
    </w:p>
    <w:p w14:paraId="3E2E7083">
      <w:pPr>
        <w:topLinePunct/>
        <w:autoSpaceDE w:val="0"/>
        <w:autoSpaceDN w:val="0"/>
        <w:spacing w:line="360" w:lineRule="auto"/>
        <w:ind w:firstLine="420" w:firstLineChars="200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1.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  <w:t>供应商必须按本</w:t>
      </w:r>
      <w:r>
        <w:rPr>
          <w:rFonts w:hint="eastAsia" w:ascii="方正仿宋_GB2312" w:hAnsi="方正仿宋_GB2312" w:eastAsia="方正仿宋_GB2312" w:cs="方正仿宋_GB2312"/>
          <w:bCs/>
          <w:sz w:val="21"/>
          <w:szCs w:val="21"/>
          <w:highlight w:val="none"/>
        </w:rPr>
        <w:t>表的格式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  <w:t>详细报出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  <w:t>总价的各个组成部分的报价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  <w:t>报价精确到小数点后两位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。</w:t>
      </w:r>
    </w:p>
    <w:p w14:paraId="4B4CB597">
      <w:pPr>
        <w:topLinePunct/>
        <w:autoSpaceDE w:val="0"/>
        <w:autoSpaceDN w:val="0"/>
        <w:spacing w:line="360" w:lineRule="auto"/>
        <w:ind w:firstLine="420" w:firstLineChars="200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2.如报价不一致，按照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val="en-US" w:eastAsia="zh-CN"/>
        </w:rPr>
        <w:t>采购文件的规定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进行修正。</w:t>
      </w:r>
    </w:p>
    <w:p w14:paraId="6784F26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2EB7992B">
      <w:pPr>
        <w:spacing w:line="360" w:lineRule="auto"/>
        <w:jc w:val="right"/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_GB2312" w:hAnsi="仿宋_GB2312" w:eastAsia="仿宋_GB2312" w:cs="仿宋_GB2312"/>
          <w:sz w:val="28"/>
          <w:szCs w:val="28"/>
        </w:rPr>
        <w:t>{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请填写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供应商名称}</w:t>
      </w:r>
    </w:p>
    <w:p w14:paraId="654A7C10">
      <w:pPr>
        <w:ind w:left="3780" w:firstLine="5840" w:firstLineChars="2000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日期：</w:t>
      </w:r>
      <w:r>
        <w:rPr>
          <w:rFonts w:hint="eastAsia" w:ascii="仿宋_GB2312" w:hAnsi="仿宋_GB2312" w:eastAsia="仿宋_GB2312" w:cs="仿宋_GB2312"/>
          <w:sz w:val="28"/>
          <w:szCs w:val="28"/>
        </w:rPr>
        <w:t>XXXX年XX月XX日</w:t>
      </w:r>
    </w:p>
    <w:p w14:paraId="5776EFD7">
      <w:pPr>
        <w:ind w:left="3780" w:firstLine="5600" w:firstLineChars="20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DA2798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8530AA18-BE26-40E8-B579-BA31A7278BB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DA5C040-97E5-4D17-B86A-E13A3CD36F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C84FE1"/>
    <w:rsid w:val="1EEE7F2B"/>
    <w:rsid w:val="57347935"/>
    <w:rsid w:val="57BD7DBF"/>
    <w:rsid w:val="5E9D666D"/>
    <w:rsid w:val="66434B4A"/>
    <w:rsid w:val="71BD0AB4"/>
    <w:rsid w:val="75376C5B"/>
    <w:rsid w:val="7B9C4629"/>
    <w:rsid w:val="7C18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qFormat/>
    <w:uiPriority w:val="0"/>
    <w:rPr>
      <w:rFonts w:hint="default" w:ascii="仿宋_GB2312" w:eastAsia="仿宋_GB2312" w:cs="仿宋_GB2312"/>
      <w:color w:val="FF0000"/>
      <w:sz w:val="20"/>
      <w:szCs w:val="20"/>
      <w:u w:val="none"/>
    </w:rPr>
  </w:style>
  <w:style w:type="character" w:customStyle="1" w:styleId="5">
    <w:name w:val="font101"/>
    <w:basedOn w:val="3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default" w:ascii="仿宋_GB2312" w:eastAsia="仿宋_GB2312" w:cs="仿宋_GB2312"/>
      <w:color w:val="FF0000"/>
      <w:sz w:val="20"/>
      <w:szCs w:val="20"/>
      <w:u w:val="none"/>
    </w:rPr>
  </w:style>
  <w:style w:type="character" w:customStyle="1" w:styleId="7">
    <w:name w:val="font111"/>
    <w:basedOn w:val="3"/>
    <w:qFormat/>
    <w:uiPriority w:val="0"/>
    <w:rPr>
      <w:rFonts w:ascii="仿宋" w:hAnsi="仿宋" w:eastAsia="仿宋" w:cs="仿宋"/>
      <w:color w:val="000000"/>
      <w:sz w:val="20"/>
      <w:szCs w:val="20"/>
      <w:u w:val="none"/>
    </w:rPr>
  </w:style>
  <w:style w:type="character" w:customStyle="1" w:styleId="8">
    <w:name w:val="font31"/>
    <w:basedOn w:val="3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</w:rPr>
  </w:style>
  <w:style w:type="character" w:customStyle="1" w:styleId="9">
    <w:name w:val="font4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121"/>
    <w:basedOn w:val="3"/>
    <w:qFormat/>
    <w:uiPriority w:val="0"/>
    <w:rPr>
      <w:rFonts w:hint="default" w:ascii="仿宋_GB2312" w:eastAsia="仿宋_GB2312" w:cs="仿宋_GB2312"/>
      <w:color w:val="FF0000"/>
      <w:sz w:val="18"/>
      <w:szCs w:val="18"/>
      <w:u w:val="none"/>
    </w:rPr>
  </w:style>
  <w:style w:type="character" w:customStyle="1" w:styleId="11">
    <w:name w:val="font112"/>
    <w:basedOn w:val="3"/>
    <w:qFormat/>
    <w:uiPriority w:val="0"/>
    <w:rPr>
      <w:rFonts w:ascii="仿宋" w:hAnsi="仿宋" w:eastAsia="仿宋" w:cs="仿宋"/>
      <w:color w:val="000000"/>
      <w:sz w:val="20"/>
      <w:szCs w:val="20"/>
      <w:u w:val="none"/>
    </w:rPr>
  </w:style>
  <w:style w:type="character" w:customStyle="1" w:styleId="12">
    <w:name w:val="font71"/>
    <w:basedOn w:val="3"/>
    <w:qFormat/>
    <w:uiPriority w:val="0"/>
    <w:rPr>
      <w:rFonts w:hint="eastAsia" w:ascii="仿宋_GB2312" w:eastAsia="仿宋_GB2312" w:cs="仿宋_GB2312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2083</Words>
  <Characters>2297</Characters>
  <Lines>0</Lines>
  <Paragraphs>0</Paragraphs>
  <TotalTime>0</TotalTime>
  <ScaleCrop>false</ScaleCrop>
  <LinksUpToDate>false</LinksUpToDate>
  <CharactersWithSpaces>2303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2026-06-14T15:12:00Z</dcterms:created>
  <dc:creator>gc180</dc:creator>
  <cp:lastModifiedBy>나무</cp:lastModifiedBy>
  <dcterms:modified xsi:type="dcterms:W3CDTF">2026-06-18T05:57:40Z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eyJoZGlkIjoiZDM2MjBhMjExNDFiMmIwZDk1YmZmZjg2MjNlNzJlNmYiLCJ1c2VySWQiOiIyMTEwOTY5ODUifQ==</vt:lpwstr>
  </property>
  <property fmtid="{D5CDD505-2E9C-101B-9397-08002B2CF9AE}" pid="4" name="ICV">
    <vt:lpwstr>7931DA2236FA40C59433A0694E65A0B9_13</vt:lpwstr>
  </property>
</Properties>
</file>