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版本号：SXBLD-2026-040120260416002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渭南高新区新能源车辆购置项目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SXBLD-2026-0401</w:t>
      </w:r>
      <w:r>
        <w:br/>
      </w:r>
      <w:r>
        <w:br/>
      </w:r>
      <w:r>
        <w:br/>
      </w:r>
    </w:p>
    <w:p>
      <w:pPr>
        <w:pStyle w:val="null3"/>
        <w:jc w:val="center"/>
        <w:outlineLvl w:val="2"/>
      </w:pPr>
      <w:r>
        <w:rPr>
          <w:rFonts w:ascii="仿宋_GB2312" w:hAnsi="仿宋_GB2312" w:cs="仿宋_GB2312" w:eastAsia="仿宋_GB2312"/>
          <w:sz w:val="28"/>
          <w:b/>
        </w:rPr>
        <w:t>渭南高新区城市管理处</w:t>
      </w:r>
    </w:p>
    <w:p>
      <w:pPr>
        <w:pStyle w:val="null3"/>
        <w:jc w:val="center"/>
        <w:outlineLvl w:val="2"/>
      </w:pPr>
      <w:r>
        <w:rPr>
          <w:rFonts w:ascii="仿宋_GB2312" w:hAnsi="仿宋_GB2312" w:cs="仿宋_GB2312" w:eastAsia="仿宋_GB2312"/>
          <w:sz w:val="28"/>
          <w:b/>
        </w:rPr>
        <w:t>陕西博浪达项目管理有限公司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陕西博浪达项目管理有限公司</w:t>
      </w:r>
      <w:r>
        <w:rPr>
          <w:rFonts w:ascii="仿宋_GB2312" w:hAnsi="仿宋_GB2312" w:cs="仿宋_GB2312" w:eastAsia="仿宋_GB2312"/>
        </w:rPr>
        <w:t>（以下简称“代理机构”）受</w:t>
      </w:r>
      <w:r>
        <w:rPr>
          <w:rFonts w:ascii="仿宋_GB2312" w:hAnsi="仿宋_GB2312" w:cs="仿宋_GB2312" w:eastAsia="仿宋_GB2312"/>
        </w:rPr>
        <w:t>渭南高新区城市管理处</w:t>
      </w:r>
      <w:r>
        <w:rPr>
          <w:rFonts w:ascii="仿宋_GB2312" w:hAnsi="仿宋_GB2312" w:cs="仿宋_GB2312" w:eastAsia="仿宋_GB2312"/>
        </w:rPr>
        <w:t>委托，拟对</w:t>
      </w:r>
      <w:r>
        <w:rPr>
          <w:rFonts w:ascii="仿宋_GB2312" w:hAnsi="仿宋_GB2312" w:cs="仿宋_GB2312" w:eastAsia="仿宋_GB2312"/>
        </w:rPr>
        <w:t>渭南高新区新能源车辆购置项目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SXBLD-2026-0401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渭南高新区新能源车辆购置项目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全面贯彻落实中省市及高新区关于打好污染防治攻坚战的各项决策部署，有效提升作业车辆清洁化比例，有效降低燃油车辆尾气排放和作业过程中的噪音污染，实现环境效益与作业效率的双提升，购置新能源作业车辆18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有效，具有独立承担民事责任的能力且具备向采购人提供相关货物或服务的企业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2024年度经审计的财务报告或投标文件提交截止时间前六个月内基本开户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税收缴纳证明：提供投标文件提交截止时间前一年内任意一个月的依法缴纳税收的相关凭据(时间以税款所属日期为准、增值税、企业所得税至少提供一种)，凭据应有税务机关或代收机关的公章或业务专用章；依法免税或无须缴纳税收的投标人，应提供相应证明文件；供应商需在项目电子化交易系统中按要求上传相应证明文件并进行电子签章。</w:t>
      </w:r>
    </w:p>
    <w:p>
      <w:pPr>
        <w:pStyle w:val="null3"/>
      </w:pPr>
      <w:r>
        <w:rPr>
          <w:rFonts w:ascii="仿宋_GB2312" w:hAnsi="仿宋_GB2312" w:cs="仿宋_GB2312" w:eastAsia="仿宋_GB2312"/>
        </w:rPr>
        <w:t>4、社会保障资金缴纳证明：提供投标文件提交截止时间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5、书面声明：①参加政府采购活动前三年内，在经营活动中没有重大违法记录的书面声明；②提供具有履行本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6、信誉信息：投标人不得为“信用中国”网站（www.creditchina.gov.cn）中列入重大税收违法失信主体的投标人；不得为“中国执行信息公开网”（http：//zxgk.court.gov.cn）中列入失信被执行人名单的投标人；不得为“中国政府采购网”（www.ccgp.gov.cn）政府采购严重违法失信行为记录名单中被财政部门禁止参加政府采购活动的投标人。供应商需在项目电子化交易系统中按要求上传相应证明文件并进行电子签章。</w:t>
      </w:r>
    </w:p>
    <w:p>
      <w:pPr>
        <w:pStyle w:val="null3"/>
      </w:pPr>
      <w:r>
        <w:rPr>
          <w:rFonts w:ascii="仿宋_GB2312" w:hAnsi="仿宋_GB2312" w:cs="仿宋_GB2312" w:eastAsia="仿宋_GB2312"/>
        </w:rPr>
        <w:t>7、法律、行政法规规定的其他条件：法定代表人直接参加投标的，须提供法定代表人身份证明；法定代表人授权代表参加投标的，须提供法定代表人授权委托书；供应商需在项目电子化交易系统中按要求上传相应证明文件并进行电子签章。</w:t>
      </w:r>
    </w:p>
    <w:p>
      <w:pPr>
        <w:pStyle w:val="null3"/>
      </w:pPr>
      <w:r>
        <w:rPr>
          <w:rFonts w:ascii="仿宋_GB2312" w:hAnsi="仿宋_GB2312" w:cs="仿宋_GB2312" w:eastAsia="仿宋_GB2312"/>
        </w:rPr>
        <w:t>8、供应商企业关系关联及联合体说明：本项目不接受联合体投标，单位负责人为同一人或者存在直接控股、管理关系的不同供应商，不得参加同一合同项下的政府采购活动。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渭南高新区城市管理处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渭南高新区朝阳大街西段58号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渭南高新区城市管理处经办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0913-2115182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陕西博浪达项目管理有限公司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陕西省渭南市临渭区陕西省渭南市临渭区东风大街豪润风尚国际B栋1203室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蒙海霞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13399467774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贺小静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0913-2111101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开户名称：陕西博浪达项目管理有限公司</w:t>
            </w:r>
          </w:p>
          <w:p>
            <w:pPr>
              <w:pStyle w:val="null3"/>
            </w:pPr>
            <w:r>
              <w:rPr>
                <w:rFonts w:ascii="仿宋_GB2312" w:hAnsi="仿宋_GB2312" w:cs="仿宋_GB2312" w:eastAsia="仿宋_GB2312"/>
              </w:rPr>
              <w:t>开户银行：中国工商银行股份有限公司渭南杜桥支行</w:t>
            </w:r>
          </w:p>
          <w:p>
            <w:pPr>
              <w:pStyle w:val="null3"/>
            </w:pPr>
            <w:r>
              <w:rPr>
                <w:rFonts w:ascii="仿宋_GB2312" w:hAnsi="仿宋_GB2312" w:cs="仿宋_GB2312" w:eastAsia="仿宋_GB2312"/>
              </w:rPr>
              <w:t>银行账号：2605025809100092057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货物收费标准收取招标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渭南高新区城市管理处</w:t>
      </w:r>
      <w:r>
        <w:rPr>
          <w:rFonts w:ascii="仿宋_GB2312" w:hAnsi="仿宋_GB2312" w:cs="仿宋_GB2312" w:eastAsia="仿宋_GB2312"/>
        </w:rPr>
        <w:t>和</w:t>
      </w:r>
      <w:r>
        <w:rPr>
          <w:rFonts w:ascii="仿宋_GB2312" w:hAnsi="仿宋_GB2312" w:cs="仿宋_GB2312" w:eastAsia="仿宋_GB2312"/>
        </w:rPr>
        <w:t>陕西博浪达项目管理有限公司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渭南高新区城市管理处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陕西博浪达项目管理有限公司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渭南高新区城市管理处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陕西博浪达项目管理有限公司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（1）所验产品的指标、性能参数通过验收达不到招标文件要求和投标文件承诺的，或在使用中发现设计缺陷等，将视为产品验收不合格，供应商应无条件免费更换或退货。 （2）若发现供应商有弄虚作假的，在投标阶段故意或随意夸大产品技术性能，供应商应无条件退货，并赔偿采购人相应的损失。 （3）验收标准：按招标文件、投标文件及澄清函等技术指标进行验收。各项指标均应符合验收标准及要求。 （4）验收合格后，填写验收单，双方签字盖章后生效。 （5）验收依据：合同文本；投标文件及澄清函、招标文件；国家和行业制定的相应的标准和规范；产品验收清单（注明各部件的品名、数量、规格型号和原产地或生产厂家）。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陕西博浪达项目管理有限公司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陕西博浪达项目管理有限公司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陕西博浪达项目管理有限公司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联系人：蒙海霞</w:t>
      </w:r>
    </w:p>
    <w:p>
      <w:pPr>
        <w:pStyle w:val="null3"/>
      </w:pPr>
      <w:r>
        <w:rPr>
          <w:rFonts w:ascii="仿宋_GB2312" w:hAnsi="仿宋_GB2312" w:cs="仿宋_GB2312" w:eastAsia="仿宋_GB2312"/>
        </w:rPr>
        <w:t>联系电话：13399467774</w:t>
      </w:r>
    </w:p>
    <w:p>
      <w:pPr>
        <w:pStyle w:val="null3"/>
      </w:pPr>
      <w:r>
        <w:rPr>
          <w:rFonts w:ascii="仿宋_GB2312" w:hAnsi="仿宋_GB2312" w:cs="仿宋_GB2312" w:eastAsia="仿宋_GB2312"/>
        </w:rPr>
        <w:t>地址：陕西省渭南市乐天大街中国人寿财产保险电梯三楼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贯彻落实中省市及高新区关于打好污染防治攻坚战的各项决策部署，有效提升作业车辆清洁化比例，有效降低燃油车辆尾气排放和作业过程中的噪音污染，实现环境效益与作业效率的双提升，购置新能源作业车辆18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10,000,000.00</w:t>
      </w:r>
    </w:p>
    <w:p>
      <w:pPr>
        <w:pStyle w:val="null3"/>
      </w:pPr>
      <w:r>
        <w:rPr>
          <w:rFonts w:ascii="仿宋_GB2312" w:hAnsi="仿宋_GB2312" w:cs="仿宋_GB2312" w:eastAsia="仿宋_GB2312"/>
        </w:rPr>
        <w:t>采购包最高限价（元）: 10,000,000.00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渭南高新区新能源车辆购置项目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标的名称：渭南高新区新能源车辆购置项目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一、采购</w:t>
            </w:r>
            <w:r>
              <w:rPr>
                <w:rFonts w:ascii="仿宋_GB2312" w:hAnsi="仿宋_GB2312" w:cs="仿宋_GB2312" w:eastAsia="仿宋_GB2312"/>
                <w:sz w:val="24"/>
                <w:b/>
                <w:color w:val="000000"/>
              </w:rPr>
              <w:t>内容</w:t>
            </w:r>
          </w:p>
          <w:tbl>
            <w:tblPr>
              <w:tblInd w:type="dxa" w:w="120"/>
              <w:tblBorders>
                <w:top w:val="none" w:color="000000" w:sz="4"/>
                <w:left w:val="none" w:color="000000" w:sz="4"/>
                <w:bottom w:val="none" w:color="000000" w:sz="4"/>
                <w:right w:val="none" w:color="000000" w:sz="4"/>
                <w:insideH w:val="none"/>
                <w:insideV w:val="none"/>
              </w:tblBorders>
            </w:tblPr>
            <w:tblGrid>
              <w:gridCol w:w="262"/>
              <w:gridCol w:w="978"/>
              <w:gridCol w:w="366"/>
              <w:gridCol w:w="377"/>
              <w:gridCol w:w="570"/>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采购标的</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纯电动洗扫车</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纯电动清洗车</w:t>
                  </w:r>
                  <w:r>
                    <w:rPr>
                      <w:rFonts w:ascii="仿宋_GB2312" w:hAnsi="仿宋_GB2312" w:cs="仿宋_GB2312" w:eastAsia="仿宋_GB2312"/>
                      <w:sz w:val="24"/>
                      <w:color w:val="000000"/>
                    </w:rPr>
                    <w:t>/洒水车</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核心产品</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纯电动路面养护车</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纯电动三轮冲洗车</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color w:val="000000"/>
              </w:rPr>
              <w:t>二、货物需求一览表及技术规格</w:t>
            </w:r>
          </w:p>
          <w:tbl>
            <w:tblPr>
              <w:tblInd w:type="dxa" w:w="120"/>
              <w:tblBorders>
                <w:top w:val="none" w:color="000000" w:sz="4"/>
                <w:left w:val="none" w:color="000000" w:sz="4"/>
                <w:bottom w:val="none" w:color="000000" w:sz="4"/>
                <w:right w:val="none" w:color="000000" w:sz="4"/>
                <w:insideH w:val="none"/>
                <w:insideV w:val="none"/>
              </w:tblBorders>
            </w:tblPr>
            <w:tblGrid>
              <w:gridCol w:w="168"/>
              <w:gridCol w:w="168"/>
              <w:gridCol w:w="2206"/>
            </w:tblGrid>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2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技术参数或要求</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纯电动洗扫车</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一、主要技术参数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外型尺寸：长</w:t>
                  </w:r>
                  <w:r>
                    <w:rPr>
                      <w:rFonts w:ascii="仿宋_GB2312" w:hAnsi="仿宋_GB2312" w:cs="仿宋_GB2312" w:eastAsia="仿宋_GB2312"/>
                      <w:sz w:val="24"/>
                    </w:rPr>
                    <w:t>×宽×高(mm)≥7000×2300×2</w:t>
                  </w:r>
                  <w:r>
                    <w:rPr>
                      <w:rFonts w:ascii="仿宋_GB2312" w:hAnsi="仿宋_GB2312" w:cs="仿宋_GB2312" w:eastAsia="仿宋_GB2312"/>
                      <w:sz w:val="24"/>
                    </w:rPr>
                    <w:t>5</w:t>
                  </w:r>
                  <w:r>
                    <w:rPr>
                      <w:rFonts w:ascii="仿宋_GB2312" w:hAnsi="仿宋_GB2312" w:cs="仿宋_GB2312" w:eastAsia="仿宋_GB2312"/>
                      <w:sz w:val="24"/>
                    </w:rPr>
                    <w:t>00</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总质量</w:t>
                  </w:r>
                  <w:r>
                    <w:rPr>
                      <w:rFonts w:ascii="仿宋_GB2312" w:hAnsi="仿宋_GB2312" w:cs="仿宋_GB2312" w:eastAsia="仿宋_GB2312"/>
                      <w:sz w:val="24"/>
                    </w:rPr>
                    <w:t>(kg)≥12</w:t>
                  </w:r>
                  <w:r>
                    <w:rPr>
                      <w:rFonts w:ascii="仿宋_GB2312" w:hAnsi="仿宋_GB2312" w:cs="仿宋_GB2312" w:eastAsia="仿宋_GB2312"/>
                      <w:sz w:val="24"/>
                    </w:rPr>
                    <w:t>000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额定载质量</w:t>
                  </w:r>
                  <w:r>
                    <w:rPr>
                      <w:rFonts w:ascii="仿宋_GB2312" w:hAnsi="仿宋_GB2312" w:cs="仿宋_GB2312" w:eastAsia="仿宋_GB2312"/>
                      <w:sz w:val="24"/>
                    </w:rPr>
                    <w:t>(kg)≥4000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整备质量</w:t>
                  </w:r>
                  <w:r>
                    <w:rPr>
                      <w:rFonts w:ascii="仿宋_GB2312" w:hAnsi="仿宋_GB2312" w:cs="仿宋_GB2312" w:eastAsia="仿宋_GB2312"/>
                      <w:sz w:val="24"/>
                    </w:rPr>
                    <w:t>(kg)≤</w:t>
                  </w:r>
                  <w:r>
                    <w:rPr>
                      <w:rFonts w:ascii="仿宋_GB2312" w:hAnsi="仿宋_GB2312" w:cs="仿宋_GB2312" w:eastAsia="仿宋_GB2312"/>
                      <w:sz w:val="24"/>
                    </w:rPr>
                    <w:t>85</w:t>
                  </w:r>
                  <w:r>
                    <w:rPr>
                      <w:rFonts w:ascii="仿宋_GB2312" w:hAnsi="仿宋_GB2312" w:cs="仿宋_GB2312" w:eastAsia="仿宋_GB2312"/>
                      <w:sz w:val="24"/>
                    </w:rPr>
                    <w:t>00</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轴距</w:t>
                  </w:r>
                  <w:r>
                    <w:rPr>
                      <w:rFonts w:ascii="仿宋_GB2312" w:hAnsi="仿宋_GB2312" w:cs="仿宋_GB2312" w:eastAsia="仿宋_GB2312"/>
                      <w:sz w:val="24"/>
                    </w:rPr>
                    <w:t>(mm)≤4200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前悬</w:t>
                  </w:r>
                  <w:r>
                    <w:rPr>
                      <w:rFonts w:ascii="仿宋_GB2312" w:hAnsi="仿宋_GB2312" w:cs="仿宋_GB2312" w:eastAsia="仿宋_GB2312"/>
                      <w:sz w:val="24"/>
                    </w:rPr>
                    <w:t>/后悬（mm）≤2200/1800</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接近离去角</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18/10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8.驱动电机峰值功率(kW)≥180</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高压水泵额定压力</w:t>
                  </w:r>
                  <w:r>
                    <w:rPr>
                      <w:rFonts w:ascii="仿宋_GB2312" w:hAnsi="仿宋_GB2312" w:cs="仿宋_GB2312" w:eastAsia="仿宋_GB2312"/>
                      <w:sz w:val="24"/>
                    </w:rPr>
                    <w:t>(Mpa)≥12</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水箱容积</w:t>
                  </w:r>
                  <w:r>
                    <w:rPr>
                      <w:rFonts w:ascii="仿宋_GB2312" w:hAnsi="仿宋_GB2312" w:cs="仿宋_GB2312" w:eastAsia="仿宋_GB2312"/>
                      <w:sz w:val="24"/>
                    </w:rPr>
                    <w:t>(m³)≥6</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垃圾箱容积</w:t>
                  </w:r>
                  <w:r>
                    <w:rPr>
                      <w:rFonts w:ascii="仿宋_GB2312" w:hAnsi="仿宋_GB2312" w:cs="仿宋_GB2312" w:eastAsia="仿宋_GB2312"/>
                      <w:sz w:val="24"/>
                    </w:rPr>
                    <w:t>(m³)≥4</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洗扫净率</w:t>
                  </w:r>
                  <w:r>
                    <w:rPr>
                      <w:rFonts w:ascii="仿宋_GB2312" w:hAnsi="仿宋_GB2312" w:cs="仿宋_GB2312" w:eastAsia="仿宋_GB2312"/>
                      <w:sz w:val="24"/>
                    </w:rPr>
                    <w:t>(%)≥95</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电池总储电量</w:t>
                  </w:r>
                  <w:r>
                    <w:rPr>
                      <w:rFonts w:ascii="仿宋_GB2312" w:hAnsi="仿宋_GB2312" w:cs="仿宋_GB2312" w:eastAsia="仿宋_GB2312"/>
                      <w:sz w:val="24"/>
                    </w:rPr>
                    <w:t>(kWh)≥140</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风机电机额定功率</w:t>
                  </w:r>
                  <w:r>
                    <w:rPr>
                      <w:rFonts w:ascii="仿宋_GB2312" w:hAnsi="仿宋_GB2312" w:cs="仿宋_GB2312" w:eastAsia="仿宋_GB2312"/>
                      <w:sz w:val="24"/>
                    </w:rPr>
                    <w:t>(kW)≥30</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水泵、油泵电机额定功率</w:t>
                  </w:r>
                  <w:r>
                    <w:rPr>
                      <w:rFonts w:ascii="仿宋_GB2312" w:hAnsi="仿宋_GB2312" w:cs="仿宋_GB2312" w:eastAsia="仿宋_GB2312"/>
                      <w:sz w:val="24"/>
                    </w:rPr>
                    <w:t>(kW)≥20</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电池材质：磷酸铁锂或优于</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续驶里程</w:t>
                  </w:r>
                  <w:r>
                    <w:rPr>
                      <w:rFonts w:ascii="仿宋_GB2312" w:hAnsi="仿宋_GB2312" w:cs="仿宋_GB2312" w:eastAsia="仿宋_GB2312"/>
                      <w:sz w:val="24"/>
                    </w:rPr>
                    <w:t>(km，等速法)≥3</w:t>
                  </w:r>
                  <w:r>
                    <w:rPr>
                      <w:rFonts w:ascii="仿宋_GB2312" w:hAnsi="仿宋_GB2312" w:cs="仿宋_GB2312" w:eastAsia="仿宋_GB2312"/>
                      <w:sz w:val="24"/>
                    </w:rPr>
                    <w:t>0</w:t>
                  </w:r>
                  <w:r>
                    <w:rPr>
                      <w:rFonts w:ascii="仿宋_GB2312" w:hAnsi="仿宋_GB2312" w:cs="仿宋_GB2312" w:eastAsia="仿宋_GB2312"/>
                      <w:sz w:val="24"/>
                    </w:rPr>
                    <w:t>0</w:t>
                  </w:r>
                </w:p>
                <w:p>
                  <w:pPr>
                    <w:pStyle w:val="null3"/>
                    <w:jc w:val="left"/>
                  </w:pPr>
                  <w:r>
                    <w:rPr>
                      <w:rFonts w:ascii="仿宋_GB2312" w:hAnsi="仿宋_GB2312" w:cs="仿宋_GB2312" w:eastAsia="仿宋_GB2312"/>
                      <w:sz w:val="24"/>
                    </w:rPr>
                    <w:t>二、主要性能特点</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需配有独立的风机电机，由电机直接驱动叶轮旋转。</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扫盘需具有防撞避障和自动复位功能。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左、右高压侧喷杆与吸嘴需采用</w:t>
                  </w:r>
                  <w:r>
                    <w:rPr>
                      <w:rFonts w:ascii="仿宋_GB2312" w:hAnsi="仿宋_GB2312" w:cs="仿宋_GB2312" w:eastAsia="仿宋_GB2312"/>
                      <w:sz w:val="24"/>
                    </w:rPr>
                    <w:t>“V”型布置，且喷杆有防撞和自动复位功能。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吸嘴总宽需不小于</w:t>
                  </w:r>
                  <w:r>
                    <w:rPr>
                      <w:rFonts w:ascii="仿宋_GB2312" w:hAnsi="仿宋_GB2312" w:cs="仿宋_GB2312" w:eastAsia="仿宋_GB2312"/>
                      <w:sz w:val="24"/>
                    </w:rPr>
                    <w:t>1800mm，吸污宽度不小于1700mm。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高压水路系统中需设有卸荷阀，可保证在作业停止时卸荷降压，对系统起到保护作用；</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高压水路上需装有压力表</w:t>
                  </w:r>
                  <w:r>
                    <w:rPr>
                      <w:rFonts w:ascii="仿宋_GB2312" w:hAnsi="仿宋_GB2312" w:cs="仿宋_GB2312" w:eastAsia="仿宋_GB2312"/>
                      <w:sz w:val="24"/>
                    </w:rPr>
                    <w:t>，</w:t>
                  </w:r>
                  <w:r>
                    <w:rPr>
                      <w:rFonts w:ascii="仿宋_GB2312" w:hAnsi="仿宋_GB2312" w:cs="仿宋_GB2312" w:eastAsia="仿宋_GB2312"/>
                      <w:sz w:val="24"/>
                    </w:rPr>
                    <w:t>高压水泵进水口前需设有过滤器。</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垃圾箱需采用不锈钢板焊接而成</w:t>
                  </w:r>
                  <w:r>
                    <w:rPr>
                      <w:rFonts w:ascii="仿宋_GB2312" w:hAnsi="仿宋_GB2312" w:cs="仿宋_GB2312" w:eastAsia="仿宋_GB2312"/>
                      <w:sz w:val="24"/>
                    </w:rPr>
                    <w:t>，</w:t>
                  </w:r>
                  <w:r>
                    <w:rPr>
                      <w:rFonts w:ascii="仿宋_GB2312" w:hAnsi="仿宋_GB2312" w:cs="仿宋_GB2312" w:eastAsia="仿宋_GB2312"/>
                      <w:sz w:val="24"/>
                    </w:rPr>
                    <w:t>清水箱需设置低水位传感器；</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垃圾箱内部需设有滤网，可有效防止树叶、塑料袋等轻飘堵塞风口；</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垃圾箱后门卸料口下侧需设有导水槽</w:t>
                  </w:r>
                  <w:r>
                    <w:rPr>
                      <w:rFonts w:ascii="仿宋_GB2312" w:hAnsi="仿宋_GB2312" w:cs="仿宋_GB2312" w:eastAsia="仿宋_GB2312"/>
                      <w:sz w:val="24"/>
                    </w:rPr>
                    <w:t>,避免卸料时污水飞溅；</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垃圾箱后门需设有圆形观察孔和放水阀；垃圾箱内需设有高压自洁装置；</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驾驶室内需配有显示屏，用于车辆的各种洗扫作业、状态监控、信息查询。</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车辆的右后侧需设有操作面板，用于垃圾箱的卸料、调试维修。</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驾驶室内装有彩色显示屏，车辆的右边、后部需装有摄像头。</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操作系统需设置全扫、左扫、右扫，全洗扫、左洗扫、右洗扫、全洗、左洗、右洗、纯吸共</w:t>
                  </w:r>
                  <w:r>
                    <w:rPr>
                      <w:rFonts w:ascii="仿宋_GB2312" w:hAnsi="仿宋_GB2312" w:cs="仿宋_GB2312" w:eastAsia="仿宋_GB2312"/>
                      <w:sz w:val="24"/>
                    </w:rPr>
                    <w:t>10种或更多作业模式</w:t>
                  </w:r>
                  <w:r>
                    <w:rPr>
                      <w:rFonts w:ascii="仿宋_GB2312" w:hAnsi="仿宋_GB2312" w:cs="仿宋_GB2312" w:eastAsia="仿宋_GB2312"/>
                      <w:sz w:val="24"/>
                    </w:rPr>
                    <w:t>。</w:t>
                  </w:r>
                  <w:r>
                    <w:rPr>
                      <w:rFonts w:ascii="仿宋_GB2312" w:hAnsi="仿宋_GB2312" w:cs="仿宋_GB2312" w:eastAsia="仿宋_GB2312"/>
                      <w:sz w:val="24"/>
                    </w:rPr>
                    <w:t>可根据作业需要，选择合适的作业模式可实现一键起动或一键停机。</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需配备语音报警系统。</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车辆需配有高压手持喷枪</w:t>
                  </w:r>
                  <w:r>
                    <w:rPr>
                      <w:rFonts w:ascii="仿宋_GB2312" w:hAnsi="仿宋_GB2312" w:cs="仿宋_GB2312" w:eastAsia="仿宋_GB2312"/>
                      <w:sz w:val="24"/>
                    </w:rPr>
                    <w:t>+卷管盘，可清洗道路两侧的污垢，牛皮癣，广告牌等。</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需配有自动吹水装置，在冬季作业完成后，可对管路进行自动吹水，确保管路冬季不会冻坏，以便下次作业。</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纯电动清洗车</w:t>
                  </w:r>
                  <w:r>
                    <w:rPr>
                      <w:rFonts w:ascii="仿宋_GB2312" w:hAnsi="仿宋_GB2312" w:cs="仿宋_GB2312" w:eastAsia="仿宋_GB2312"/>
                      <w:sz w:val="24"/>
                      <w:color w:val="000000"/>
                    </w:rPr>
                    <w:t>/洒水车</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一．主要技术参数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外型尺寸：长</w:t>
                  </w:r>
                  <w:r>
                    <w:rPr>
                      <w:rFonts w:ascii="仿宋_GB2312" w:hAnsi="仿宋_GB2312" w:cs="仿宋_GB2312" w:eastAsia="仿宋_GB2312"/>
                      <w:sz w:val="24"/>
                    </w:rPr>
                    <w:t>×宽×高(mm)≥7</w:t>
                  </w:r>
                  <w:r>
                    <w:rPr>
                      <w:rFonts w:ascii="仿宋_GB2312" w:hAnsi="仿宋_GB2312" w:cs="仿宋_GB2312" w:eastAsia="仿宋_GB2312"/>
                      <w:sz w:val="24"/>
                    </w:rPr>
                    <w:t>8</w:t>
                  </w:r>
                  <w:r>
                    <w:rPr>
                      <w:rFonts w:ascii="仿宋_GB2312" w:hAnsi="仿宋_GB2312" w:cs="仿宋_GB2312" w:eastAsia="仿宋_GB2312"/>
                      <w:sz w:val="24"/>
                    </w:rPr>
                    <w:t>00×2</w:t>
                  </w:r>
                  <w:r>
                    <w:rPr>
                      <w:rFonts w:ascii="仿宋_GB2312" w:hAnsi="仿宋_GB2312" w:cs="仿宋_GB2312" w:eastAsia="仿宋_GB2312"/>
                      <w:sz w:val="24"/>
                    </w:rPr>
                    <w:t>5</w:t>
                  </w:r>
                  <w:r>
                    <w:rPr>
                      <w:rFonts w:ascii="仿宋_GB2312" w:hAnsi="仿宋_GB2312" w:cs="仿宋_GB2312" w:eastAsia="仿宋_GB2312"/>
                      <w:sz w:val="24"/>
                    </w:rPr>
                    <w:t>00×2</w:t>
                  </w:r>
                  <w:r>
                    <w:rPr>
                      <w:rFonts w:ascii="仿宋_GB2312" w:hAnsi="仿宋_GB2312" w:cs="仿宋_GB2312" w:eastAsia="仿宋_GB2312"/>
                      <w:sz w:val="24"/>
                    </w:rPr>
                    <w:t>9</w:t>
                  </w:r>
                  <w:r>
                    <w:rPr>
                      <w:rFonts w:ascii="仿宋_GB2312" w:hAnsi="仿宋_GB2312" w:cs="仿宋_GB2312" w:eastAsia="仿宋_GB2312"/>
                      <w:sz w:val="24"/>
                    </w:rPr>
                    <w:t>00</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最大总质量（</w:t>
                  </w:r>
                  <w:r>
                    <w:rPr>
                      <w:rFonts w:ascii="仿宋_GB2312" w:hAnsi="仿宋_GB2312" w:cs="仿宋_GB2312" w:eastAsia="仿宋_GB2312"/>
                      <w:sz w:val="24"/>
                    </w:rPr>
                    <w:t>kg）≥18000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额定载质量（</w:t>
                  </w:r>
                  <w:r>
                    <w:rPr>
                      <w:rFonts w:ascii="仿宋_GB2312" w:hAnsi="仿宋_GB2312" w:cs="仿宋_GB2312" w:eastAsia="仿宋_GB2312"/>
                      <w:sz w:val="24"/>
                    </w:rPr>
                    <w:t>kg）≥10000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整备质量（</w:t>
                  </w:r>
                  <w:r>
                    <w:rPr>
                      <w:rFonts w:ascii="仿宋_GB2312" w:hAnsi="仿宋_GB2312" w:cs="仿宋_GB2312" w:eastAsia="仿宋_GB2312"/>
                      <w:sz w:val="24"/>
                    </w:rPr>
                    <w:t>kg）≤7700</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轴距（</w:t>
                  </w:r>
                  <w:r>
                    <w:rPr>
                      <w:rFonts w:ascii="仿宋_GB2312" w:hAnsi="仿宋_GB2312" w:cs="仿宋_GB2312" w:eastAsia="仿宋_GB2312"/>
                      <w:sz w:val="24"/>
                    </w:rPr>
                    <w:t>mm）≥4500</w:t>
                  </w:r>
                </w:p>
                <w:p>
                  <w:pPr>
                    <w:pStyle w:val="null3"/>
                    <w:jc w:val="left"/>
                  </w:pPr>
                  <w:r>
                    <w:rPr>
                      <w:rFonts w:ascii="仿宋_GB2312" w:hAnsi="仿宋_GB2312" w:cs="仿宋_GB2312" w:eastAsia="仿宋_GB2312"/>
                      <w:sz w:val="24"/>
                    </w:rPr>
                    <w:t>▲6.前悬/后悬（mm）≤1500/2100</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接近离去角</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11/11</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动力电池类型</w:t>
                  </w:r>
                  <w:r>
                    <w:rPr>
                      <w:rFonts w:ascii="仿宋_GB2312" w:hAnsi="仿宋_GB2312" w:cs="仿宋_GB2312" w:eastAsia="仿宋_GB2312"/>
                      <w:sz w:val="24"/>
                    </w:rPr>
                    <w:t>：</w:t>
                  </w:r>
                  <w:r>
                    <w:rPr>
                      <w:rFonts w:ascii="仿宋_GB2312" w:hAnsi="仿宋_GB2312" w:cs="仿宋_GB2312" w:eastAsia="仿宋_GB2312"/>
                      <w:sz w:val="24"/>
                    </w:rPr>
                    <w:t>磷酸铁锂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驱动电机峰值功率（</w:t>
                  </w:r>
                  <w:r>
                    <w:rPr>
                      <w:rFonts w:ascii="仿宋_GB2312" w:hAnsi="仿宋_GB2312" w:cs="仿宋_GB2312" w:eastAsia="仿宋_GB2312"/>
                      <w:sz w:val="24"/>
                    </w:rPr>
                    <w:t>kW）≥150</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动力电池存储容量（</w:t>
                  </w:r>
                  <w:r>
                    <w:rPr>
                      <w:rFonts w:ascii="仿宋_GB2312" w:hAnsi="仿宋_GB2312" w:cs="仿宋_GB2312" w:eastAsia="仿宋_GB2312"/>
                      <w:sz w:val="24"/>
                    </w:rPr>
                    <w:t>kWh）≥15</w:t>
                  </w:r>
                  <w:r>
                    <w:rPr>
                      <w:rFonts w:ascii="仿宋_GB2312" w:hAnsi="仿宋_GB2312" w:cs="仿宋_GB2312" w:eastAsia="仿宋_GB2312"/>
                      <w:sz w:val="24"/>
                    </w:rPr>
                    <w:t>0</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等速续航里程（</w:t>
                  </w:r>
                  <w:r>
                    <w:rPr>
                      <w:rFonts w:ascii="仿宋_GB2312" w:hAnsi="仿宋_GB2312" w:cs="仿宋_GB2312" w:eastAsia="仿宋_GB2312"/>
                      <w:sz w:val="24"/>
                    </w:rPr>
                    <w:t>km）≥240</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水罐公告总容积（</w:t>
                  </w:r>
                  <w:r>
                    <w:rPr>
                      <w:rFonts w:ascii="仿宋_GB2312" w:hAnsi="仿宋_GB2312" w:cs="仿宋_GB2312" w:eastAsia="仿宋_GB2312"/>
                      <w:sz w:val="24"/>
                    </w:rPr>
                    <w:t>m³）≥10</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对冲作业宽度（</w:t>
                  </w:r>
                  <w:r>
                    <w:rPr>
                      <w:rFonts w:ascii="仿宋_GB2312" w:hAnsi="仿宋_GB2312" w:cs="仿宋_GB2312" w:eastAsia="仿宋_GB2312"/>
                      <w:sz w:val="24"/>
                    </w:rPr>
                    <w:t>m）≥24</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洒水作业宽度（</w:t>
                  </w:r>
                  <w:r>
                    <w:rPr>
                      <w:rFonts w:ascii="仿宋_GB2312" w:hAnsi="仿宋_GB2312" w:cs="仿宋_GB2312" w:eastAsia="仿宋_GB2312"/>
                      <w:sz w:val="24"/>
                    </w:rPr>
                    <w:t>m）≥14</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洒水炮射程（</w:t>
                  </w:r>
                  <w:r>
                    <w:rPr>
                      <w:rFonts w:ascii="仿宋_GB2312" w:hAnsi="仿宋_GB2312" w:cs="仿宋_GB2312" w:eastAsia="仿宋_GB2312"/>
                      <w:sz w:val="24"/>
                    </w:rPr>
                    <w:t>m）≥38</w:t>
                  </w:r>
                </w:p>
                <w:p>
                  <w:pPr>
                    <w:pStyle w:val="null3"/>
                    <w:jc w:val="left"/>
                  </w:pPr>
                  <w:r>
                    <w:rPr>
                      <w:rFonts w:ascii="仿宋_GB2312" w:hAnsi="仿宋_GB2312" w:cs="仿宋_GB2312" w:eastAsia="仿宋_GB2312"/>
                      <w:sz w:val="24"/>
                    </w:rPr>
                    <w:t>二、产品主要性能要求</w:t>
                  </w:r>
                </w:p>
                <w:p>
                  <w:pPr>
                    <w:pStyle w:val="null3"/>
                    <w:jc w:val="left"/>
                  </w:pPr>
                  <w:r>
                    <w:rPr>
                      <w:rFonts w:ascii="仿宋_GB2312" w:hAnsi="仿宋_GB2312" w:cs="仿宋_GB2312" w:eastAsia="仿宋_GB2312"/>
                      <w:sz w:val="24"/>
                    </w:rPr>
                    <w:t>1.罐体进行电泳处理后，需进行二次重防腐。</w:t>
                  </w:r>
                </w:p>
                <w:p>
                  <w:pPr>
                    <w:pStyle w:val="null3"/>
                    <w:jc w:val="left"/>
                  </w:pPr>
                  <w:r>
                    <w:rPr>
                      <w:rFonts w:ascii="仿宋_GB2312" w:hAnsi="仿宋_GB2312" w:cs="仿宋_GB2312" w:eastAsia="仿宋_GB2312"/>
                      <w:sz w:val="24"/>
                    </w:rPr>
                    <w:t>2.车辆的水箱内应设置低水位传感报警系统，无水时自动报警。</w:t>
                  </w:r>
                </w:p>
                <w:p>
                  <w:pPr>
                    <w:pStyle w:val="null3"/>
                    <w:jc w:val="left"/>
                  </w:pPr>
                  <w:r>
                    <w:rPr>
                      <w:rFonts w:ascii="仿宋_GB2312" w:hAnsi="仿宋_GB2312" w:cs="仿宋_GB2312" w:eastAsia="仿宋_GB2312"/>
                      <w:sz w:val="24"/>
                    </w:rPr>
                    <w:t>3.配备冷暖空调。</w:t>
                  </w:r>
                </w:p>
                <w:p>
                  <w:pPr>
                    <w:pStyle w:val="null3"/>
                    <w:jc w:val="left"/>
                  </w:pPr>
                  <w:r>
                    <w:rPr>
                      <w:rFonts w:ascii="仿宋_GB2312" w:hAnsi="仿宋_GB2312" w:cs="仿宋_GB2312" w:eastAsia="仿宋_GB2312"/>
                      <w:sz w:val="24"/>
                    </w:rPr>
                    <w:t>4.为了保证产品三电系统的安全性，驱动电机、整车控制器、电池防护等级达到IP67或以上（提供证明材料）</w:t>
                  </w:r>
                </w:p>
                <w:p>
                  <w:pPr>
                    <w:pStyle w:val="null3"/>
                    <w:jc w:val="left"/>
                  </w:pPr>
                  <w:r>
                    <w:rPr>
                      <w:rFonts w:ascii="仿宋_GB2312" w:hAnsi="仿宋_GB2312" w:cs="仿宋_GB2312" w:eastAsia="仿宋_GB2312"/>
                      <w:sz w:val="24"/>
                    </w:rPr>
                    <w:t>5.要求驾驶室操作使用显示屏，工作装置一键启动，各作业机构的启动与关停需程序自动控制。</w:t>
                  </w:r>
                </w:p>
                <w:p>
                  <w:pPr>
                    <w:pStyle w:val="null3"/>
                    <w:jc w:val="left"/>
                  </w:pPr>
                  <w:r>
                    <w:rPr>
                      <w:rFonts w:ascii="仿宋_GB2312" w:hAnsi="仿宋_GB2312" w:cs="仿宋_GB2312" w:eastAsia="仿宋_GB2312"/>
                      <w:sz w:val="24"/>
                    </w:rPr>
                    <w:t>6.要求配备工作装置自动启停功能，车辆等红绿灯时，能够降低电机转速，停止喷水和洒水动作，防止路面积水。</w:t>
                  </w:r>
                </w:p>
                <w:p>
                  <w:pPr>
                    <w:pStyle w:val="null3"/>
                    <w:jc w:val="left"/>
                  </w:pPr>
                  <w:r>
                    <w:rPr>
                      <w:rFonts w:ascii="仿宋_GB2312" w:hAnsi="仿宋_GB2312" w:cs="仿宋_GB2312" w:eastAsia="仿宋_GB2312"/>
                      <w:sz w:val="24"/>
                    </w:rPr>
                    <w:t>7.要求配置坡道辅助系统和牵引力控制系统。</w:t>
                  </w:r>
                </w:p>
                <w:p>
                  <w:pPr>
                    <w:pStyle w:val="null3"/>
                    <w:jc w:val="left"/>
                  </w:pPr>
                  <w:r>
                    <w:rPr>
                      <w:rFonts w:ascii="仿宋_GB2312" w:hAnsi="仿宋_GB2312" w:cs="仿宋_GB2312" w:eastAsia="仿宋_GB2312"/>
                      <w:sz w:val="24"/>
                    </w:rPr>
                    <w:t>8.车辆需配备对冲冲洗、后洒水冲洗、洒水炮功能。</w:t>
                  </w:r>
                </w:p>
                <w:p>
                  <w:pPr>
                    <w:pStyle w:val="null3"/>
                    <w:jc w:val="left"/>
                  </w:pPr>
                  <w:r>
                    <w:rPr>
                      <w:rFonts w:ascii="仿宋_GB2312" w:hAnsi="仿宋_GB2312" w:cs="仿宋_GB2312" w:eastAsia="仿宋_GB2312"/>
                      <w:sz w:val="24"/>
                    </w:rPr>
                    <w:t>9.要求车辆具有数字化平台，可支持多种终端进入，具有包括但不限于能够进行远程升级、随时随地查看车辆位置、监控驾驶状态、能耗、上下班打卡、提醒车辆维修保养时间、显示车辆故障、故障报修、维修进度跟踪、网上“采购配件”、查看操作、维修视频、车辆手册，提高用车质量和管车效率。(提供上述功能截图佐证)</w:t>
                  </w:r>
                  <w:r>
                    <w:rPr>
                      <w:rFonts w:ascii="仿宋_GB2312" w:hAnsi="仿宋_GB2312" w:cs="仿宋_GB2312" w:eastAsia="仿宋_GB2312"/>
                      <w:sz w:val="24"/>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纯电动路面养护车</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一、主要技术参数</w:t>
                  </w:r>
                </w:p>
                <w:p>
                  <w:pPr>
                    <w:pStyle w:val="null3"/>
                  </w:pPr>
                  <w:r>
                    <w:rPr>
                      <w:rFonts w:ascii="仿宋_GB2312" w:hAnsi="仿宋_GB2312" w:cs="仿宋_GB2312" w:eastAsia="仿宋_GB2312"/>
                      <w:sz w:val="24"/>
                    </w:rPr>
                    <w:t>1.</w:t>
                  </w:r>
                  <w:r>
                    <w:rPr>
                      <w:rFonts w:ascii="仿宋_GB2312" w:hAnsi="仿宋_GB2312" w:cs="仿宋_GB2312" w:eastAsia="仿宋_GB2312"/>
                      <w:sz w:val="24"/>
                    </w:rPr>
                    <w:t>外型尺寸：长</w:t>
                  </w:r>
                  <w:r>
                    <w:rPr>
                      <w:rFonts w:ascii="仿宋_GB2312" w:hAnsi="仿宋_GB2312" w:cs="仿宋_GB2312" w:eastAsia="仿宋_GB2312"/>
                      <w:sz w:val="24"/>
                    </w:rPr>
                    <w:t>×宽×高(mm)≥5</w:t>
                  </w:r>
                  <w:r>
                    <w:rPr>
                      <w:rFonts w:ascii="仿宋_GB2312" w:hAnsi="仿宋_GB2312" w:cs="仿宋_GB2312" w:eastAsia="仿宋_GB2312"/>
                      <w:sz w:val="24"/>
                    </w:rPr>
                    <w:t>46</w:t>
                  </w:r>
                  <w:r>
                    <w:rPr>
                      <w:rFonts w:ascii="仿宋_GB2312" w:hAnsi="仿宋_GB2312" w:cs="仿宋_GB2312" w:eastAsia="仿宋_GB2312"/>
                      <w:sz w:val="24"/>
                    </w:rPr>
                    <w:t>0×</w:t>
                  </w:r>
                  <w:r>
                    <w:rPr>
                      <w:rFonts w:ascii="仿宋_GB2312" w:hAnsi="仿宋_GB2312" w:cs="仿宋_GB2312" w:eastAsia="仿宋_GB2312"/>
                      <w:sz w:val="24"/>
                    </w:rPr>
                    <w:t>1750</w:t>
                  </w:r>
                  <w:r>
                    <w:rPr>
                      <w:rFonts w:ascii="仿宋_GB2312" w:hAnsi="仿宋_GB2312" w:cs="仿宋_GB2312" w:eastAsia="仿宋_GB2312"/>
                      <w:sz w:val="24"/>
                    </w:rPr>
                    <w:t>×</w:t>
                  </w:r>
                  <w:r>
                    <w:rPr>
                      <w:rFonts w:ascii="仿宋_GB2312" w:hAnsi="仿宋_GB2312" w:cs="仿宋_GB2312" w:eastAsia="仿宋_GB2312"/>
                      <w:sz w:val="24"/>
                    </w:rPr>
                    <w:t>210</w:t>
                  </w:r>
                  <w:r>
                    <w:rPr>
                      <w:rFonts w:ascii="仿宋_GB2312" w:hAnsi="仿宋_GB2312" w:cs="仿宋_GB2312" w:eastAsia="仿宋_GB2312"/>
                      <w:sz w:val="24"/>
                    </w:rPr>
                    <w:t>0</w:t>
                  </w:r>
                </w:p>
                <w:p>
                  <w:pPr>
                    <w:pStyle w:val="null3"/>
                  </w:pPr>
                  <w:r>
                    <w:rPr>
                      <w:rFonts w:ascii="仿宋_GB2312" w:hAnsi="仿宋_GB2312" w:cs="仿宋_GB2312" w:eastAsia="仿宋_GB2312"/>
                      <w:sz w:val="24"/>
                    </w:rPr>
                    <w:t>2.最大总质量(kg) ≥4000</w:t>
                  </w:r>
                </w:p>
                <w:p>
                  <w:pPr>
                    <w:pStyle w:val="null3"/>
                  </w:pPr>
                  <w:r>
                    <w:rPr>
                      <w:rFonts w:ascii="仿宋_GB2312" w:hAnsi="仿宋_GB2312" w:cs="仿宋_GB2312" w:eastAsia="仿宋_GB2312"/>
                      <w:sz w:val="24"/>
                    </w:rPr>
                    <w:t>3.额定载质量(kg)≥1600</w:t>
                  </w:r>
                </w:p>
                <w:p>
                  <w:pPr>
                    <w:pStyle w:val="null3"/>
                  </w:pPr>
                  <w:r>
                    <w:rPr>
                      <w:rFonts w:ascii="仿宋_GB2312" w:hAnsi="仿宋_GB2312" w:cs="仿宋_GB2312" w:eastAsia="仿宋_GB2312"/>
                      <w:sz w:val="24"/>
                    </w:rPr>
                    <w:t>4.整备质量（kg）≤3000</w:t>
                  </w:r>
                </w:p>
                <w:p>
                  <w:pPr>
                    <w:pStyle w:val="null3"/>
                  </w:pPr>
                  <w:r>
                    <w:rPr>
                      <w:rFonts w:ascii="仿宋_GB2312" w:hAnsi="仿宋_GB2312" w:cs="仿宋_GB2312" w:eastAsia="仿宋_GB2312"/>
                      <w:sz w:val="24"/>
                    </w:rPr>
                    <w:t>5.</w:t>
                  </w:r>
                  <w:r>
                    <w:rPr>
                      <w:rFonts w:ascii="仿宋_GB2312" w:hAnsi="仿宋_GB2312" w:cs="仿宋_GB2312" w:eastAsia="仿宋_GB2312"/>
                      <w:sz w:val="24"/>
                    </w:rPr>
                    <w:t>轴距（</w:t>
                  </w:r>
                  <w:r>
                    <w:rPr>
                      <w:rFonts w:ascii="仿宋_GB2312" w:hAnsi="仿宋_GB2312" w:cs="仿宋_GB2312" w:eastAsia="仿宋_GB2312"/>
                      <w:sz w:val="24"/>
                    </w:rPr>
                    <w:t>mm）≥</w:t>
                  </w:r>
                  <w:r>
                    <w:rPr>
                      <w:rFonts w:ascii="仿宋_GB2312" w:hAnsi="仿宋_GB2312" w:cs="仿宋_GB2312" w:eastAsia="仿宋_GB2312"/>
                      <w:sz w:val="24"/>
                    </w:rPr>
                    <w:t>28</w:t>
                  </w:r>
                  <w:r>
                    <w:rPr>
                      <w:rFonts w:ascii="仿宋_GB2312" w:hAnsi="仿宋_GB2312" w:cs="仿宋_GB2312" w:eastAsia="仿宋_GB2312"/>
                      <w:sz w:val="24"/>
                    </w:rPr>
                    <w:t>00</w:t>
                  </w:r>
                </w:p>
                <w:p>
                  <w:pPr>
                    <w:pStyle w:val="null3"/>
                  </w:pPr>
                  <w:r>
                    <w:rPr>
                      <w:rFonts w:ascii="仿宋_GB2312" w:hAnsi="仿宋_GB2312" w:cs="仿宋_GB2312" w:eastAsia="仿宋_GB2312"/>
                      <w:sz w:val="24"/>
                    </w:rPr>
                    <w:t>6.</w:t>
                  </w:r>
                  <w:r>
                    <w:rPr>
                      <w:rFonts w:ascii="仿宋_GB2312" w:hAnsi="仿宋_GB2312" w:cs="仿宋_GB2312" w:eastAsia="仿宋_GB2312"/>
                      <w:sz w:val="24"/>
                    </w:rPr>
                    <w:t>前悬</w:t>
                  </w:r>
                  <w:r>
                    <w:rPr>
                      <w:rFonts w:ascii="仿宋_GB2312" w:hAnsi="仿宋_GB2312" w:cs="仿宋_GB2312" w:eastAsia="仿宋_GB2312"/>
                      <w:sz w:val="24"/>
                    </w:rPr>
                    <w:t>/</w:t>
                  </w:r>
                  <w:r>
                    <w:rPr>
                      <w:rFonts w:ascii="仿宋_GB2312" w:hAnsi="仿宋_GB2312" w:cs="仿宋_GB2312" w:eastAsia="仿宋_GB2312"/>
                      <w:sz w:val="24"/>
                    </w:rPr>
                    <w:t>后悬</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1200/1150</w:t>
                  </w:r>
                </w:p>
                <w:p>
                  <w:pPr>
                    <w:pStyle w:val="null3"/>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接近离去角</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20</w:t>
                  </w:r>
                </w:p>
                <w:p>
                  <w:pPr>
                    <w:pStyle w:val="null3"/>
                  </w:pPr>
                  <w:r>
                    <w:rPr>
                      <w:rFonts w:ascii="仿宋_GB2312" w:hAnsi="仿宋_GB2312" w:cs="仿宋_GB2312" w:eastAsia="仿宋_GB2312"/>
                      <w:sz w:val="24"/>
                    </w:rPr>
                    <w:t>8.</w:t>
                  </w:r>
                  <w:r>
                    <w:rPr>
                      <w:rFonts w:ascii="仿宋_GB2312" w:hAnsi="仿宋_GB2312" w:cs="仿宋_GB2312" w:eastAsia="仿宋_GB2312"/>
                      <w:sz w:val="24"/>
                    </w:rPr>
                    <w:t>驱动电机峰值功率</w:t>
                  </w:r>
                  <w:r>
                    <w:rPr>
                      <w:rFonts w:ascii="仿宋_GB2312" w:hAnsi="仿宋_GB2312" w:cs="仿宋_GB2312" w:eastAsia="仿宋_GB2312"/>
                      <w:sz w:val="24"/>
                    </w:rPr>
                    <w:t>(kW)≥</w:t>
                  </w:r>
                  <w:r>
                    <w:rPr>
                      <w:rFonts w:ascii="仿宋_GB2312" w:hAnsi="仿宋_GB2312" w:cs="仿宋_GB2312" w:eastAsia="仿宋_GB2312"/>
                      <w:sz w:val="24"/>
                    </w:rPr>
                    <w:t>100</w:t>
                  </w:r>
                </w:p>
                <w:p>
                  <w:pPr>
                    <w:pStyle w:val="null3"/>
                  </w:pPr>
                  <w:r>
                    <w:rPr>
                      <w:rFonts w:ascii="仿宋_GB2312" w:hAnsi="仿宋_GB2312" w:cs="仿宋_GB2312" w:eastAsia="仿宋_GB2312"/>
                      <w:sz w:val="24"/>
                    </w:rPr>
                    <w:t>▲9.</w:t>
                  </w:r>
                  <w:r>
                    <w:rPr>
                      <w:rFonts w:ascii="仿宋_GB2312" w:hAnsi="仿宋_GB2312" w:cs="仿宋_GB2312" w:eastAsia="仿宋_GB2312"/>
                      <w:sz w:val="24"/>
                    </w:rPr>
                    <w:t>电池总储电量</w:t>
                  </w:r>
                  <w:r>
                    <w:rPr>
                      <w:rFonts w:ascii="仿宋_GB2312" w:hAnsi="仿宋_GB2312" w:cs="仿宋_GB2312" w:eastAsia="仿宋_GB2312"/>
                      <w:sz w:val="24"/>
                    </w:rPr>
                    <w:t>(kwh)≥</w:t>
                  </w:r>
                  <w:r>
                    <w:rPr>
                      <w:rFonts w:ascii="仿宋_GB2312" w:hAnsi="仿宋_GB2312" w:cs="仿宋_GB2312" w:eastAsia="仿宋_GB2312"/>
                      <w:sz w:val="24"/>
                    </w:rPr>
                    <w:t>5</w:t>
                  </w:r>
                  <w:r>
                    <w:rPr>
                      <w:rFonts w:ascii="仿宋_GB2312" w:hAnsi="仿宋_GB2312" w:cs="仿宋_GB2312" w:eastAsia="仿宋_GB2312"/>
                      <w:sz w:val="24"/>
                    </w:rPr>
                    <w:t>0</w:t>
                  </w:r>
                </w:p>
                <w:p>
                  <w:pPr>
                    <w:pStyle w:val="null3"/>
                  </w:pPr>
                  <w:r>
                    <w:rPr>
                      <w:rFonts w:ascii="仿宋_GB2312" w:hAnsi="仿宋_GB2312" w:cs="仿宋_GB2312" w:eastAsia="仿宋_GB2312"/>
                      <w:sz w:val="24"/>
                    </w:rPr>
                    <w:t>10.</w:t>
                  </w:r>
                  <w:r>
                    <w:rPr>
                      <w:rFonts w:ascii="仿宋_GB2312" w:hAnsi="仿宋_GB2312" w:cs="仿宋_GB2312" w:eastAsia="仿宋_GB2312"/>
                      <w:sz w:val="24"/>
                    </w:rPr>
                    <w:t>电池种类</w:t>
                  </w:r>
                  <w:r>
                    <w:rPr>
                      <w:rFonts w:ascii="仿宋_GB2312" w:hAnsi="仿宋_GB2312" w:cs="仿宋_GB2312" w:eastAsia="仿宋_GB2312"/>
                      <w:sz w:val="24"/>
                    </w:rPr>
                    <w:t>: 磷酸铁锂或优于</w:t>
                  </w:r>
                </w:p>
                <w:p>
                  <w:pPr>
                    <w:pStyle w:val="null3"/>
                  </w:pPr>
                  <w:r>
                    <w:rPr>
                      <w:rFonts w:ascii="仿宋_GB2312" w:hAnsi="仿宋_GB2312" w:cs="仿宋_GB2312" w:eastAsia="仿宋_GB2312"/>
                      <w:sz w:val="24"/>
                    </w:rPr>
                    <w:t>11.</w:t>
                  </w:r>
                  <w:r>
                    <w:rPr>
                      <w:rFonts w:ascii="仿宋_GB2312" w:hAnsi="仿宋_GB2312" w:cs="仿宋_GB2312" w:eastAsia="仿宋_GB2312"/>
                      <w:sz w:val="24"/>
                    </w:rPr>
                    <w:t>等速续航里程（</w:t>
                  </w:r>
                  <w:r>
                    <w:rPr>
                      <w:rFonts w:ascii="仿宋_GB2312" w:hAnsi="仿宋_GB2312" w:cs="仿宋_GB2312" w:eastAsia="仿宋_GB2312"/>
                      <w:sz w:val="24"/>
                    </w:rPr>
                    <w:t>km）≥</w:t>
                  </w:r>
                  <w:r>
                    <w:rPr>
                      <w:rFonts w:ascii="仿宋_GB2312" w:hAnsi="仿宋_GB2312" w:cs="仿宋_GB2312" w:eastAsia="仿宋_GB2312"/>
                      <w:sz w:val="24"/>
                    </w:rPr>
                    <w:t>200</w:t>
                  </w:r>
                </w:p>
                <w:p>
                  <w:pPr>
                    <w:pStyle w:val="null3"/>
                  </w:pPr>
                  <w:r>
                    <w:rPr>
                      <w:rFonts w:ascii="仿宋_GB2312" w:hAnsi="仿宋_GB2312" w:cs="仿宋_GB2312" w:eastAsia="仿宋_GB2312"/>
                      <w:sz w:val="24"/>
                    </w:rPr>
                    <w:t>12.</w:t>
                  </w:r>
                  <w:r>
                    <w:rPr>
                      <w:rFonts w:ascii="仿宋_GB2312" w:hAnsi="仿宋_GB2312" w:cs="仿宋_GB2312" w:eastAsia="仿宋_GB2312"/>
                      <w:sz w:val="24"/>
                    </w:rPr>
                    <w:t>水箱容积</w:t>
                  </w:r>
                  <w:r>
                    <w:rPr>
                      <w:rFonts w:ascii="仿宋_GB2312" w:hAnsi="仿宋_GB2312" w:cs="仿宋_GB2312" w:eastAsia="仿宋_GB2312"/>
                      <w:sz w:val="24"/>
                    </w:rPr>
                    <w:t>(m³)≥2.</w:t>
                  </w:r>
                  <w:r>
                    <w:rPr>
                      <w:rFonts w:ascii="仿宋_GB2312" w:hAnsi="仿宋_GB2312" w:cs="仿宋_GB2312" w:eastAsia="仿宋_GB2312"/>
                      <w:sz w:val="24"/>
                    </w:rPr>
                    <w:t>0</w:t>
                  </w:r>
                </w:p>
                <w:p>
                  <w:pPr>
                    <w:pStyle w:val="null3"/>
                  </w:pPr>
                  <w:r>
                    <w:rPr>
                      <w:rFonts w:ascii="仿宋_GB2312" w:hAnsi="仿宋_GB2312" w:cs="仿宋_GB2312" w:eastAsia="仿宋_GB2312"/>
                      <w:sz w:val="24"/>
                    </w:rPr>
                    <w:t>13.作业</w:t>
                  </w:r>
                  <w:r>
                    <w:rPr>
                      <w:rFonts w:ascii="仿宋_GB2312" w:hAnsi="仿宋_GB2312" w:cs="仿宋_GB2312" w:eastAsia="仿宋_GB2312"/>
                      <w:sz w:val="24"/>
                    </w:rPr>
                    <w:t>宽度</w:t>
                  </w:r>
                  <w:r>
                    <w:rPr>
                      <w:rFonts w:ascii="仿宋_GB2312" w:hAnsi="仿宋_GB2312" w:cs="仿宋_GB2312" w:eastAsia="仿宋_GB2312"/>
                      <w:sz w:val="24"/>
                    </w:rPr>
                    <w:t>(m)≥1.8</w:t>
                  </w:r>
                </w:p>
                <w:p>
                  <w:pPr>
                    <w:pStyle w:val="null3"/>
                  </w:pPr>
                  <w:r>
                    <w:rPr>
                      <w:rFonts w:ascii="仿宋_GB2312" w:hAnsi="仿宋_GB2312" w:cs="仿宋_GB2312" w:eastAsia="仿宋_GB2312"/>
                      <w:sz w:val="24"/>
                    </w:rPr>
                    <w:t>二、主要性能特点</w:t>
                  </w:r>
                </w:p>
                <w:p>
                  <w:pPr>
                    <w:pStyle w:val="null3"/>
                  </w:pPr>
                  <w:r>
                    <w:rPr>
                      <w:rFonts w:ascii="仿宋_GB2312" w:hAnsi="仿宋_GB2312" w:cs="仿宋_GB2312" w:eastAsia="仿宋_GB2312"/>
                      <w:sz w:val="24"/>
                      <w:color w:val="000000"/>
                    </w:rPr>
                    <w:t>1.水箱</w:t>
                  </w:r>
                  <w:r>
                    <w:rPr>
                      <w:rFonts w:ascii="仿宋_GB2312" w:hAnsi="仿宋_GB2312" w:cs="仿宋_GB2312" w:eastAsia="仿宋_GB2312"/>
                      <w:sz w:val="24"/>
                      <w:color w:val="000000"/>
                    </w:rPr>
                    <w:t>需</w:t>
                  </w:r>
                  <w:r>
                    <w:rPr>
                      <w:rFonts w:ascii="仿宋_GB2312" w:hAnsi="仿宋_GB2312" w:cs="仿宋_GB2312" w:eastAsia="仿宋_GB2312"/>
                      <w:sz w:val="24"/>
                      <w:color w:val="000000"/>
                    </w:rPr>
                    <w:t>具有上、下加水口，适应不同地区的取水要求。</w:t>
                  </w:r>
                </w:p>
                <w:p>
                  <w:pPr>
                    <w:pStyle w:val="null3"/>
                  </w:pPr>
                  <w:r>
                    <w:rPr>
                      <w:rFonts w:ascii="仿宋_GB2312" w:hAnsi="仿宋_GB2312" w:cs="仿宋_GB2312" w:eastAsia="仿宋_GB2312"/>
                      <w:sz w:val="24"/>
                      <w:color w:val="000000"/>
                    </w:rPr>
                    <w:t>2.需配有上装电机，通过万向节传动轴直连驱动高压水泵进行高压清洗作业。</w:t>
                  </w:r>
                </w:p>
                <w:p>
                  <w:pPr>
                    <w:pStyle w:val="null3"/>
                  </w:pPr>
                  <w:r>
                    <w:rPr>
                      <w:rFonts w:ascii="仿宋_GB2312" w:hAnsi="仿宋_GB2312" w:cs="仿宋_GB2312" w:eastAsia="仿宋_GB2312"/>
                      <w:sz w:val="24"/>
                      <w:color w:val="000000"/>
                    </w:rPr>
                    <w:t>3.需</w:t>
                  </w:r>
                  <w:r>
                    <w:rPr>
                      <w:rFonts w:ascii="仿宋_GB2312" w:hAnsi="仿宋_GB2312" w:cs="仿宋_GB2312" w:eastAsia="仿宋_GB2312"/>
                      <w:sz w:val="24"/>
                      <w:color w:val="000000"/>
                    </w:rPr>
                    <w:t>配备</w:t>
                  </w:r>
                  <w:r>
                    <w:rPr>
                      <w:rFonts w:ascii="仿宋_GB2312" w:hAnsi="仿宋_GB2312" w:cs="仿宋_GB2312" w:eastAsia="仿宋_GB2312"/>
                      <w:sz w:val="24"/>
                      <w:color w:val="000000"/>
                    </w:rPr>
                    <w:t>喷水架，采用电动推杆控制，实现左、右偏转和上、下高度范围变幅，形成连续水帘，用于清洗广场、路面的陈旧污渍、粘稠污物等。</w:t>
                  </w:r>
                </w:p>
                <w:p>
                  <w:pPr>
                    <w:pStyle w:val="null3"/>
                  </w:pPr>
                  <w:r>
                    <w:rPr>
                      <w:rFonts w:ascii="仿宋_GB2312" w:hAnsi="仿宋_GB2312" w:cs="仿宋_GB2312" w:eastAsia="仿宋_GB2312"/>
                      <w:sz w:val="24"/>
                      <w:color w:val="000000"/>
                    </w:rPr>
                    <w:t>4.需</w:t>
                  </w:r>
                  <w:r>
                    <w:rPr>
                      <w:rFonts w:ascii="仿宋_GB2312" w:hAnsi="仿宋_GB2312" w:cs="仿宋_GB2312" w:eastAsia="仿宋_GB2312"/>
                      <w:sz w:val="24"/>
                      <w:color w:val="000000"/>
                    </w:rPr>
                    <w:t>配有</w:t>
                  </w:r>
                  <w:r>
                    <w:rPr>
                      <w:rFonts w:ascii="仿宋_GB2312" w:hAnsi="仿宋_GB2312" w:cs="仿宋_GB2312" w:eastAsia="仿宋_GB2312"/>
                      <w:sz w:val="24"/>
                      <w:color w:val="000000"/>
                    </w:rPr>
                    <w:t>手持喷枪，最高水压不低于</w:t>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MPa。</w:t>
                  </w:r>
                </w:p>
                <w:p>
                  <w:pPr>
                    <w:pStyle w:val="null3"/>
                  </w:pPr>
                  <w:r>
                    <w:rPr>
                      <w:rFonts w:ascii="仿宋_GB2312" w:hAnsi="仿宋_GB2312" w:cs="仿宋_GB2312" w:eastAsia="仿宋_GB2312"/>
                      <w:sz w:val="24"/>
                      <w:color w:val="000000"/>
                    </w:rPr>
                    <w:t>5.需配备高压卷盘，具有自回收功能。</w:t>
                  </w:r>
                </w:p>
                <w:p>
                  <w:pPr>
                    <w:pStyle w:val="null3"/>
                  </w:pPr>
                  <w:r>
                    <w:rPr>
                      <w:rFonts w:ascii="仿宋_GB2312" w:hAnsi="仿宋_GB2312" w:cs="仿宋_GB2312" w:eastAsia="仿宋_GB2312"/>
                      <w:sz w:val="24"/>
                      <w:color w:val="000000"/>
                    </w:rPr>
                    <w:t>6.需</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定点清洗装置和角喷清洗装置。</w:t>
                  </w:r>
                </w:p>
                <w:p>
                  <w:pPr>
                    <w:pStyle w:val="null3"/>
                  </w:pPr>
                  <w:r>
                    <w:rPr>
                      <w:rFonts w:ascii="仿宋_GB2312" w:hAnsi="仿宋_GB2312" w:cs="仿宋_GB2312" w:eastAsia="仿宋_GB2312"/>
                      <w:sz w:val="24"/>
                      <w:color w:val="000000"/>
                    </w:rPr>
                    <w:t>7.需配备清洗推车，车辆不便停靠的路段，可采用小推车进行清洗。</w:t>
                  </w:r>
                </w:p>
                <w:p>
                  <w:pPr>
                    <w:pStyle w:val="null3"/>
                  </w:pPr>
                  <w:r>
                    <w:rPr>
                      <w:rFonts w:ascii="仿宋_GB2312" w:hAnsi="仿宋_GB2312" w:cs="仿宋_GB2312" w:eastAsia="仿宋_GB2312"/>
                      <w:sz w:val="24"/>
                      <w:color w:val="000000"/>
                    </w:rPr>
                    <w:t>8.水箱顶部</w:t>
                  </w:r>
                  <w:r>
                    <w:rPr>
                      <w:rFonts w:ascii="仿宋_GB2312" w:hAnsi="仿宋_GB2312" w:cs="仿宋_GB2312" w:eastAsia="仿宋_GB2312"/>
                      <w:sz w:val="24"/>
                      <w:color w:val="000000"/>
                    </w:rPr>
                    <w:t>需设置有</w:t>
                  </w:r>
                  <w:r>
                    <w:rPr>
                      <w:rFonts w:ascii="仿宋_GB2312" w:hAnsi="仿宋_GB2312" w:cs="仿宋_GB2312" w:eastAsia="仿宋_GB2312"/>
                      <w:sz w:val="24"/>
                      <w:color w:val="000000"/>
                    </w:rPr>
                    <w:t>人孔盖，便于后续维护清理。</w:t>
                  </w:r>
                </w:p>
                <w:p>
                  <w:pPr>
                    <w:pStyle w:val="null3"/>
                  </w:pPr>
                  <w:r>
                    <w:rPr>
                      <w:rFonts w:ascii="仿宋_GB2312" w:hAnsi="仿宋_GB2312" w:cs="仿宋_GB2312" w:eastAsia="仿宋_GB2312"/>
                      <w:sz w:val="24"/>
                      <w:color w:val="000000"/>
                    </w:rPr>
                    <w:t>9.车辆需配备低水位报警系统。</w:t>
                  </w:r>
                </w:p>
                <w:p>
                  <w:pPr>
                    <w:pStyle w:val="null3"/>
                  </w:pPr>
                  <w:r>
                    <w:rPr>
                      <w:rFonts w:ascii="仿宋_GB2312" w:hAnsi="仿宋_GB2312" w:cs="仿宋_GB2312" w:eastAsia="仿宋_GB2312"/>
                      <w:sz w:val="24"/>
                      <w:color w:val="000000"/>
                    </w:rPr>
                    <w:t>10.水泵、管路需均设有放水排干功能，需设有吹气口，具备管路吹气功能，也可通过外接气源进行管路吹气排水，保护管路及相关水路部件。</w:t>
                  </w:r>
                </w:p>
                <w:p>
                  <w:pPr>
                    <w:pStyle w:val="null3"/>
                  </w:pPr>
                  <w:r>
                    <w:rPr>
                      <w:rFonts w:ascii="仿宋_GB2312" w:hAnsi="仿宋_GB2312" w:cs="仿宋_GB2312" w:eastAsia="仿宋_GB2312"/>
                      <w:sz w:val="24"/>
                      <w:color w:val="000000"/>
                    </w:rPr>
                    <w:t>11.车辆需采用CAN总线控制模式。</w:t>
                  </w:r>
                </w:p>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需</w:t>
                  </w:r>
                  <w:r>
                    <w:rPr>
                      <w:rFonts w:ascii="仿宋_GB2312" w:hAnsi="仿宋_GB2312" w:cs="仿宋_GB2312" w:eastAsia="仿宋_GB2312"/>
                      <w:sz w:val="24"/>
                      <w:color w:val="000000"/>
                    </w:rPr>
                    <w:t>在驾驶室内设置有</w:t>
                  </w:r>
                  <w:r>
                    <w:rPr>
                      <w:rFonts w:ascii="仿宋_GB2312" w:hAnsi="仿宋_GB2312" w:cs="仿宋_GB2312" w:eastAsia="仿宋_GB2312"/>
                      <w:sz w:val="24"/>
                      <w:color w:val="000000"/>
                    </w:rPr>
                    <w:t>显示</w:t>
                  </w:r>
                  <w:r>
                    <w:rPr>
                      <w:rFonts w:ascii="仿宋_GB2312" w:hAnsi="仿宋_GB2312" w:cs="仿宋_GB2312" w:eastAsia="仿宋_GB2312"/>
                      <w:sz w:val="24"/>
                      <w:color w:val="000000"/>
                    </w:rPr>
                    <w:t>屏，</w:t>
                  </w:r>
                  <w:r>
                    <w:rPr>
                      <w:rFonts w:ascii="仿宋_GB2312" w:hAnsi="仿宋_GB2312" w:cs="仿宋_GB2312" w:eastAsia="仿宋_GB2312"/>
                      <w:sz w:val="24"/>
                      <w:color w:val="000000"/>
                    </w:rPr>
                    <w:t>用于显示车头前方喷水架作业工况。</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纯电动三轮冲洗车</w:t>
                  </w:r>
                </w:p>
              </w:tc>
              <w:tc>
                <w:tcPr>
                  <w:tcW w:type="dxa" w:w="2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一、主要技术参数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外型尺寸：长</w:t>
                  </w:r>
                  <w:r>
                    <w:rPr>
                      <w:rFonts w:ascii="仿宋_GB2312" w:hAnsi="仿宋_GB2312" w:cs="仿宋_GB2312" w:eastAsia="仿宋_GB2312"/>
                      <w:sz w:val="24"/>
                    </w:rPr>
                    <w:t>×宽×高(mm)≥3</w:t>
                  </w:r>
                  <w:r>
                    <w:rPr>
                      <w:rFonts w:ascii="仿宋_GB2312" w:hAnsi="仿宋_GB2312" w:cs="仿宋_GB2312" w:eastAsia="仿宋_GB2312"/>
                      <w:sz w:val="24"/>
                    </w:rPr>
                    <w:t>50</w:t>
                  </w:r>
                  <w:r>
                    <w:rPr>
                      <w:rFonts w:ascii="仿宋_GB2312" w:hAnsi="仿宋_GB2312" w:cs="仿宋_GB2312" w:eastAsia="仿宋_GB2312"/>
                      <w:sz w:val="24"/>
                    </w:rPr>
                    <w:t>0</w:t>
                  </w:r>
                  <w:r>
                    <w:rPr>
                      <w:rFonts w:ascii="仿宋_GB2312" w:hAnsi="仿宋_GB2312" w:cs="仿宋_GB2312" w:eastAsia="仿宋_GB2312"/>
                      <w:sz w:val="24"/>
                    </w:rPr>
                    <w:t>*1200*1750</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额定载质量</w:t>
                  </w:r>
                  <w:r>
                    <w:rPr>
                      <w:rFonts w:ascii="仿宋_GB2312" w:hAnsi="仿宋_GB2312" w:cs="仿宋_GB2312" w:eastAsia="仿宋_GB2312"/>
                      <w:sz w:val="24"/>
                    </w:rPr>
                    <w:t>(</w:t>
                  </w:r>
                  <w:r>
                    <w:rPr>
                      <w:rFonts w:ascii="仿宋_GB2312" w:hAnsi="仿宋_GB2312" w:cs="仿宋_GB2312" w:eastAsia="仿宋_GB2312"/>
                      <w:sz w:val="24"/>
                    </w:rPr>
                    <w:t>K</w:t>
                  </w:r>
                  <w:r>
                    <w:rPr>
                      <w:rFonts w:ascii="仿宋_GB2312" w:hAnsi="仿宋_GB2312" w:cs="仿宋_GB2312" w:eastAsia="仿宋_GB2312"/>
                      <w:sz w:val="24"/>
                    </w:rPr>
                    <w:t>g)≥</w:t>
                  </w:r>
                  <w:r>
                    <w:rPr>
                      <w:rFonts w:ascii="仿宋_GB2312" w:hAnsi="仿宋_GB2312" w:cs="仿宋_GB2312" w:eastAsia="仿宋_GB2312"/>
                      <w:sz w:val="24"/>
                    </w:rPr>
                    <w:t>1000</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整备质量</w:t>
                  </w:r>
                  <w:r>
                    <w:rPr>
                      <w:rFonts w:ascii="仿宋_GB2312" w:hAnsi="仿宋_GB2312" w:cs="仿宋_GB2312" w:eastAsia="仿宋_GB2312"/>
                      <w:sz w:val="24"/>
                    </w:rPr>
                    <w:t>(</w:t>
                  </w:r>
                  <w:r>
                    <w:rPr>
                      <w:rFonts w:ascii="仿宋_GB2312" w:hAnsi="仿宋_GB2312" w:cs="仿宋_GB2312" w:eastAsia="仿宋_GB2312"/>
                      <w:sz w:val="24"/>
                    </w:rPr>
                    <w:t>K</w:t>
                  </w:r>
                  <w:r>
                    <w:rPr>
                      <w:rFonts w:ascii="仿宋_GB2312" w:hAnsi="仿宋_GB2312" w:cs="仿宋_GB2312" w:eastAsia="仿宋_GB2312"/>
                      <w:sz w:val="24"/>
                    </w:rPr>
                    <w:t>g)≤</w:t>
                  </w:r>
                  <w:r>
                    <w:rPr>
                      <w:rFonts w:ascii="仿宋_GB2312" w:hAnsi="仿宋_GB2312" w:cs="仿宋_GB2312" w:eastAsia="仿宋_GB2312"/>
                      <w:sz w:val="24"/>
                    </w:rPr>
                    <w:t>800</w:t>
                  </w:r>
                </w:p>
                <w:p>
                  <w:pPr>
                    <w:pStyle w:val="null3"/>
                    <w:jc w:val="left"/>
                  </w:pPr>
                  <w:r>
                    <w:rPr>
                      <w:rFonts w:ascii="仿宋_GB2312" w:hAnsi="仿宋_GB2312" w:cs="仿宋_GB2312" w:eastAsia="仿宋_GB2312"/>
                      <w:sz w:val="24"/>
                    </w:rPr>
                    <w:t>4.轴距（mm）≥2370</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电池</w:t>
                  </w:r>
                  <w:r>
                    <w:rPr>
                      <w:rFonts w:ascii="仿宋_GB2312" w:hAnsi="仿宋_GB2312" w:cs="仿宋_GB2312" w:eastAsia="仿宋_GB2312"/>
                      <w:sz w:val="24"/>
                    </w:rPr>
                    <w:t>（</w:t>
                  </w:r>
                  <w:r>
                    <w:rPr>
                      <w:rFonts w:ascii="仿宋_GB2312" w:hAnsi="仿宋_GB2312" w:cs="仿宋_GB2312" w:eastAsia="仿宋_GB2312"/>
                      <w:sz w:val="24"/>
                    </w:rPr>
                    <w:t>Ah）≥120</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电机</w:t>
                  </w:r>
                  <w:r>
                    <w:rPr>
                      <w:rFonts w:ascii="仿宋_GB2312" w:hAnsi="仿宋_GB2312" w:cs="仿宋_GB2312" w:eastAsia="仿宋_GB2312"/>
                      <w:sz w:val="24"/>
                    </w:rPr>
                    <w:t>（</w:t>
                  </w:r>
                  <w:r>
                    <w:rPr>
                      <w:rFonts w:ascii="仿宋_GB2312" w:hAnsi="仿宋_GB2312" w:cs="仿宋_GB2312" w:eastAsia="仿宋_GB2312"/>
                      <w:sz w:val="24"/>
                    </w:rPr>
                    <w:t>Kw）≥2.5</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水箱容积</w:t>
                  </w:r>
                  <w:r>
                    <w:rPr>
                      <w:rFonts w:ascii="仿宋_GB2312" w:hAnsi="仿宋_GB2312" w:cs="仿宋_GB2312" w:eastAsia="仿宋_GB2312"/>
                      <w:sz w:val="24"/>
                    </w:rPr>
                    <w:t>(</w:t>
                  </w:r>
                  <w:r>
                    <w:rPr>
                      <w:rFonts w:ascii="仿宋_GB2312" w:hAnsi="仿宋_GB2312" w:cs="仿宋_GB2312" w:eastAsia="仿宋_GB2312"/>
                      <w:sz w:val="24"/>
                    </w:rPr>
                    <w:t>L</w:t>
                  </w:r>
                  <w:r>
                    <w:rPr>
                      <w:rFonts w:ascii="仿宋_GB2312" w:hAnsi="仿宋_GB2312" w:cs="仿宋_GB2312" w:eastAsia="仿宋_GB2312"/>
                      <w:sz w:val="24"/>
                    </w:rPr>
                    <w:t>)≥</w:t>
                  </w:r>
                  <w:r>
                    <w:rPr>
                      <w:rFonts w:ascii="仿宋_GB2312" w:hAnsi="仿宋_GB2312" w:cs="仿宋_GB2312" w:eastAsia="仿宋_GB2312"/>
                      <w:sz w:val="24"/>
                    </w:rPr>
                    <w:t>1000</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高压卷盘软管长度</w:t>
                  </w:r>
                  <w:r>
                    <w:rPr>
                      <w:rFonts w:ascii="仿宋_GB2312" w:hAnsi="仿宋_GB2312" w:cs="仿宋_GB2312" w:eastAsia="仿宋_GB2312"/>
                      <w:sz w:val="24"/>
                    </w:rPr>
                    <w:t>(m)≥</w:t>
                  </w:r>
                  <w:r>
                    <w:rPr>
                      <w:rFonts w:ascii="仿宋_GB2312" w:hAnsi="仿宋_GB2312" w:cs="仿宋_GB2312" w:eastAsia="仿宋_GB2312"/>
                      <w:sz w:val="24"/>
                    </w:rPr>
                    <w:t>15</w:t>
                  </w:r>
                </w:p>
                <w:p>
                  <w:pPr>
                    <w:pStyle w:val="null3"/>
                    <w:jc w:val="left"/>
                  </w:pPr>
                  <w:r>
                    <w:rPr>
                      <w:rFonts w:ascii="仿宋_GB2312" w:hAnsi="仿宋_GB2312" w:cs="仿宋_GB2312" w:eastAsia="仿宋_GB2312"/>
                      <w:sz w:val="24"/>
                    </w:rPr>
                    <w:t>二、主要性能特点</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整车采用龙头把式转向机构。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大容量冲洗水箱，</w:t>
                  </w:r>
                  <w:r>
                    <w:rPr>
                      <w:rFonts w:ascii="仿宋_GB2312" w:hAnsi="仿宋_GB2312" w:cs="仿宋_GB2312" w:eastAsia="仿宋_GB2312"/>
                      <w:sz w:val="24"/>
                    </w:rPr>
                    <w:t>座桶下</w:t>
                  </w:r>
                  <w:r>
                    <w:rPr>
                      <w:rFonts w:ascii="仿宋_GB2312" w:hAnsi="仿宋_GB2312" w:cs="仿宋_GB2312" w:eastAsia="仿宋_GB2312"/>
                      <w:sz w:val="24"/>
                    </w:rPr>
                    <w:t>方设计两个可冲地面的高压喷头，后箱配备长柄高压冲洗枪。</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水箱整体加厚塑料水箱。</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配置两组刹车装置，驻车制动能同时制动双后轮。</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整车冲洗方式分为两种，</w:t>
                  </w:r>
                  <w:r>
                    <w:rPr>
                      <w:rFonts w:ascii="仿宋_GB2312" w:hAnsi="仿宋_GB2312" w:cs="仿宋_GB2312" w:eastAsia="仿宋_GB2312"/>
                      <w:sz w:val="24"/>
                    </w:rPr>
                    <w:t>前部对冲</w:t>
                  </w:r>
                  <w:r>
                    <w:rPr>
                      <w:rFonts w:ascii="仿宋_GB2312" w:hAnsi="仿宋_GB2312" w:cs="仿宋_GB2312" w:eastAsia="仿宋_GB2312"/>
                      <w:sz w:val="24"/>
                    </w:rPr>
                    <w:t>，手持冲洗。</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冲洗机汽油动机泵组，采用单缸四冲程汽油机，最大冲洗压力</w:t>
                  </w:r>
                  <w:r>
                    <w:rPr>
                      <w:rFonts w:ascii="仿宋_GB2312" w:hAnsi="仿宋_GB2312" w:cs="仿宋_GB2312" w:eastAsia="仿宋_GB2312"/>
                      <w:sz w:val="24"/>
                    </w:rPr>
                    <w:t>不小于</w:t>
                  </w:r>
                  <w:r>
                    <w:rPr>
                      <w:rFonts w:ascii="仿宋_GB2312" w:hAnsi="仿宋_GB2312" w:cs="仿宋_GB2312" w:eastAsia="仿宋_GB2312"/>
                      <w:sz w:val="24"/>
                    </w:rPr>
                    <w:t>240bar。</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渭南高新区城市管理处</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验收合格无质量问题后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 （1）所验产品的指标、性能参数通过验收达不到招标文件要求和投标文件承诺的，或在使用中发现设计缺陷等，将视为产品验收不合格，供应商应无条件免费更换或退货。 （2）若发现供应商有弄虚作假的，在投标阶段故意或随意夸大产品技术性能，供应商应无条件退货，并赔偿采购人相应的损失。 （3）验收标准：按招标文件、投标文件及澄清函等技术指标进行验收。各项指标均应符合验收标准及要求。 （4）验收合格后，填写验收单，双方签字盖章后生效。 （5）验收依据：合同文本；投标文件及澄清函、招标文件；国家和行业制定的相应的标准和规范；产品验收清单（注明各部件的品名、数量、规格型号和原产地或生产厂家）。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得少于1年，质保期不得低于产品原有质保天数（其中三电系统质保8年或20万公里）；（若供应商提供的质保期超过招标文件要求的，执行其响应时间，若国家有明确规定且高于此质保期的，执行国家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能按期履行合同或乙方未按合同要求提供货物或货物质量不能满足甲方要求，甲方有权单方面解除合同，乙方除应返还甲方已支付的款项外，还应承担本合同总金额20%的违约金，违约金不足以弥补损失的，乙方应予补足； （3）交货期每逾期一天，乙方应向甲方支付合同总价款的5‰违约金。逾期超过15日的，甲方有权单方面解除本合同，乙方除退还甲方已支付全部费用外还应按照合同总价的20%向甲方支付违约金。违约金不足以弥补损失的，乙方应予以补足。 （4）未按合同要求提供产品或设备质量不能满足技术要求，采购方有权终止合同，并对中标单位违约行为进行追究，同时按《政府采购法》的有关规定进行处罚。 （5）若未能在交货期内完成合同规定的义务，由此对采购方造成的延误和一切损失，由中标单位承担和赔偿。</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以下条款不允许发生负偏离，否则投标无效：1.供应商负责办理将货物或服务运送至交货地点的一切事项，并完成所有相关工作。凡包装、配送、安装调试、技术培训、上牌、车辆保险、售后服务、验收等，所有费用一次性计入投标价格（本项目报价包括完成项目所需的所有费用（包括但不限于材料费、设备费、运输杂费、安装费、实施费、税金、调试费、挂牌费、交强险、售后相关费用等完成本项目所需的一切费用），供应商在报价时应充分考虑所有可能发生的费用，招标文件未列明，而供应商认为应当计取的费用均应列入报价中，报价时不论是否计取，采购人均按已计取对待；因供应商对招标文件理解不透、误解、疏漏或对市场行情了解不清造成的后果和风险，均由供应商自己负责；一旦成交，项目报价不受市场价变化的影响，不受实际工作量变化的影响，不受国家政策调整及市场变化因素影响），合同履约过程中采购人不再支付其他额外费用。 2.供应商负责车辆上牌工作（车辆上牌工作只针对工业和信息化部公告网站公布的或国家道路机动车辆生产企业及产品信息查询系统公告的纯电动洗扫车、纯电动清洗车/洒水车、纯电动路面养护车三类车辆），上牌时需要采购人提供材料的，采购人予以配合，上牌时产生的费用由供应商承担。供应商应保证所提供车辆为全新合格车辆，非二手车，运损车、事故车。供应商需对上牌的车辆购买车辆保险（车辆保险包含但不限于机动车交通事故责任强制保险等车辆保险。） 3.技术培训要求： 1）培训地点：渭南高新区城市管理处； 2）培训对象：采购人指定的技术人员及管理人员； 3）培训时间：交货完成后进行培训； 4）培训内容：车辆的操作原理、操作维护方法、排除故障等各个方面； 5）培训目的：熟练操作、使用车辆、能够排除一般故障。 4.接到采购人售后要求后，2小时内远程响应，4小时内给出解决方案，若远程无法解决问题24小时内安排专人到达现场。5.供应商应保证投标货物及服务不会出现因第三方提出侵犯其专利权、商标权或其它知识产权而引发法律或经济纠纷，否则由供应商承担全部责任。因供应商未经授权所造成的违约或侵权责任由供应商承担。 2、为顺利推进政府采购电子化交易平台应用工作，中标供应商需要在中标后提交纸质版响应文件正本壹套、副本贰套、电子版壹套（U盘）。若电子响应文件与纸质响应文件不一致的，以电子响应文件为准。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投标方案.docx 中小企业声明函 商务条款响应偏离表.docx 资格证明文件.docx 技术规格响应偏离表.docx 投标分项报价表.docx 投标函 残疾人福利性单位声明函 拒绝政府采购领域商业贿赂承诺书.docx 标的清单 投标文件封面 供应商认为有必要补充说明的事宜.docx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有效，具有独立承担民事责任的能力且具备向采购人提供相关货物或服务的企业法人、其他组织或自然人；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投标文件提交截止时间前六个月内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一年内任意一个月的依法缴纳税收的相关凭据(时间以税款所属日期为准、增值税、企业所得税至少提供一种)，凭据应有税务机关或代收机关的公章或业务专用章；依法免税或无须缴纳税收的投标人，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提交截止时间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①参加政府采购活动前三年内，在经营活动中没有重大违法记录的书面声明；②提供具有履行本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投标人不得为“信用中国”网站（www.creditchina.gov.cn）中列入重大税收违法失信主体的投标人；不得为“中国执行信息公开网”（http：//zxgk.court.gov.cn）中列入失信被执行人名单的投标人；不得为“中国政府采购网”（www.ccgp.gov.cn）政府采购严重违法失信行为记录名单中被财政部门禁止参加政府采购活动的投标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书面说明，并提交相关证明材料。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投标文件是否符合下列要求： （1）投标报价符合唯一性要求；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提供保证金转账凭证或财政部门认可的政府采购专业担保机构出具的投标担保函是否符合招标文件要求</w:t>
            </w:r>
          </w:p>
        </w:tc>
        <w:tc>
          <w:tcPr>
            <w:tcW w:type="dxa" w:w="1661"/>
          </w:tcPr>
          <w:p>
            <w:pPr>
              <w:pStyle w:val="null3"/>
            </w:pPr>
            <w:r>
              <w:rPr>
                <w:rFonts w:ascii="仿宋_GB2312" w:hAnsi="仿宋_GB2312" w:cs="仿宋_GB2312" w:eastAsia="仿宋_GB2312"/>
              </w:rPr>
              <w:t>投标文件封面 供应商认为有必要补充说明的事宜.docx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1、投标产品技术指标完全满足招标文件技术参数要求，无负偏离的计28.7分 ； 2、投标产品技术指标中标注“▲”项的技术参数，每有1项负偏离或缺漏的扣2分，扣完为止（总分20）；其他未标记项技术参数，每有1项负偏离、缺漏的扣0.01分，扣完为止（总分8.7分）。不计负分，正偏离不加分。 注：纯电动洗扫车、纯电动清洗车/洒水车、纯电动路面养护车三类车辆投标人需提供相关技术证明材料（技术材料包括但不限于工业和信息化部公告网站公布的或国家道路机动车辆生产企业及产品信息查询系统公告的材料证明或产品公告参数截图、检测报告、产品彩页等相关资料予以佐证）。 纯电动三轮冲洗车非公告产品则需要提供加盖投标人公章的产品技术资料予以佐证（包括但不限于检测报告、技术白皮书、厂家产品说明等），在技术偏离表“说明”栏中标明证明材料的页码。 投标人未提供证明材料，或同一指标提供的多种佐证材料出现不一致或相互矛盾时视为负偏离；提供虚假响应将承担法律责任。</w:t>
            </w:r>
          </w:p>
        </w:tc>
        <w:tc>
          <w:tcPr>
            <w:tcW w:type="dxa" w:w="831"/>
          </w:tcPr>
          <w:p>
            <w:pPr>
              <w:pStyle w:val="null3"/>
              <w:jc w:val="right"/>
            </w:pPr>
            <w:r>
              <w:rPr>
                <w:rFonts w:ascii="仿宋_GB2312" w:hAnsi="仿宋_GB2312" w:cs="仿宋_GB2312" w:eastAsia="仿宋_GB2312"/>
              </w:rPr>
              <w:t>28.7000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技术规格响应偏离表.docx</w:t>
            </w:r>
          </w:p>
          <w:p>
            <w:pPr>
              <w:pStyle w:val="null3"/>
            </w:pPr>
            <w:r>
              <w:rPr>
                <w:rFonts w:ascii="仿宋_GB2312" w:hAnsi="仿宋_GB2312" w:cs="仿宋_GB2312" w:eastAsia="仿宋_GB2312"/>
              </w:rPr>
              <w:t>商务条款响应偏离表.docx</w:t>
            </w:r>
          </w:p>
        </w:tc>
      </w:tr>
      <w:tr>
        <w:tc>
          <w:tcPr>
            <w:tcW w:type="dxa" w:w="831"/>
            <w:vMerge/>
          </w:tcPr>
          <w:p/>
        </w:tc>
        <w:tc>
          <w:tcPr>
            <w:tcW w:type="dxa" w:w="1661"/>
          </w:tcPr>
          <w:p>
            <w:pPr>
              <w:pStyle w:val="null3"/>
            </w:pPr>
            <w:r>
              <w:rPr>
                <w:rFonts w:ascii="仿宋_GB2312" w:hAnsi="仿宋_GB2312" w:cs="仿宋_GB2312" w:eastAsia="仿宋_GB2312"/>
              </w:rPr>
              <w:t>实施方案及措施</w:t>
            </w:r>
          </w:p>
        </w:tc>
        <w:tc>
          <w:tcPr>
            <w:tcW w:type="dxa" w:w="2492"/>
          </w:tcPr>
          <w:p>
            <w:pPr>
              <w:pStyle w:val="null3"/>
            </w:pPr>
            <w:r>
              <w:rPr>
                <w:rFonts w:ascii="仿宋_GB2312" w:hAnsi="仿宋_GB2312" w:cs="仿宋_GB2312" w:eastAsia="仿宋_GB2312"/>
              </w:rPr>
              <w:t>一、内容包含不限于：针对本项目提供有①项目实施方案及措施②运输、安装调试措施③验收措施。 二、评审标准： 实施方案各部分内容全面详细、阐述条理清晰详尽、符合本项目招标内容及需求得12分，每缺一项内容扣4分，评审内容有瑕疵的，每存在1处瑕疵扣1分，扣完为止。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一、内容包含不限于： ①质量保证范围； ②使用寿命及效果； ③质量保障承诺等； ④ 备品配件供应保证措施。 二、评审标准：质量保证各部分内容全面详细、阐述条理清晰详尽、符合本项目招标内容及需求得8分，每缺一项内容扣2分，评审内容有瑕疵的，每存在1处瑕疵扣1分，扣完为止。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一、内容包含不限于 ①售后服务范围（包含但不限于故障排除和维修保养、售后服务流程、调换货和退换货售后服务等） ②时间安排（包含但不限于出现故障响应时间、出现故障响应措施、定期回访维护时间等） ③售后服务人员的配备（包含但不限于售后人员数量、联系电话、联系人、职务、学历等） ④售后服务承诺。 二、评审标准：售后服务方案各部分内容全面详细、阐述条理清晰详尽、符合本项目招标内容及需求得6分，每缺一项内容扣1.5分，评审内容有瑕疵的，每存在1处瑕疵扣0.5分，扣完为止。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一、内容包含不限于：①培训内容②培训方式③培训时间④应急保障培训内容。 二、评审标准：培训服务方案各部分内容全面详细、阐述条理清晰详尽、符合本项目招标内容及需求得4分，每缺一项内容扣1分，评审内容有瑕疵的，每存在1处瑕疵扣0.5分，扣完为止。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投标人具有近三年（2023年1月至今）的类似业绩(合同扫描件并加盖供应商公章，以合同签订时间为准)每个计0.65分，最多得1.3分，未提供不得分。</w:t>
            </w:r>
          </w:p>
        </w:tc>
        <w:tc>
          <w:tcPr>
            <w:tcW w:type="dxa" w:w="831"/>
          </w:tcPr>
          <w:p>
            <w:pPr>
              <w:pStyle w:val="null3"/>
              <w:jc w:val="right"/>
            </w:pPr>
            <w:r>
              <w:rPr>
                <w:rFonts w:ascii="仿宋_GB2312" w:hAnsi="仿宋_GB2312" w:cs="仿宋_GB2312" w:eastAsia="仿宋_GB2312"/>
              </w:rPr>
              <w:t>1.3000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 投标报价得分=（评标基准价/投标报价）×价格权值（40）。 根据《国务院办公厅关于在政府采购中实施本国产品标准及相关政策的通知》(国办发[2025]34号)的规定，对提供的产品属于本国产品给予报价优惠政策。政府采购活动中既有本国产品又有非本国产品参与竟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提供关于符合本国产品标准的声明函或有关证明文件。</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供应商认为有必要补充说明的事宜.docx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