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18292">
      <w:pPr>
        <w:pStyle w:val="3"/>
        <w:spacing w:before="0" w:after="0" w:line="360" w:lineRule="auto"/>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拟签订</w:t>
      </w:r>
      <w:r>
        <w:rPr>
          <w:rFonts w:hint="eastAsia" w:ascii="宋体" w:hAnsi="宋体" w:cs="宋体"/>
          <w:color w:val="000000" w:themeColor="text1"/>
          <w:highlight w:val="none"/>
          <w14:textFill>
            <w14:solidFill>
              <w14:schemeClr w14:val="tx1"/>
            </w14:solidFill>
          </w14:textFill>
        </w:rPr>
        <w:t>合同条款</w:t>
      </w:r>
    </w:p>
    <w:p w14:paraId="0D636576">
      <w:pPr>
        <w:keepNext w:val="0"/>
        <w:keepLines w:val="0"/>
        <w:pageBreakBefore w:val="0"/>
        <w:widowControl w:val="0"/>
        <w:numPr>
          <w:ilvl w:val="0"/>
          <w:numId w:val="0"/>
        </w:numPr>
        <w:kinsoku/>
        <w:wordWrap/>
        <w:overflowPunct/>
        <w:topLinePunct w:val="0"/>
        <w:autoSpaceDE/>
        <w:autoSpaceDN/>
        <w:bidi w:val="0"/>
        <w:snapToGrid/>
        <w:spacing w:line="500" w:lineRule="exact"/>
        <w:ind w:leftChars="0"/>
        <w:jc w:val="center"/>
        <w:textAlignment w:val="auto"/>
        <w:rPr>
          <w:rFonts w:hint="eastAsia" w:ascii="宋体" w:hAnsi="宋体" w:eastAsia="宋体" w:cs="宋体"/>
          <w:color w:val="auto"/>
          <w:sz w:val="24"/>
          <w:u w:val="single"/>
          <w:lang w:val="en-US" w:eastAsia="zh-CN"/>
        </w:rPr>
      </w:pPr>
      <w:bookmarkStart w:id="0" w:name="_Toc3995"/>
      <w:r>
        <w:rPr>
          <w:rFonts w:hint="eastAsia" w:ascii="宋体" w:hAnsi="宋体" w:eastAsia="宋体" w:cs="宋体"/>
          <w:b/>
          <w:bCs w:val="0"/>
          <w:kern w:val="44"/>
          <w:sz w:val="28"/>
          <w:szCs w:val="28"/>
          <w:lang w:val="en-US" w:eastAsia="zh-CN" w:bidi="ar-SA"/>
        </w:rPr>
        <w:t>（此合同为参考合同，具体以甲乙双方协商为准）</w:t>
      </w:r>
    </w:p>
    <w:p w14:paraId="0C2B74AB">
      <w:pPr>
        <w:pStyle w:val="2"/>
        <w:spacing w:line="360" w:lineRule="auto"/>
        <w:jc w:val="center"/>
        <w:rPr>
          <w:rFonts w:ascii="宋体" w:hAnsi="宋体" w:cs="宋体"/>
          <w:b/>
          <w:bCs/>
          <w:color w:val="000000" w:themeColor="text1"/>
          <w:spacing w:val="-20"/>
          <w:kern w:val="44"/>
          <w:sz w:val="48"/>
          <w:szCs w:val="48"/>
          <w:highlight w:val="none"/>
          <w14:textFill>
            <w14:solidFill>
              <w14:schemeClr w14:val="tx1"/>
            </w14:solidFill>
          </w14:textFill>
        </w:rPr>
      </w:pPr>
    </w:p>
    <w:bookmarkEnd w:id="0"/>
    <w:p w14:paraId="48FBC949">
      <w:pPr>
        <w:spacing w:line="360" w:lineRule="auto"/>
        <w:jc w:val="center"/>
        <w:rPr>
          <w:rFonts w:ascii="宋体"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44"/>
          <w:szCs w:val="44"/>
          <w:highlight w:val="none"/>
          <w:lang w:val="en-US" w:eastAsia="zh-CN"/>
          <w14:textFill>
            <w14:solidFill>
              <w14:schemeClr w14:val="tx1"/>
            </w14:solidFill>
          </w14:textFill>
        </w:rPr>
        <w:t>渭南高新区城市管理处</w:t>
      </w:r>
      <w:r>
        <w:rPr>
          <w:rFonts w:hint="eastAsia" w:ascii="宋体" w:hAnsi="宋体" w:cs="宋体"/>
          <w:b/>
          <w:color w:val="000000" w:themeColor="text1"/>
          <w:sz w:val="44"/>
          <w:szCs w:val="44"/>
          <w:highlight w:val="none"/>
          <w:lang w:eastAsia="zh-CN"/>
          <w14:textFill>
            <w14:solidFill>
              <w14:schemeClr w14:val="tx1"/>
            </w14:solidFill>
          </w14:textFill>
        </w:rPr>
        <w:t>新能源车辆购置项目</w:t>
      </w:r>
    </w:p>
    <w:p w14:paraId="7E65D5B9">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04A99BB6">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02164606">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29A9290E">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23C5231A">
      <w:pPr>
        <w:spacing w:line="360" w:lineRule="auto"/>
        <w:jc w:val="center"/>
        <w:rPr>
          <w:rFonts w:ascii="宋体" w:hAnsi="宋体" w:cs="宋体"/>
          <w:b/>
          <w:color w:val="000000" w:themeColor="text1"/>
          <w:sz w:val="52"/>
          <w:szCs w:val="52"/>
          <w:highlight w:val="none"/>
          <w14:textFill>
            <w14:solidFill>
              <w14:schemeClr w14:val="tx1"/>
            </w14:solidFill>
          </w14:textFill>
        </w:rPr>
      </w:pPr>
      <w:r>
        <w:rPr>
          <w:rFonts w:hint="eastAsia" w:ascii="宋体" w:hAnsi="宋体" w:cs="宋体"/>
          <w:b/>
          <w:color w:val="000000" w:themeColor="text1"/>
          <w:sz w:val="52"/>
          <w:szCs w:val="52"/>
          <w:highlight w:val="none"/>
          <w14:textFill>
            <w14:solidFill>
              <w14:schemeClr w14:val="tx1"/>
            </w14:solidFill>
          </w14:textFill>
        </w:rPr>
        <w:t>合</w:t>
      </w:r>
    </w:p>
    <w:p w14:paraId="5CE070E3">
      <w:pPr>
        <w:spacing w:line="360" w:lineRule="auto"/>
        <w:jc w:val="center"/>
        <w:rPr>
          <w:rFonts w:ascii="宋体" w:hAnsi="宋体" w:cs="宋体"/>
          <w:b/>
          <w:color w:val="000000" w:themeColor="text1"/>
          <w:sz w:val="52"/>
          <w:szCs w:val="52"/>
          <w:highlight w:val="none"/>
          <w14:textFill>
            <w14:solidFill>
              <w14:schemeClr w14:val="tx1"/>
            </w14:solidFill>
          </w14:textFill>
        </w:rPr>
      </w:pPr>
      <w:r>
        <w:rPr>
          <w:rFonts w:hint="eastAsia" w:ascii="宋体" w:hAnsi="宋体" w:cs="宋体"/>
          <w:b/>
          <w:color w:val="000000" w:themeColor="text1"/>
          <w:sz w:val="52"/>
          <w:szCs w:val="52"/>
          <w:highlight w:val="none"/>
          <w14:textFill>
            <w14:solidFill>
              <w14:schemeClr w14:val="tx1"/>
            </w14:solidFill>
          </w14:textFill>
        </w:rPr>
        <w:t>同</w:t>
      </w:r>
    </w:p>
    <w:p w14:paraId="2957A981">
      <w:pPr>
        <w:spacing w:line="360" w:lineRule="auto"/>
        <w:jc w:val="center"/>
        <w:rPr>
          <w:rFonts w:ascii="宋体" w:hAnsi="宋体" w:cs="宋体"/>
          <w:b/>
          <w:color w:val="000000" w:themeColor="text1"/>
          <w:sz w:val="44"/>
          <w:szCs w:val="44"/>
          <w:highlight w:val="none"/>
          <w14:textFill>
            <w14:solidFill>
              <w14:schemeClr w14:val="tx1"/>
            </w14:solidFill>
          </w14:textFill>
        </w:rPr>
      </w:pPr>
      <w:r>
        <w:rPr>
          <w:rFonts w:hint="eastAsia" w:ascii="宋体" w:hAnsi="宋体" w:cs="宋体"/>
          <w:b/>
          <w:color w:val="000000" w:themeColor="text1"/>
          <w:sz w:val="52"/>
          <w:szCs w:val="52"/>
          <w:highlight w:val="none"/>
          <w14:textFill>
            <w14:solidFill>
              <w14:schemeClr w14:val="tx1"/>
            </w14:solidFill>
          </w14:textFill>
        </w:rPr>
        <w:t>书</w:t>
      </w:r>
    </w:p>
    <w:p w14:paraId="230E8911">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7FAD046C">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1FF3BA20">
      <w:pPr>
        <w:adjustRightInd w:val="0"/>
        <w:snapToGrid w:val="0"/>
        <w:spacing w:line="360" w:lineRule="auto"/>
        <w:jc w:val="left"/>
        <w:rPr>
          <w:rFonts w:ascii="Arial" w:cs="Arial"/>
          <w:b/>
          <w:color w:val="000000" w:themeColor="text1"/>
          <w:sz w:val="28"/>
          <w:szCs w:val="21"/>
          <w:highlight w:val="none"/>
          <w14:textFill>
            <w14:solidFill>
              <w14:schemeClr w14:val="tx1"/>
            </w14:solidFill>
          </w14:textFill>
        </w:rPr>
      </w:pPr>
    </w:p>
    <w:p w14:paraId="5A8F6F18">
      <w:pPr>
        <w:adjustRightInd w:val="0"/>
        <w:snapToGrid w:val="0"/>
        <w:spacing w:line="360" w:lineRule="auto"/>
        <w:jc w:val="left"/>
        <w:rPr>
          <w:rFonts w:ascii="Arial" w:cs="Arial"/>
          <w:b/>
          <w:color w:val="000000" w:themeColor="text1"/>
          <w:sz w:val="28"/>
          <w:szCs w:val="21"/>
          <w:highlight w:val="none"/>
          <w14:textFill>
            <w14:solidFill>
              <w14:schemeClr w14:val="tx1"/>
            </w14:solidFill>
          </w14:textFill>
        </w:rPr>
      </w:pPr>
    </w:p>
    <w:p w14:paraId="4BA5C376">
      <w:pPr>
        <w:adjustRightInd w:val="0"/>
        <w:snapToGrid w:val="0"/>
        <w:spacing w:line="360" w:lineRule="auto"/>
        <w:jc w:val="left"/>
        <w:rPr>
          <w:rFonts w:ascii="Arial" w:cs="Arial"/>
          <w:b/>
          <w:color w:val="000000" w:themeColor="text1"/>
          <w:sz w:val="28"/>
          <w:szCs w:val="21"/>
          <w:highlight w:val="none"/>
          <w14:textFill>
            <w14:solidFill>
              <w14:schemeClr w14:val="tx1"/>
            </w14:solidFill>
          </w14:textFill>
        </w:rPr>
      </w:pPr>
    </w:p>
    <w:p w14:paraId="3148543E">
      <w:pPr>
        <w:spacing w:line="360" w:lineRule="auto"/>
        <w:ind w:firstLine="2108" w:firstLineChars="750"/>
        <w:jc w:val="left"/>
        <w:rPr>
          <w:rFonts w:ascii="宋体" w:hAnsi="宋体" w:cs="宋体"/>
          <w:b/>
          <w:color w:val="000000" w:themeColor="text1"/>
          <w:sz w:val="28"/>
          <w:szCs w:val="28"/>
          <w:highlight w:val="none"/>
          <w:u w:val="singl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 xml:space="preserve">甲    方：  </w:t>
      </w:r>
      <w:r>
        <w:rPr>
          <w:rFonts w:hint="eastAsia" w:hAnsi="宋体" w:cs="宋体"/>
          <w:b/>
          <w:color w:val="000000" w:themeColor="text1"/>
          <w:sz w:val="28"/>
          <w:szCs w:val="28"/>
          <w:highlight w:val="none"/>
          <w:lang w:val="en-US" w:eastAsia="zh-CN"/>
          <w14:textFill>
            <w14:solidFill>
              <w14:schemeClr w14:val="tx1"/>
            </w14:solidFill>
          </w14:textFill>
        </w:rPr>
        <w:t>渭南高新区城市管理处</w:t>
      </w:r>
      <w:r>
        <w:rPr>
          <w:rFonts w:hint="eastAsia" w:ascii="宋体" w:hAnsi="宋体" w:cs="宋体"/>
          <w:b/>
          <w:color w:val="000000" w:themeColor="text1"/>
          <w:sz w:val="28"/>
          <w:szCs w:val="28"/>
          <w:highlight w:val="none"/>
          <w14:textFill>
            <w14:solidFill>
              <w14:schemeClr w14:val="tx1"/>
            </w14:solidFill>
          </w14:textFill>
        </w:rPr>
        <w:t xml:space="preserve"> </w:t>
      </w:r>
    </w:p>
    <w:p w14:paraId="3ED4A837">
      <w:pPr>
        <w:spacing w:line="360" w:lineRule="auto"/>
        <w:ind w:firstLine="2108" w:firstLineChars="750"/>
        <w:jc w:val="left"/>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 xml:space="preserve">乙    方：  </w:t>
      </w:r>
    </w:p>
    <w:p w14:paraId="7F4609B6">
      <w:pPr>
        <w:spacing w:line="360" w:lineRule="auto"/>
        <w:ind w:firstLine="2108" w:firstLineChars="750"/>
        <w:jc w:val="left"/>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 xml:space="preserve">签订地点： </w:t>
      </w:r>
      <w:r>
        <w:rPr>
          <w:rFonts w:ascii="宋体" w:hAnsi="宋体" w:cs="宋体"/>
          <w:b/>
          <w:color w:val="000000" w:themeColor="text1"/>
          <w:sz w:val="28"/>
          <w:szCs w:val="28"/>
          <w:highlight w:val="none"/>
          <w14:textFill>
            <w14:solidFill>
              <w14:schemeClr w14:val="tx1"/>
            </w14:solidFill>
          </w14:textFill>
        </w:rPr>
        <w:t xml:space="preserve"> </w:t>
      </w:r>
    </w:p>
    <w:p w14:paraId="3326371A">
      <w:pPr>
        <w:spacing w:line="360" w:lineRule="auto"/>
        <w:rPr>
          <w:rFonts w:hint="eastAsia" w:ascii="宋体" w:hAnsi="宋体" w:cs="宋体"/>
          <w:color w:val="000000" w:themeColor="text1"/>
          <w:highlight w:val="none"/>
          <w14:textFill>
            <w14:solidFill>
              <w14:schemeClr w14:val="tx1"/>
            </w14:solidFill>
          </w14:textFill>
        </w:rPr>
      </w:pPr>
    </w:p>
    <w:p w14:paraId="7D96D11A">
      <w:pPr>
        <w:widowControl/>
        <w:spacing w:line="440" w:lineRule="exact"/>
        <w:ind w:firstLine="480" w:firstLineChars="200"/>
        <w:rPr>
          <w:rFonts w:hint="eastAsia" w:ascii="宋体" w:hAnsi="宋体" w:eastAsia="宋体" w:cs="宋体"/>
          <w:color w:val="auto"/>
          <w:szCs w:val="24"/>
          <w:highlight w:val="none"/>
        </w:rPr>
      </w:pPr>
    </w:p>
    <w:p w14:paraId="74DC7970">
      <w:pP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406C40F">
      <w:pPr>
        <w:widowControl/>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甲方：</w:t>
      </w:r>
    </w:p>
    <w:p w14:paraId="19354814">
      <w:pPr>
        <w:widowControl/>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住所地：</w:t>
      </w:r>
    </w:p>
    <w:p w14:paraId="79AC05D7">
      <w:pPr>
        <w:widowControl/>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w:t>
      </w:r>
    </w:p>
    <w:p w14:paraId="73B0DBDB">
      <w:pPr>
        <w:widowControl/>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联系方式：</w:t>
      </w:r>
    </w:p>
    <w:p w14:paraId="5A578913">
      <w:pPr>
        <w:widowControl/>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乙方：</w:t>
      </w:r>
    </w:p>
    <w:p w14:paraId="17CA5AFC">
      <w:pPr>
        <w:widowControl/>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住所地：</w:t>
      </w:r>
    </w:p>
    <w:p w14:paraId="576AC2AF">
      <w:pPr>
        <w:widowControl/>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w:t>
      </w:r>
    </w:p>
    <w:p w14:paraId="5B58B1FC">
      <w:pPr>
        <w:widowControl/>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联系方式：</w:t>
      </w:r>
    </w:p>
    <w:p w14:paraId="451B8627">
      <w:pPr>
        <w:widowControl/>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渭南高新区城市管理处</w:t>
      </w:r>
      <w:r>
        <w:rPr>
          <w:rFonts w:hint="eastAsia" w:ascii="宋体" w:hAnsi="宋体" w:eastAsia="宋体" w:cs="宋体"/>
          <w:color w:val="auto"/>
          <w:szCs w:val="24"/>
          <w:highlight w:val="none"/>
        </w:rPr>
        <w:t>（以下简称甲方）所需本合同项目下的设备设施采购，在</w:t>
      </w:r>
      <w:r>
        <w:rPr>
          <w:rFonts w:hint="eastAsia" w:hAnsi="宋体" w:cs="宋体"/>
          <w:color w:val="auto"/>
          <w:szCs w:val="24"/>
          <w:highlight w:val="none"/>
          <w:lang w:val="en-US" w:eastAsia="zh-CN"/>
        </w:rPr>
        <w:t>渭南高新区</w:t>
      </w:r>
      <w:r>
        <w:rPr>
          <w:rFonts w:hint="eastAsia" w:ascii="宋体" w:hAnsi="宋体" w:eastAsia="宋体" w:cs="宋体"/>
          <w:color w:val="auto"/>
          <w:szCs w:val="24"/>
          <w:highlight w:val="none"/>
        </w:rPr>
        <w:t>财政局的监督管理下，按照政府采购程序组织公开招标，确定</w:t>
      </w:r>
      <w:r>
        <w:rPr>
          <w:rFonts w:hint="eastAsia" w:hAnsi="宋体" w:cs="宋体"/>
          <w:color w:val="auto"/>
          <w:szCs w:val="24"/>
          <w:highlight w:val="none"/>
          <w:u w:val="single"/>
          <w:lang w:val="en-US" w:eastAsia="zh-CN"/>
        </w:rPr>
        <w:t xml:space="preserve">             </w:t>
      </w:r>
      <w:r>
        <w:rPr>
          <w:rFonts w:hint="eastAsia" w:ascii="宋体" w:hAnsi="宋体" w:eastAsia="宋体" w:cs="宋体"/>
          <w:color w:val="auto"/>
          <w:szCs w:val="24"/>
          <w:highlight w:val="none"/>
        </w:rPr>
        <w:t>（以下简称乙方）为中标</w:t>
      </w:r>
      <w:r>
        <w:rPr>
          <w:rFonts w:hint="eastAsia" w:hAnsi="宋体" w:cs="宋体"/>
          <w:color w:val="auto"/>
          <w:szCs w:val="24"/>
          <w:highlight w:val="none"/>
          <w:lang w:eastAsia="zh-CN"/>
        </w:rPr>
        <w:t>乙方</w:t>
      </w:r>
      <w:r>
        <w:rPr>
          <w:rFonts w:hint="eastAsia" w:ascii="宋体" w:hAnsi="宋体" w:eastAsia="宋体" w:cs="宋体"/>
          <w:color w:val="auto"/>
          <w:szCs w:val="24"/>
          <w:highlight w:val="none"/>
        </w:rPr>
        <w:t>。依据《中华人民共和国民法典》、《中华人民共和国政府采购法》以及招标文件、中标</w:t>
      </w:r>
      <w:r>
        <w:rPr>
          <w:rFonts w:hint="eastAsia" w:hAnsi="宋体" w:cs="宋体"/>
          <w:color w:val="auto"/>
          <w:szCs w:val="24"/>
          <w:highlight w:val="none"/>
          <w:lang w:eastAsia="zh-CN"/>
        </w:rPr>
        <w:t>乙方</w:t>
      </w:r>
      <w:r>
        <w:rPr>
          <w:rFonts w:hint="eastAsia" w:ascii="宋体" w:hAnsi="宋体" w:eastAsia="宋体" w:cs="宋体"/>
          <w:color w:val="auto"/>
          <w:szCs w:val="24"/>
          <w:highlight w:val="none"/>
        </w:rPr>
        <w:t>投标文件正本和澄清表（函）、中标通知书，经甲、乙双方协商，达成如下条款。</w:t>
      </w:r>
    </w:p>
    <w:p w14:paraId="4ECB7C9A">
      <w:pPr>
        <w:widowControl/>
        <w:numPr>
          <w:ilvl w:val="0"/>
          <w:numId w:val="1"/>
        </w:numPr>
        <w:tabs>
          <w:tab w:val="left" w:pos="480"/>
        </w:tabs>
        <w:spacing w:line="440" w:lineRule="exact"/>
        <w:ind w:firstLine="482" w:firstLineChars="20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合同内容</w:t>
      </w:r>
    </w:p>
    <w:p w14:paraId="3C326520">
      <w:pPr>
        <w:widowControl/>
        <w:numPr>
          <w:ilvl w:val="0"/>
          <w:numId w:val="0"/>
        </w:numPr>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l、乙方负责按合同中确定的产品品牌、规格、型号、数量、原产地及配套内容进行供货；按时运到甲方指定的交货地点，负责产品到货后安装调试工作，达到正常使用；负责为甲方培训操作、维护人员，指导操作使用维修保养，做好售后服务工作；</w:t>
      </w:r>
    </w:p>
    <w:p w14:paraId="379B9554">
      <w:pPr>
        <w:widowControl/>
        <w:numPr>
          <w:ilvl w:val="0"/>
          <w:numId w:val="0"/>
        </w:numPr>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2、招标文件、乙方的投标文件及评标过程中的澄清、承诺内容均作为本合同的组成部分，具有同等法律效力。</w:t>
      </w:r>
    </w:p>
    <w:p w14:paraId="20C62EBE">
      <w:pPr>
        <w:widowControl/>
        <w:numPr>
          <w:ilvl w:val="0"/>
          <w:numId w:val="1"/>
        </w:numPr>
        <w:tabs>
          <w:tab w:val="left" w:pos="480"/>
        </w:tabs>
        <w:spacing w:line="440" w:lineRule="exact"/>
        <w:ind w:firstLine="482" w:firstLineChars="20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合同标的物内容及数量</w:t>
      </w:r>
    </w:p>
    <w:p w14:paraId="38680353">
      <w:pPr>
        <w:widowControl/>
        <w:numPr>
          <w:ilvl w:val="0"/>
          <w:numId w:val="0"/>
        </w:numPr>
        <w:tabs>
          <w:tab w:val="left" w:pos="480"/>
        </w:tabs>
        <w:spacing w:line="440" w:lineRule="exact"/>
        <w:rPr>
          <w:rFonts w:hint="eastAsia" w:ascii="宋体" w:hAnsi="宋体" w:eastAsia="宋体" w:cs="宋体"/>
          <w:b/>
          <w:color w:val="auto"/>
          <w:szCs w:val="24"/>
          <w:highlight w:val="none"/>
        </w:rPr>
      </w:pPr>
      <w:r>
        <w:rPr>
          <w:rFonts w:hint="eastAsia" w:ascii="宋体" w:hAnsi="宋体" w:eastAsia="宋体" w:cs="宋体"/>
          <w:color w:val="auto"/>
          <w:szCs w:val="24"/>
          <w:highlight w:val="none"/>
        </w:rPr>
        <w:t>（以投标文件正本和澄清表〈函〉为准，标的物规格标准详见附件一、附件二）</w:t>
      </w:r>
    </w:p>
    <w:tbl>
      <w:tblPr>
        <w:tblStyle w:val="6"/>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227"/>
        <w:gridCol w:w="1297"/>
        <w:gridCol w:w="1235"/>
        <w:gridCol w:w="709"/>
        <w:gridCol w:w="709"/>
        <w:gridCol w:w="1417"/>
        <w:gridCol w:w="1418"/>
        <w:gridCol w:w="1458"/>
      </w:tblGrid>
      <w:tr w14:paraId="393E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14:paraId="73AFEE05">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序号</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1ECEDDC3">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货物名称</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51C4AA04">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品牌/型号</w:t>
            </w:r>
          </w:p>
        </w:tc>
        <w:tc>
          <w:tcPr>
            <w:tcW w:w="1235" w:type="dxa"/>
            <w:tcBorders>
              <w:top w:val="single" w:color="auto" w:sz="4" w:space="0"/>
              <w:left w:val="single" w:color="auto" w:sz="4" w:space="0"/>
              <w:bottom w:val="single" w:color="auto" w:sz="4" w:space="0"/>
              <w:right w:val="single" w:color="auto" w:sz="4" w:space="0"/>
            </w:tcBorders>
            <w:noWrap w:val="0"/>
            <w:vAlign w:val="center"/>
          </w:tcPr>
          <w:p w14:paraId="5E942A47">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制造厂家</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EABB5D1">
            <w:pPr>
              <w:tabs>
                <w:tab w:val="left" w:pos="480"/>
              </w:tabs>
              <w:spacing w:line="360" w:lineRule="auto"/>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单位</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3F24C71">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数量</w:t>
            </w:r>
          </w:p>
        </w:tc>
        <w:tc>
          <w:tcPr>
            <w:tcW w:w="1417" w:type="dxa"/>
            <w:tcBorders>
              <w:top w:val="single" w:color="auto" w:sz="4" w:space="0"/>
              <w:left w:val="single" w:color="auto" w:sz="4" w:space="0"/>
              <w:bottom w:val="single" w:color="auto" w:sz="4" w:space="0"/>
              <w:right w:val="single" w:color="auto" w:sz="4" w:space="0"/>
            </w:tcBorders>
            <w:noWrap w:val="0"/>
            <w:vAlign w:val="center"/>
          </w:tcPr>
          <w:p w14:paraId="6A645199">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单价（万元）</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CC5AA70">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总价（万元）</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58D25CFC">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质保期（年）</w:t>
            </w:r>
          </w:p>
        </w:tc>
      </w:tr>
      <w:tr w14:paraId="6A789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14:paraId="539BBBA0">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4B8EB6E3">
            <w:pPr>
              <w:tabs>
                <w:tab w:val="left" w:pos="480"/>
              </w:tabs>
              <w:spacing w:line="360" w:lineRule="auto"/>
              <w:rPr>
                <w:rFonts w:hint="eastAsia" w:ascii="宋体" w:hAnsi="宋体" w:eastAsia="宋体" w:cs="宋体"/>
                <w:color w:val="auto"/>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2D7A766B">
            <w:pPr>
              <w:tabs>
                <w:tab w:val="left" w:pos="480"/>
              </w:tabs>
              <w:spacing w:line="360" w:lineRule="auto"/>
              <w:rPr>
                <w:rFonts w:hint="eastAsia" w:ascii="宋体" w:hAnsi="宋体" w:eastAsia="宋体" w:cs="宋体"/>
                <w:color w:val="auto"/>
                <w:szCs w:val="24"/>
                <w:highlight w:val="none"/>
              </w:rPr>
            </w:pPr>
          </w:p>
        </w:tc>
        <w:tc>
          <w:tcPr>
            <w:tcW w:w="1235" w:type="dxa"/>
            <w:tcBorders>
              <w:top w:val="single" w:color="auto" w:sz="4" w:space="0"/>
              <w:left w:val="single" w:color="auto" w:sz="4" w:space="0"/>
              <w:bottom w:val="single" w:color="auto" w:sz="4" w:space="0"/>
              <w:right w:val="single" w:color="auto" w:sz="4" w:space="0"/>
            </w:tcBorders>
            <w:noWrap w:val="0"/>
            <w:vAlign w:val="center"/>
          </w:tcPr>
          <w:p w14:paraId="3FF00B8D">
            <w:pPr>
              <w:tabs>
                <w:tab w:val="left" w:pos="480"/>
              </w:tabs>
              <w:spacing w:line="360" w:lineRule="auto"/>
              <w:rPr>
                <w:rFonts w:hint="eastAsia" w:ascii="宋体" w:hAnsi="宋体" w:eastAsia="宋体" w:cs="宋体"/>
                <w:color w:val="auto"/>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2EC2BB11">
            <w:pPr>
              <w:tabs>
                <w:tab w:val="left" w:pos="480"/>
              </w:tabs>
              <w:spacing w:line="360" w:lineRule="auto"/>
              <w:rPr>
                <w:rFonts w:hint="eastAsia" w:ascii="宋体" w:hAnsi="宋体" w:eastAsia="宋体" w:cs="宋体"/>
                <w:color w:val="auto"/>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6E262D6F">
            <w:pPr>
              <w:tabs>
                <w:tab w:val="left" w:pos="480"/>
              </w:tabs>
              <w:spacing w:line="360" w:lineRule="auto"/>
              <w:rPr>
                <w:rFonts w:hint="eastAsia" w:ascii="宋体" w:hAnsi="宋体" w:eastAsia="宋体" w:cs="宋体"/>
                <w:color w:val="auto"/>
                <w:szCs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49BB2B5F">
            <w:pPr>
              <w:tabs>
                <w:tab w:val="left" w:pos="480"/>
              </w:tabs>
              <w:spacing w:line="360" w:lineRule="auto"/>
              <w:rPr>
                <w:rFonts w:hint="eastAsia" w:ascii="宋体" w:hAnsi="宋体" w:eastAsia="宋体" w:cs="宋体"/>
                <w:color w:val="auto"/>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5D5A6CC">
            <w:pPr>
              <w:tabs>
                <w:tab w:val="left" w:pos="480"/>
              </w:tabs>
              <w:spacing w:line="360" w:lineRule="auto"/>
              <w:rPr>
                <w:rFonts w:hint="eastAsia" w:ascii="宋体" w:hAnsi="宋体" w:eastAsia="宋体" w:cs="宋体"/>
                <w:color w:val="auto"/>
                <w:szCs w:val="24"/>
                <w:highlight w:val="none"/>
              </w:rPr>
            </w:pPr>
          </w:p>
        </w:tc>
        <w:tc>
          <w:tcPr>
            <w:tcW w:w="1458" w:type="dxa"/>
            <w:tcBorders>
              <w:top w:val="single" w:color="auto" w:sz="4" w:space="0"/>
              <w:left w:val="single" w:color="auto" w:sz="4" w:space="0"/>
              <w:bottom w:val="single" w:color="auto" w:sz="4" w:space="0"/>
              <w:right w:val="single" w:color="auto" w:sz="4" w:space="0"/>
            </w:tcBorders>
            <w:noWrap w:val="0"/>
            <w:vAlign w:val="center"/>
          </w:tcPr>
          <w:p w14:paraId="2A5D2D58">
            <w:pPr>
              <w:tabs>
                <w:tab w:val="left" w:pos="480"/>
              </w:tabs>
              <w:spacing w:line="360" w:lineRule="auto"/>
              <w:rPr>
                <w:rFonts w:hint="eastAsia" w:ascii="宋体" w:hAnsi="宋体" w:eastAsia="宋体" w:cs="宋体"/>
                <w:color w:val="auto"/>
                <w:szCs w:val="24"/>
                <w:highlight w:val="none"/>
              </w:rPr>
            </w:pPr>
          </w:p>
        </w:tc>
      </w:tr>
      <w:tr w14:paraId="44C25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14:paraId="09D7B73C">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564C29B7">
            <w:pPr>
              <w:tabs>
                <w:tab w:val="left" w:pos="480"/>
              </w:tabs>
              <w:spacing w:line="360" w:lineRule="auto"/>
              <w:rPr>
                <w:rFonts w:hint="eastAsia" w:ascii="宋体" w:hAnsi="宋体" w:eastAsia="宋体" w:cs="宋体"/>
                <w:color w:val="auto"/>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0829B9C8">
            <w:pPr>
              <w:tabs>
                <w:tab w:val="left" w:pos="480"/>
              </w:tabs>
              <w:spacing w:line="360" w:lineRule="auto"/>
              <w:rPr>
                <w:rFonts w:hint="eastAsia" w:ascii="宋体" w:hAnsi="宋体" w:eastAsia="宋体" w:cs="宋体"/>
                <w:color w:val="auto"/>
                <w:szCs w:val="24"/>
                <w:highlight w:val="none"/>
              </w:rPr>
            </w:pPr>
          </w:p>
        </w:tc>
        <w:tc>
          <w:tcPr>
            <w:tcW w:w="1235" w:type="dxa"/>
            <w:tcBorders>
              <w:top w:val="single" w:color="auto" w:sz="4" w:space="0"/>
              <w:left w:val="single" w:color="auto" w:sz="4" w:space="0"/>
              <w:bottom w:val="single" w:color="auto" w:sz="4" w:space="0"/>
              <w:right w:val="single" w:color="auto" w:sz="4" w:space="0"/>
            </w:tcBorders>
            <w:noWrap w:val="0"/>
            <w:vAlign w:val="center"/>
          </w:tcPr>
          <w:p w14:paraId="4E4EE641">
            <w:pPr>
              <w:tabs>
                <w:tab w:val="left" w:pos="480"/>
              </w:tabs>
              <w:spacing w:line="360" w:lineRule="auto"/>
              <w:rPr>
                <w:rFonts w:hint="eastAsia" w:ascii="宋体" w:hAnsi="宋体" w:eastAsia="宋体" w:cs="宋体"/>
                <w:color w:val="auto"/>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1B098D8D">
            <w:pPr>
              <w:tabs>
                <w:tab w:val="left" w:pos="480"/>
              </w:tabs>
              <w:spacing w:line="360" w:lineRule="auto"/>
              <w:rPr>
                <w:rFonts w:hint="eastAsia" w:ascii="宋体" w:hAnsi="宋体" w:eastAsia="宋体" w:cs="宋体"/>
                <w:color w:val="auto"/>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1C7169B0">
            <w:pPr>
              <w:tabs>
                <w:tab w:val="left" w:pos="480"/>
              </w:tabs>
              <w:spacing w:line="360" w:lineRule="auto"/>
              <w:rPr>
                <w:rFonts w:hint="eastAsia" w:ascii="宋体" w:hAnsi="宋体" w:eastAsia="宋体" w:cs="宋体"/>
                <w:color w:val="auto"/>
                <w:szCs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6084CE6B">
            <w:pPr>
              <w:tabs>
                <w:tab w:val="left" w:pos="480"/>
              </w:tabs>
              <w:spacing w:line="360" w:lineRule="auto"/>
              <w:rPr>
                <w:rFonts w:hint="eastAsia" w:ascii="宋体" w:hAnsi="宋体" w:eastAsia="宋体" w:cs="宋体"/>
                <w:color w:val="auto"/>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B81EF54">
            <w:pPr>
              <w:tabs>
                <w:tab w:val="left" w:pos="480"/>
              </w:tabs>
              <w:spacing w:line="360" w:lineRule="auto"/>
              <w:rPr>
                <w:rFonts w:hint="eastAsia" w:ascii="宋体" w:hAnsi="宋体" w:eastAsia="宋体" w:cs="宋体"/>
                <w:color w:val="auto"/>
                <w:szCs w:val="24"/>
                <w:highlight w:val="none"/>
              </w:rPr>
            </w:pPr>
          </w:p>
        </w:tc>
        <w:tc>
          <w:tcPr>
            <w:tcW w:w="1458" w:type="dxa"/>
            <w:tcBorders>
              <w:top w:val="single" w:color="auto" w:sz="4" w:space="0"/>
              <w:left w:val="single" w:color="auto" w:sz="4" w:space="0"/>
              <w:bottom w:val="single" w:color="auto" w:sz="4" w:space="0"/>
              <w:right w:val="single" w:color="auto" w:sz="4" w:space="0"/>
            </w:tcBorders>
            <w:noWrap w:val="0"/>
            <w:vAlign w:val="center"/>
          </w:tcPr>
          <w:p w14:paraId="58770BF2">
            <w:pPr>
              <w:tabs>
                <w:tab w:val="left" w:pos="480"/>
              </w:tabs>
              <w:spacing w:line="360" w:lineRule="auto"/>
              <w:rPr>
                <w:rFonts w:hint="eastAsia" w:ascii="宋体" w:hAnsi="宋体" w:eastAsia="宋体" w:cs="宋体"/>
                <w:color w:val="auto"/>
                <w:szCs w:val="24"/>
                <w:highlight w:val="none"/>
              </w:rPr>
            </w:pPr>
          </w:p>
        </w:tc>
      </w:tr>
      <w:tr w14:paraId="0E79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14:paraId="15D839BF">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3</w:t>
            </w:r>
          </w:p>
        </w:tc>
        <w:tc>
          <w:tcPr>
            <w:tcW w:w="1227" w:type="dxa"/>
            <w:tcBorders>
              <w:top w:val="single" w:color="auto" w:sz="4" w:space="0"/>
              <w:left w:val="single" w:color="auto" w:sz="4" w:space="0"/>
              <w:bottom w:val="single" w:color="auto" w:sz="4" w:space="0"/>
              <w:right w:val="single" w:color="auto" w:sz="4" w:space="0"/>
            </w:tcBorders>
            <w:noWrap w:val="0"/>
            <w:vAlign w:val="center"/>
          </w:tcPr>
          <w:p w14:paraId="41CFE418">
            <w:pPr>
              <w:tabs>
                <w:tab w:val="left" w:pos="480"/>
              </w:tabs>
              <w:spacing w:line="360" w:lineRule="auto"/>
              <w:rPr>
                <w:rFonts w:hint="eastAsia" w:ascii="宋体" w:hAnsi="宋体" w:eastAsia="宋体" w:cs="宋体"/>
                <w:color w:val="auto"/>
                <w:szCs w:val="24"/>
                <w:highlight w:val="none"/>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3F7B7DEA">
            <w:pPr>
              <w:tabs>
                <w:tab w:val="left" w:pos="480"/>
              </w:tabs>
              <w:spacing w:line="360" w:lineRule="auto"/>
              <w:rPr>
                <w:rFonts w:hint="eastAsia" w:ascii="宋体" w:hAnsi="宋体" w:eastAsia="宋体" w:cs="宋体"/>
                <w:color w:val="auto"/>
                <w:szCs w:val="24"/>
                <w:highlight w:val="none"/>
              </w:rPr>
            </w:pPr>
          </w:p>
        </w:tc>
        <w:tc>
          <w:tcPr>
            <w:tcW w:w="1235" w:type="dxa"/>
            <w:tcBorders>
              <w:top w:val="single" w:color="auto" w:sz="4" w:space="0"/>
              <w:left w:val="single" w:color="auto" w:sz="4" w:space="0"/>
              <w:bottom w:val="single" w:color="auto" w:sz="4" w:space="0"/>
              <w:right w:val="single" w:color="auto" w:sz="4" w:space="0"/>
            </w:tcBorders>
            <w:noWrap w:val="0"/>
            <w:vAlign w:val="center"/>
          </w:tcPr>
          <w:p w14:paraId="2FC05EE4">
            <w:pPr>
              <w:tabs>
                <w:tab w:val="left" w:pos="480"/>
              </w:tabs>
              <w:spacing w:line="360" w:lineRule="auto"/>
              <w:rPr>
                <w:rFonts w:hint="eastAsia" w:ascii="宋体" w:hAnsi="宋体" w:eastAsia="宋体" w:cs="宋体"/>
                <w:color w:val="auto"/>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2F8A33D8">
            <w:pPr>
              <w:tabs>
                <w:tab w:val="left" w:pos="480"/>
              </w:tabs>
              <w:spacing w:line="360" w:lineRule="auto"/>
              <w:rPr>
                <w:rFonts w:hint="eastAsia" w:ascii="宋体" w:hAnsi="宋体" w:eastAsia="宋体" w:cs="宋体"/>
                <w:color w:val="auto"/>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44DA51BD">
            <w:pPr>
              <w:tabs>
                <w:tab w:val="left" w:pos="480"/>
              </w:tabs>
              <w:spacing w:line="360" w:lineRule="auto"/>
              <w:rPr>
                <w:rFonts w:hint="eastAsia" w:ascii="宋体" w:hAnsi="宋体" w:eastAsia="宋体" w:cs="宋体"/>
                <w:color w:val="auto"/>
                <w:szCs w:val="24"/>
                <w:highlight w:val="none"/>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25CF5197">
            <w:pPr>
              <w:tabs>
                <w:tab w:val="left" w:pos="480"/>
              </w:tabs>
              <w:spacing w:line="360" w:lineRule="auto"/>
              <w:rPr>
                <w:rFonts w:hint="eastAsia" w:ascii="宋体" w:hAnsi="宋体" w:eastAsia="宋体" w:cs="宋体"/>
                <w:color w:val="auto"/>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FA04EDA">
            <w:pPr>
              <w:tabs>
                <w:tab w:val="left" w:pos="480"/>
              </w:tabs>
              <w:spacing w:line="360" w:lineRule="auto"/>
              <w:rPr>
                <w:rFonts w:hint="eastAsia" w:ascii="宋体" w:hAnsi="宋体" w:eastAsia="宋体" w:cs="宋体"/>
                <w:color w:val="auto"/>
                <w:szCs w:val="24"/>
                <w:highlight w:val="none"/>
              </w:rPr>
            </w:pPr>
          </w:p>
        </w:tc>
        <w:tc>
          <w:tcPr>
            <w:tcW w:w="1458" w:type="dxa"/>
            <w:tcBorders>
              <w:top w:val="single" w:color="auto" w:sz="4" w:space="0"/>
              <w:left w:val="single" w:color="auto" w:sz="4" w:space="0"/>
              <w:bottom w:val="single" w:color="auto" w:sz="4" w:space="0"/>
              <w:right w:val="single" w:color="auto" w:sz="4" w:space="0"/>
            </w:tcBorders>
            <w:noWrap w:val="0"/>
            <w:vAlign w:val="center"/>
          </w:tcPr>
          <w:p w14:paraId="35DBE35F">
            <w:pPr>
              <w:tabs>
                <w:tab w:val="left" w:pos="480"/>
              </w:tabs>
              <w:spacing w:line="360" w:lineRule="auto"/>
              <w:rPr>
                <w:rFonts w:hint="eastAsia" w:ascii="宋体" w:hAnsi="宋体" w:eastAsia="宋体" w:cs="宋体"/>
                <w:color w:val="auto"/>
                <w:szCs w:val="24"/>
                <w:highlight w:val="none"/>
              </w:rPr>
            </w:pPr>
          </w:p>
        </w:tc>
      </w:tr>
      <w:tr w14:paraId="3066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0205" w:type="dxa"/>
            <w:gridSpan w:val="9"/>
            <w:noWrap w:val="0"/>
            <w:vAlign w:val="top"/>
          </w:tcPr>
          <w:p w14:paraId="5295197B">
            <w:pPr>
              <w:tabs>
                <w:tab w:val="left" w:pos="480"/>
              </w:tabs>
              <w:spacing w:line="360" w:lineRule="auto"/>
              <w:rPr>
                <w:rFonts w:hint="eastAsia" w:ascii="宋体" w:hAnsi="宋体" w:eastAsia="宋体" w:cs="宋体"/>
                <w:b/>
                <w:color w:val="auto"/>
                <w:szCs w:val="24"/>
                <w:highlight w:val="none"/>
              </w:rPr>
            </w:pPr>
            <w:r>
              <w:rPr>
                <w:rFonts w:hint="eastAsia" w:ascii="宋体" w:hAnsi="宋体" w:eastAsia="宋体" w:cs="宋体"/>
                <w:color w:val="auto"/>
                <w:szCs w:val="24"/>
                <w:highlight w:val="none"/>
              </w:rPr>
              <w:t>货物价款合计（大写）：XXXXXX   ¥：（XXX万元）</w:t>
            </w:r>
          </w:p>
        </w:tc>
      </w:tr>
    </w:tbl>
    <w:p w14:paraId="1BF4C2C0">
      <w:pPr>
        <w:tabs>
          <w:tab w:val="left" w:pos="480"/>
        </w:tabs>
        <w:spacing w:line="360" w:lineRule="auto"/>
        <w:ind w:firstLine="482" w:firstLineChars="200"/>
        <w:rPr>
          <w:rFonts w:hint="eastAsia" w:ascii="宋体" w:hAnsi="宋体" w:eastAsia="宋体" w:cs="宋体"/>
          <w:b/>
          <w:color w:val="auto"/>
          <w:szCs w:val="24"/>
          <w:highlight w:val="none"/>
        </w:rPr>
      </w:pPr>
      <w:r>
        <w:rPr>
          <w:rFonts w:hint="eastAsia" w:hAnsi="宋体" w:cs="宋体"/>
          <w:b/>
          <w:color w:val="auto"/>
          <w:szCs w:val="24"/>
          <w:highlight w:val="none"/>
          <w:lang w:val="en-US" w:eastAsia="zh-CN"/>
        </w:rPr>
        <w:t>三</w:t>
      </w:r>
      <w:r>
        <w:rPr>
          <w:rFonts w:hint="eastAsia" w:ascii="宋体" w:hAnsi="宋体" w:eastAsia="宋体" w:cs="宋体"/>
          <w:b/>
          <w:color w:val="auto"/>
          <w:szCs w:val="24"/>
          <w:highlight w:val="none"/>
        </w:rPr>
        <w:t>、合同价款</w:t>
      </w:r>
    </w:p>
    <w:p w14:paraId="4EA4F72E">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（一）合同总价款为人民币（大写）XXXXXXXXXXXXX（￥XXXX万元）。</w:t>
      </w:r>
    </w:p>
    <w:p w14:paraId="6FDC5D61">
      <w:pPr>
        <w:widowControl/>
        <w:tabs>
          <w:tab w:val="left" w:pos="480"/>
        </w:tabs>
        <w:spacing w:line="440" w:lineRule="exact"/>
        <w:ind w:firstLine="480" w:firstLineChars="20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（二）合同总价包括：完成项目所需的所有费用（包括但不限于材料费、设备费、运输杂费、安装费、实施费、税金、调试费、挂牌费、交强险、售后相关费用等完成本项目所需的一切费用）</w:t>
      </w:r>
      <w:r>
        <w:rPr>
          <w:rFonts w:hint="eastAsia" w:hAnsi="宋体" w:cs="宋体"/>
          <w:color w:val="auto"/>
          <w:szCs w:val="24"/>
          <w:highlight w:val="none"/>
          <w:lang w:eastAsia="zh-CN"/>
        </w:rPr>
        <w:t>。</w:t>
      </w:r>
    </w:p>
    <w:p w14:paraId="1C3A4A15">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（三）合同总价一次性包死，不受市场价格变化因素的影响。</w:t>
      </w:r>
    </w:p>
    <w:p w14:paraId="59934C06">
      <w:pPr>
        <w:widowControl/>
        <w:tabs>
          <w:tab w:val="left" w:pos="480"/>
        </w:tabs>
        <w:spacing w:line="440" w:lineRule="exact"/>
        <w:ind w:firstLine="482" w:firstLineChars="200"/>
        <w:rPr>
          <w:rFonts w:hint="eastAsia" w:ascii="宋体" w:hAnsi="宋体" w:eastAsia="宋体" w:cs="宋体"/>
          <w:b/>
          <w:color w:val="auto"/>
          <w:szCs w:val="24"/>
          <w:highlight w:val="none"/>
        </w:rPr>
      </w:pPr>
      <w:r>
        <w:rPr>
          <w:rFonts w:hint="eastAsia" w:hAnsi="宋体" w:cs="宋体"/>
          <w:b/>
          <w:color w:val="auto"/>
          <w:szCs w:val="24"/>
          <w:highlight w:val="none"/>
          <w:lang w:val="en-US" w:eastAsia="zh-CN"/>
        </w:rPr>
        <w:t>四</w:t>
      </w:r>
      <w:r>
        <w:rPr>
          <w:rFonts w:hint="eastAsia" w:ascii="宋体" w:hAnsi="宋体" w:eastAsia="宋体" w:cs="宋体"/>
          <w:b/>
          <w:color w:val="auto"/>
          <w:szCs w:val="24"/>
          <w:highlight w:val="none"/>
        </w:rPr>
        <w:t>、款项结算</w:t>
      </w:r>
    </w:p>
    <w:p w14:paraId="7B8F85D9">
      <w:pPr>
        <w:widowControl/>
        <w:tabs>
          <w:tab w:val="left" w:pos="480"/>
        </w:tabs>
        <w:spacing w:line="440" w:lineRule="exact"/>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 w:val="24"/>
          <w:szCs w:val="24"/>
          <w:highlight w:val="none"/>
          <w:lang w:val="en-US" w:eastAsia="zh-CN" w:bidi="ar-SA"/>
        </w:rPr>
        <w:t>（一）支付方式如下：</w:t>
      </w:r>
      <w:r>
        <w:rPr>
          <w:rFonts w:hint="eastAsia" w:ascii="宋体" w:hAnsi="宋体" w:eastAsia="宋体" w:cs="宋体"/>
          <w:color w:val="auto"/>
          <w:szCs w:val="24"/>
          <w:highlight w:val="none"/>
          <w:lang w:val="en-US" w:eastAsia="zh-CN"/>
        </w:rPr>
        <w:t xml:space="preserve">合同签订后，达到付款条件起 10日内，支付合同总金额的 </w:t>
      </w:r>
      <w:r>
        <w:rPr>
          <w:rFonts w:hint="eastAsia" w:hAnsi="宋体" w:cs="宋体"/>
          <w:color w:val="auto"/>
          <w:szCs w:val="24"/>
          <w:highlight w:val="none"/>
          <w:lang w:val="en-US" w:eastAsia="zh-CN"/>
        </w:rPr>
        <w:t>3</w:t>
      </w:r>
      <w:r>
        <w:rPr>
          <w:rFonts w:hint="eastAsia" w:ascii="宋体" w:hAnsi="宋体" w:eastAsia="宋体" w:cs="宋体"/>
          <w:color w:val="auto"/>
          <w:szCs w:val="24"/>
          <w:highlight w:val="none"/>
          <w:lang w:val="en-US" w:eastAsia="zh-CN"/>
        </w:rPr>
        <w:t xml:space="preserve">0.00%；验收合格无质量问题后 ，达到付款条件起 20 日内，支付合同总金额的 </w:t>
      </w:r>
      <w:r>
        <w:rPr>
          <w:rFonts w:hint="eastAsia" w:hAnsi="宋体" w:cs="宋体"/>
          <w:color w:val="auto"/>
          <w:szCs w:val="24"/>
          <w:highlight w:val="none"/>
          <w:lang w:val="en-US" w:eastAsia="zh-CN"/>
        </w:rPr>
        <w:t>7</w:t>
      </w:r>
      <w:r>
        <w:rPr>
          <w:rFonts w:hint="eastAsia" w:ascii="宋体" w:hAnsi="宋体" w:eastAsia="宋体" w:cs="宋体"/>
          <w:color w:val="auto"/>
          <w:szCs w:val="24"/>
          <w:highlight w:val="none"/>
          <w:lang w:val="en-US" w:eastAsia="zh-CN"/>
        </w:rPr>
        <w:t>0.00%。</w:t>
      </w:r>
    </w:p>
    <w:p w14:paraId="7A9D721B">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（二）支付方式：银行转账。</w:t>
      </w:r>
    </w:p>
    <w:p w14:paraId="1A141FD5">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（三）结算方式：投标人向</w:t>
      </w:r>
      <w:r>
        <w:rPr>
          <w:rFonts w:hint="eastAsia" w:hAnsi="宋体" w:cs="宋体"/>
          <w:color w:val="auto"/>
          <w:szCs w:val="24"/>
          <w:highlight w:val="none"/>
          <w:lang w:eastAsia="zh-CN"/>
        </w:rPr>
        <w:t>甲方</w:t>
      </w:r>
      <w:r>
        <w:rPr>
          <w:rFonts w:hint="eastAsia" w:ascii="宋体" w:hAnsi="宋体" w:eastAsia="宋体" w:cs="宋体"/>
          <w:color w:val="auto"/>
          <w:szCs w:val="24"/>
          <w:highlight w:val="none"/>
        </w:rPr>
        <w:t>开具的正式发票及相关的报账资料,方可办理相关申报支付手续。</w:t>
      </w:r>
    </w:p>
    <w:p w14:paraId="187F9037">
      <w:pPr>
        <w:widowControl/>
        <w:spacing w:line="440" w:lineRule="exact"/>
        <w:ind w:firstLine="482" w:firstLineChars="200"/>
        <w:rPr>
          <w:rFonts w:hint="eastAsia" w:ascii="宋体" w:hAnsi="宋体" w:eastAsia="宋体" w:cs="宋体"/>
          <w:color w:val="auto"/>
          <w:szCs w:val="24"/>
          <w:highlight w:val="none"/>
        </w:rPr>
      </w:pPr>
      <w:r>
        <w:rPr>
          <w:rFonts w:hint="eastAsia" w:hAnsi="宋体" w:cs="宋体"/>
          <w:b/>
          <w:color w:val="auto"/>
          <w:szCs w:val="24"/>
          <w:highlight w:val="none"/>
          <w:lang w:val="en-US" w:eastAsia="zh-CN"/>
        </w:rPr>
        <w:t>五</w:t>
      </w:r>
      <w:r>
        <w:rPr>
          <w:rFonts w:hint="eastAsia" w:ascii="宋体" w:hAnsi="宋体" w:eastAsia="宋体" w:cs="宋体"/>
          <w:b/>
          <w:color w:val="auto"/>
          <w:szCs w:val="24"/>
          <w:highlight w:val="none"/>
        </w:rPr>
        <w:t>、交货条件：</w:t>
      </w:r>
    </w:p>
    <w:p w14:paraId="37689F8B">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（一）交货地点：</w:t>
      </w:r>
      <w:r>
        <w:rPr>
          <w:rFonts w:hint="eastAsia" w:ascii="宋体" w:hAnsi="宋体" w:eastAsia="宋体" w:cs="宋体"/>
          <w:color w:val="auto"/>
          <w:szCs w:val="24"/>
          <w:highlight w:val="none"/>
          <w:lang w:val="en-US" w:eastAsia="zh-CN"/>
        </w:rPr>
        <w:t>渭南高新区城市管理处</w:t>
      </w:r>
    </w:p>
    <w:p w14:paraId="3A05F01B">
      <w:pPr>
        <w:widowControl/>
        <w:tabs>
          <w:tab w:val="left" w:pos="480"/>
        </w:tabs>
        <w:spacing w:line="440" w:lineRule="exact"/>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rPr>
        <w:t>（二）交货期：</w:t>
      </w:r>
      <w:r>
        <w:rPr>
          <w:rFonts w:hint="eastAsia" w:ascii="宋体" w:hAnsi="宋体" w:eastAsia="宋体" w:cs="宋体"/>
          <w:color w:val="auto"/>
          <w:szCs w:val="24"/>
          <w:highlight w:val="none"/>
          <w:lang w:val="en-US" w:eastAsia="zh-CN"/>
        </w:rPr>
        <w:t>合同签订</w:t>
      </w:r>
      <w:r>
        <w:rPr>
          <w:rFonts w:hint="eastAsia" w:hAnsi="宋体" w:cs="宋体"/>
          <w:color w:val="auto"/>
          <w:szCs w:val="24"/>
          <w:highlight w:val="none"/>
          <w:lang w:val="en-US" w:eastAsia="zh-CN"/>
        </w:rPr>
        <w:t>后15个工作日</w:t>
      </w:r>
      <w:r>
        <w:rPr>
          <w:rFonts w:hint="eastAsia" w:ascii="宋体" w:hAnsi="宋体" w:eastAsia="宋体" w:cs="宋体"/>
          <w:color w:val="auto"/>
          <w:szCs w:val="24"/>
          <w:highlight w:val="none"/>
          <w:lang w:val="en-US" w:eastAsia="zh-CN"/>
        </w:rPr>
        <w:t>内</w:t>
      </w:r>
    </w:p>
    <w:p w14:paraId="292332CF">
      <w:pPr>
        <w:widowControl/>
        <w:tabs>
          <w:tab w:val="left" w:pos="480"/>
        </w:tabs>
        <w:spacing w:line="440" w:lineRule="exact"/>
        <w:ind w:firstLine="482" w:firstLineChars="200"/>
        <w:rPr>
          <w:rFonts w:hint="eastAsia" w:ascii="宋体" w:hAnsi="宋体" w:eastAsia="宋体" w:cs="宋体"/>
          <w:b/>
          <w:color w:val="auto"/>
          <w:szCs w:val="24"/>
          <w:highlight w:val="none"/>
        </w:rPr>
      </w:pPr>
      <w:r>
        <w:rPr>
          <w:rFonts w:hint="eastAsia" w:hAnsi="宋体" w:cs="宋体"/>
          <w:b/>
          <w:color w:val="auto"/>
          <w:szCs w:val="24"/>
          <w:highlight w:val="none"/>
          <w:lang w:val="en-US" w:eastAsia="zh-CN"/>
        </w:rPr>
        <w:t>六</w:t>
      </w:r>
      <w:r>
        <w:rPr>
          <w:rFonts w:hint="eastAsia" w:ascii="宋体" w:hAnsi="宋体" w:eastAsia="宋体" w:cs="宋体"/>
          <w:b/>
          <w:color w:val="auto"/>
          <w:szCs w:val="24"/>
          <w:highlight w:val="none"/>
        </w:rPr>
        <w:t>、</w:t>
      </w:r>
      <w:r>
        <w:rPr>
          <w:rFonts w:hint="eastAsia" w:hAnsi="宋体" w:cs="宋体"/>
          <w:b/>
          <w:color w:val="auto"/>
          <w:szCs w:val="24"/>
          <w:highlight w:val="none"/>
          <w:lang w:val="en-US" w:eastAsia="zh-CN"/>
        </w:rPr>
        <w:t>其他</w:t>
      </w:r>
      <w:r>
        <w:rPr>
          <w:rFonts w:hint="eastAsia" w:ascii="宋体" w:hAnsi="宋体" w:eastAsia="宋体" w:cs="宋体"/>
          <w:b/>
          <w:color w:val="auto"/>
          <w:szCs w:val="24"/>
          <w:highlight w:val="none"/>
        </w:rPr>
        <w:t>要求：</w:t>
      </w:r>
    </w:p>
    <w:p w14:paraId="5DE401C9">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hAnsi="宋体" w:cs="宋体"/>
          <w:b w:val="0"/>
          <w:bCs/>
          <w:color w:val="auto"/>
          <w:szCs w:val="24"/>
          <w:highlight w:val="none"/>
          <w:lang w:eastAsia="zh-CN"/>
        </w:rPr>
        <w:t>（</w:t>
      </w:r>
      <w:r>
        <w:rPr>
          <w:rFonts w:hint="eastAsia" w:hAnsi="宋体" w:cs="宋体"/>
          <w:b w:val="0"/>
          <w:bCs/>
          <w:color w:val="auto"/>
          <w:szCs w:val="24"/>
          <w:highlight w:val="none"/>
          <w:lang w:val="en-US" w:eastAsia="zh-CN"/>
        </w:rPr>
        <w:t>一</w:t>
      </w:r>
      <w:r>
        <w:rPr>
          <w:rFonts w:hint="eastAsia" w:hAnsi="宋体" w:cs="宋体"/>
          <w:b w:val="0"/>
          <w:bCs/>
          <w:color w:val="auto"/>
          <w:szCs w:val="24"/>
          <w:highlight w:val="none"/>
          <w:lang w:eastAsia="zh-CN"/>
        </w:rPr>
        <w:t>）</w:t>
      </w:r>
      <w:r>
        <w:rPr>
          <w:rFonts w:hint="eastAsia" w:ascii="宋体" w:hAnsi="宋体" w:eastAsia="宋体" w:cs="宋体"/>
          <w:b w:val="0"/>
          <w:bCs/>
          <w:color w:val="auto"/>
          <w:szCs w:val="24"/>
          <w:highlight w:val="none"/>
        </w:rPr>
        <w:t>包装：应采取防潮、防晒、防腐蚀、防震动及防止其它损坏的必要措施。中标单位应承担由于其包装或防护措施不妥而引起的货物锈蚀、损坏和丢失等任何损失造成的责任或费用。确保货物设备包装符合国家运输标准，确保设备在运输过程中不受损坏。</w:t>
      </w:r>
    </w:p>
    <w:p w14:paraId="12AC15C5">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hAnsi="宋体" w:cs="宋体"/>
          <w:b w:val="0"/>
          <w:bCs/>
          <w:color w:val="auto"/>
          <w:szCs w:val="24"/>
          <w:highlight w:val="none"/>
          <w:lang w:eastAsia="zh-CN"/>
        </w:rPr>
        <w:t>（</w:t>
      </w:r>
      <w:r>
        <w:rPr>
          <w:rFonts w:hint="eastAsia" w:hAnsi="宋体" w:cs="宋体"/>
          <w:b w:val="0"/>
          <w:bCs/>
          <w:color w:val="auto"/>
          <w:szCs w:val="24"/>
          <w:highlight w:val="none"/>
          <w:lang w:val="en-US" w:eastAsia="zh-CN"/>
        </w:rPr>
        <w:t>二</w:t>
      </w:r>
      <w:r>
        <w:rPr>
          <w:rFonts w:hint="eastAsia" w:hAnsi="宋体" w:cs="宋体"/>
          <w:b w:val="0"/>
          <w:bCs/>
          <w:color w:val="auto"/>
          <w:szCs w:val="24"/>
          <w:highlight w:val="none"/>
          <w:lang w:eastAsia="zh-CN"/>
        </w:rPr>
        <w:t>）</w:t>
      </w:r>
      <w:r>
        <w:rPr>
          <w:rFonts w:hint="eastAsia" w:ascii="宋体" w:hAnsi="宋体" w:eastAsia="宋体" w:cs="宋体"/>
          <w:b w:val="0"/>
          <w:bCs/>
          <w:color w:val="auto"/>
          <w:szCs w:val="24"/>
          <w:highlight w:val="none"/>
        </w:rPr>
        <w:t>运输：选择安全、可靠的运输方式，确保货物设备按时、完好地送达指定地点。</w:t>
      </w:r>
    </w:p>
    <w:p w14:paraId="36D67982">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hAnsi="宋体" w:cs="宋体"/>
          <w:b w:val="0"/>
          <w:bCs/>
          <w:color w:val="auto"/>
          <w:szCs w:val="24"/>
          <w:highlight w:val="none"/>
          <w:lang w:eastAsia="zh-CN"/>
        </w:rPr>
        <w:t>（</w:t>
      </w:r>
      <w:r>
        <w:rPr>
          <w:rFonts w:hint="eastAsia" w:hAnsi="宋体" w:cs="宋体"/>
          <w:b w:val="0"/>
          <w:bCs/>
          <w:color w:val="auto"/>
          <w:szCs w:val="24"/>
          <w:highlight w:val="none"/>
          <w:lang w:val="en-US" w:eastAsia="zh-CN"/>
        </w:rPr>
        <w:t>三</w:t>
      </w:r>
      <w:r>
        <w:rPr>
          <w:rFonts w:hint="eastAsia" w:hAnsi="宋体" w:cs="宋体"/>
          <w:b w:val="0"/>
          <w:bCs/>
          <w:color w:val="auto"/>
          <w:szCs w:val="24"/>
          <w:highlight w:val="none"/>
          <w:lang w:eastAsia="zh-CN"/>
        </w:rPr>
        <w:t>）</w:t>
      </w:r>
      <w:r>
        <w:rPr>
          <w:rFonts w:hint="eastAsia" w:ascii="宋体" w:hAnsi="宋体" w:eastAsia="宋体" w:cs="宋体"/>
          <w:b w:val="0"/>
          <w:bCs/>
          <w:color w:val="auto"/>
          <w:szCs w:val="24"/>
          <w:highlight w:val="none"/>
        </w:rPr>
        <w:t>安装、调试及培训：中标单位负责所有货物设备的安装、调试、培训工作。设备安装调试完毕后，中标单位必须安排技术人员对使用单位的设备管理人员进行操作应用及维护保养方面的技能培训，使其掌握基本技能。</w:t>
      </w:r>
    </w:p>
    <w:p w14:paraId="1F2DD4B6">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hAnsi="宋体" w:cs="宋体"/>
          <w:b w:val="0"/>
          <w:bCs/>
          <w:color w:val="auto"/>
          <w:szCs w:val="24"/>
          <w:highlight w:val="none"/>
          <w:lang w:eastAsia="zh-CN"/>
        </w:rPr>
        <w:t>（</w:t>
      </w:r>
      <w:r>
        <w:rPr>
          <w:rFonts w:hint="eastAsia" w:hAnsi="宋体" w:cs="宋体"/>
          <w:b w:val="0"/>
          <w:bCs/>
          <w:color w:val="auto"/>
          <w:szCs w:val="24"/>
          <w:highlight w:val="none"/>
          <w:lang w:val="en-US" w:eastAsia="zh-CN"/>
        </w:rPr>
        <w:t>四</w:t>
      </w:r>
      <w:r>
        <w:rPr>
          <w:rFonts w:hint="eastAsia" w:hAnsi="宋体" w:cs="宋体"/>
          <w:b w:val="0"/>
          <w:bCs/>
          <w:color w:val="auto"/>
          <w:szCs w:val="24"/>
          <w:highlight w:val="none"/>
          <w:lang w:eastAsia="zh-CN"/>
        </w:rPr>
        <w:t>）</w:t>
      </w:r>
      <w:r>
        <w:rPr>
          <w:rFonts w:hint="eastAsia" w:ascii="宋体" w:hAnsi="宋体" w:eastAsia="宋体" w:cs="宋体"/>
          <w:b w:val="0"/>
          <w:bCs/>
          <w:color w:val="auto"/>
          <w:szCs w:val="24"/>
          <w:highlight w:val="none"/>
        </w:rPr>
        <w:t>人员配置:为保障本项目顺利实施，</w:t>
      </w:r>
      <w:r>
        <w:rPr>
          <w:rFonts w:hint="eastAsia" w:hAnsi="宋体" w:cs="宋体"/>
          <w:b w:val="0"/>
          <w:bCs/>
          <w:color w:val="auto"/>
          <w:szCs w:val="24"/>
          <w:highlight w:val="none"/>
          <w:lang w:eastAsia="zh-CN"/>
        </w:rPr>
        <w:t>乙方</w:t>
      </w:r>
      <w:r>
        <w:rPr>
          <w:rFonts w:hint="eastAsia" w:hAnsi="宋体" w:cs="宋体"/>
          <w:b w:val="0"/>
          <w:bCs/>
          <w:color w:val="auto"/>
          <w:szCs w:val="24"/>
          <w:highlight w:val="none"/>
          <w:lang w:val="en-US" w:eastAsia="zh-CN"/>
        </w:rPr>
        <w:t>应</w:t>
      </w:r>
      <w:r>
        <w:rPr>
          <w:rFonts w:hint="eastAsia" w:ascii="宋体" w:hAnsi="宋体" w:eastAsia="宋体" w:cs="宋体"/>
          <w:b w:val="0"/>
          <w:bCs/>
          <w:color w:val="auto"/>
          <w:szCs w:val="24"/>
          <w:highlight w:val="none"/>
        </w:rPr>
        <w:t>安排专业人员对接项目交付</w:t>
      </w:r>
      <w:r>
        <w:rPr>
          <w:rFonts w:hint="eastAsia" w:hAnsi="宋体" w:cs="宋体"/>
          <w:b w:val="0"/>
          <w:bCs/>
          <w:color w:val="auto"/>
          <w:szCs w:val="24"/>
          <w:highlight w:val="none"/>
          <w:lang w:eastAsia="zh-CN"/>
        </w:rPr>
        <w:t>、</w:t>
      </w:r>
      <w:r>
        <w:rPr>
          <w:rFonts w:hint="eastAsia" w:ascii="宋体" w:hAnsi="宋体" w:eastAsia="宋体" w:cs="宋体"/>
          <w:b w:val="0"/>
          <w:bCs/>
          <w:color w:val="auto"/>
          <w:szCs w:val="24"/>
          <w:highlight w:val="none"/>
        </w:rPr>
        <w:t>安装调试</w:t>
      </w:r>
      <w:r>
        <w:rPr>
          <w:rFonts w:hint="eastAsia" w:hAnsi="宋体" w:cs="宋体"/>
          <w:b w:val="0"/>
          <w:bCs/>
          <w:color w:val="auto"/>
          <w:szCs w:val="24"/>
          <w:highlight w:val="none"/>
          <w:lang w:eastAsia="zh-CN"/>
        </w:rPr>
        <w:t>、</w:t>
      </w:r>
      <w:r>
        <w:rPr>
          <w:rFonts w:hint="eastAsia" w:hAnsi="宋体" w:cs="宋体"/>
          <w:b w:val="0"/>
          <w:bCs/>
          <w:color w:val="auto"/>
          <w:szCs w:val="24"/>
          <w:highlight w:val="none"/>
          <w:lang w:val="en-US" w:eastAsia="zh-CN"/>
        </w:rPr>
        <w:t>并</w:t>
      </w:r>
      <w:r>
        <w:rPr>
          <w:rFonts w:hint="eastAsia" w:ascii="宋体" w:hAnsi="宋体" w:eastAsia="宋体" w:cs="宋体"/>
          <w:b w:val="0"/>
          <w:bCs/>
          <w:color w:val="auto"/>
          <w:szCs w:val="24"/>
          <w:highlight w:val="none"/>
        </w:rPr>
        <w:t>配合验收工作</w:t>
      </w:r>
      <w:r>
        <w:rPr>
          <w:rFonts w:hint="eastAsia" w:hAnsi="宋体" w:cs="宋体"/>
          <w:b w:val="0"/>
          <w:bCs/>
          <w:color w:val="auto"/>
          <w:szCs w:val="24"/>
          <w:highlight w:val="none"/>
          <w:lang w:eastAsia="zh-CN"/>
        </w:rPr>
        <w:t>、</w:t>
      </w:r>
      <w:r>
        <w:rPr>
          <w:rFonts w:hint="eastAsia" w:ascii="宋体" w:hAnsi="宋体" w:eastAsia="宋体" w:cs="宋体"/>
          <w:b w:val="0"/>
          <w:bCs/>
          <w:color w:val="auto"/>
          <w:szCs w:val="24"/>
          <w:highlight w:val="none"/>
        </w:rPr>
        <w:t>技术培训</w:t>
      </w:r>
      <w:r>
        <w:rPr>
          <w:rFonts w:hint="eastAsia" w:hAnsi="宋体" w:cs="宋体"/>
          <w:b w:val="0"/>
          <w:bCs/>
          <w:color w:val="auto"/>
          <w:szCs w:val="24"/>
          <w:highlight w:val="none"/>
          <w:lang w:eastAsia="zh-CN"/>
        </w:rPr>
        <w:t>、</w:t>
      </w:r>
      <w:r>
        <w:rPr>
          <w:rFonts w:hint="eastAsia" w:ascii="宋体" w:hAnsi="宋体" w:eastAsia="宋体" w:cs="宋体"/>
          <w:b w:val="0"/>
          <w:bCs/>
          <w:color w:val="auto"/>
          <w:szCs w:val="24"/>
          <w:highlight w:val="none"/>
        </w:rPr>
        <w:t>售后保障等</w:t>
      </w:r>
      <w:r>
        <w:rPr>
          <w:rFonts w:hint="eastAsia" w:hAnsi="宋体" w:cs="宋体"/>
          <w:b w:val="0"/>
          <w:bCs/>
          <w:color w:val="auto"/>
          <w:szCs w:val="24"/>
          <w:highlight w:val="none"/>
          <w:lang w:val="en-US" w:eastAsia="zh-CN"/>
        </w:rPr>
        <w:t>相关事宜</w:t>
      </w:r>
      <w:r>
        <w:rPr>
          <w:rFonts w:hint="eastAsia" w:ascii="宋体" w:hAnsi="宋体" w:eastAsia="宋体" w:cs="宋体"/>
          <w:b w:val="0"/>
          <w:bCs/>
          <w:color w:val="auto"/>
          <w:szCs w:val="24"/>
          <w:highlight w:val="none"/>
        </w:rPr>
        <w:t>。</w:t>
      </w:r>
    </w:p>
    <w:p w14:paraId="3C63C15E">
      <w:pPr>
        <w:widowControl/>
        <w:tabs>
          <w:tab w:val="left" w:pos="480"/>
        </w:tabs>
        <w:spacing w:line="440" w:lineRule="exact"/>
        <w:ind w:firstLine="482" w:firstLineChars="200"/>
        <w:rPr>
          <w:rFonts w:hint="eastAsia" w:ascii="宋体" w:hAnsi="宋体" w:eastAsia="宋体" w:cs="宋体"/>
          <w:b/>
          <w:color w:val="auto"/>
          <w:szCs w:val="24"/>
          <w:highlight w:val="none"/>
        </w:rPr>
      </w:pPr>
      <w:r>
        <w:rPr>
          <w:rFonts w:hint="eastAsia" w:hAnsi="宋体" w:cs="宋体"/>
          <w:b/>
          <w:color w:val="auto"/>
          <w:szCs w:val="24"/>
          <w:highlight w:val="none"/>
          <w:lang w:val="en-US" w:eastAsia="zh-CN"/>
        </w:rPr>
        <w:t>七</w:t>
      </w:r>
      <w:r>
        <w:rPr>
          <w:rFonts w:hint="eastAsia" w:ascii="宋体" w:hAnsi="宋体" w:eastAsia="宋体" w:cs="宋体"/>
          <w:b/>
          <w:color w:val="auto"/>
          <w:szCs w:val="24"/>
          <w:highlight w:val="none"/>
        </w:rPr>
        <w:t>、质量保证</w:t>
      </w:r>
      <w:bookmarkStart w:id="2" w:name="_GoBack"/>
      <w:bookmarkEnd w:id="2"/>
    </w:p>
    <w:p w14:paraId="58FBD117">
      <w:pPr>
        <w:widowControl/>
        <w:tabs>
          <w:tab w:val="left" w:pos="480"/>
        </w:tabs>
        <w:spacing w:line="440" w:lineRule="exact"/>
        <w:ind w:firstLine="480" w:firstLineChars="200"/>
        <w:rPr>
          <w:rFonts w:hint="eastAsia" w:ascii="宋体" w:hAnsi="宋体" w:eastAsia="宋体" w:cs="宋体"/>
          <w:b w:val="0"/>
          <w:bCs/>
          <w:color w:val="auto"/>
          <w:szCs w:val="24"/>
          <w:highlight w:val="none"/>
          <w:lang w:eastAsia="zh-CN"/>
        </w:rPr>
      </w:pPr>
      <w:r>
        <w:rPr>
          <w:rFonts w:hint="eastAsia" w:ascii="宋体" w:hAnsi="宋体" w:eastAsia="宋体" w:cs="宋体"/>
          <w:b w:val="0"/>
          <w:bCs/>
          <w:color w:val="auto"/>
          <w:szCs w:val="24"/>
          <w:highlight w:val="none"/>
          <w:lang w:eastAsia="zh-CN"/>
        </w:rPr>
        <w:t>（</w:t>
      </w:r>
      <w:r>
        <w:rPr>
          <w:rFonts w:hint="eastAsia" w:ascii="宋体" w:hAnsi="宋体" w:eastAsia="宋体" w:cs="宋体"/>
          <w:b w:val="0"/>
          <w:bCs/>
          <w:color w:val="auto"/>
          <w:szCs w:val="24"/>
          <w:highlight w:val="none"/>
          <w:lang w:val="en-US" w:eastAsia="zh-CN"/>
        </w:rPr>
        <w:t>一</w:t>
      </w:r>
      <w:r>
        <w:rPr>
          <w:rFonts w:hint="eastAsia" w:ascii="宋体" w:hAnsi="宋体" w:eastAsia="宋体" w:cs="宋体"/>
          <w:b w:val="0"/>
          <w:bCs/>
          <w:color w:val="auto"/>
          <w:szCs w:val="24"/>
          <w:highlight w:val="none"/>
          <w:lang w:eastAsia="zh-CN"/>
        </w:rPr>
        <w:t>）</w:t>
      </w:r>
      <w:r>
        <w:rPr>
          <w:rFonts w:hint="eastAsia" w:hAnsi="宋体" w:cs="宋体"/>
          <w:b w:val="0"/>
          <w:bCs/>
          <w:color w:val="auto"/>
          <w:szCs w:val="24"/>
          <w:highlight w:val="none"/>
          <w:lang w:val="en-US" w:eastAsia="zh-CN"/>
        </w:rPr>
        <w:t>本项目</w:t>
      </w:r>
      <w:r>
        <w:rPr>
          <w:rFonts w:hint="eastAsia" w:ascii="宋体" w:hAnsi="宋体" w:eastAsia="宋体" w:cs="宋体"/>
          <w:b w:val="0"/>
          <w:bCs/>
          <w:color w:val="auto"/>
          <w:szCs w:val="24"/>
          <w:highlight w:val="none"/>
          <w:lang w:eastAsia="zh-CN"/>
        </w:rPr>
        <w:t>质保期不得少于1年，质保期不得低于产品原有质保天数（其中三电系统质保8年或20万公里）；（若供应商提供的质保期超过招标文件要求的，执行其响应时间，若国家有明确规定且高于此质保期的，执行国家规定）。</w:t>
      </w:r>
    </w:p>
    <w:p w14:paraId="082D28B8">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lang w:eastAsia="zh-CN"/>
        </w:rPr>
        <w:t>（</w:t>
      </w:r>
      <w:r>
        <w:rPr>
          <w:rFonts w:hint="eastAsia" w:ascii="宋体" w:hAnsi="宋体" w:eastAsia="宋体" w:cs="宋体"/>
          <w:b w:val="0"/>
          <w:bCs/>
          <w:color w:val="auto"/>
          <w:szCs w:val="24"/>
          <w:highlight w:val="none"/>
          <w:lang w:val="en-US" w:eastAsia="zh-CN"/>
        </w:rPr>
        <w:t>二</w:t>
      </w:r>
      <w:r>
        <w:rPr>
          <w:rFonts w:hint="eastAsia" w:ascii="宋体" w:hAnsi="宋体" w:eastAsia="宋体" w:cs="宋体"/>
          <w:b w:val="0"/>
          <w:bCs/>
          <w:color w:val="auto"/>
          <w:szCs w:val="24"/>
          <w:highlight w:val="none"/>
          <w:lang w:eastAsia="zh-CN"/>
        </w:rPr>
        <w:t>）</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提供的产品及材料必须保证质量可靠，进货渠道正常，配置合理齐全，应全面满足招标文件的要求，招标文件未明确要求的内容，</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须按产品主流标准配置或以</w:t>
      </w:r>
      <w:r>
        <w:rPr>
          <w:rFonts w:hint="eastAsia" w:hAnsi="宋体" w:cs="宋体"/>
          <w:b w:val="0"/>
          <w:bCs/>
          <w:color w:val="auto"/>
          <w:szCs w:val="24"/>
          <w:highlight w:val="none"/>
          <w:lang w:eastAsia="zh-CN"/>
        </w:rPr>
        <w:t>甲方</w:t>
      </w:r>
      <w:r>
        <w:rPr>
          <w:rFonts w:hint="eastAsia" w:ascii="宋体" w:hAnsi="宋体" w:eastAsia="宋体" w:cs="宋体"/>
          <w:b w:val="0"/>
          <w:bCs/>
          <w:color w:val="auto"/>
          <w:szCs w:val="24"/>
          <w:highlight w:val="none"/>
        </w:rPr>
        <w:t>的补充要求为准。所供产品工艺质量应严格按国家最新发布的规范标准执行，如发生质量问题由</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承担全部责任。</w:t>
      </w:r>
      <w:r>
        <w:rPr>
          <w:rFonts w:hint="eastAsia" w:hAnsi="宋体" w:cs="宋体"/>
          <w:b w:val="0"/>
          <w:bCs/>
          <w:color w:val="auto"/>
          <w:szCs w:val="24"/>
          <w:highlight w:val="none"/>
          <w:lang w:eastAsia="zh-CN"/>
        </w:rPr>
        <w:t>甲方</w:t>
      </w:r>
      <w:r>
        <w:rPr>
          <w:rFonts w:hint="eastAsia" w:ascii="宋体" w:hAnsi="宋体" w:eastAsia="宋体" w:cs="宋体"/>
          <w:b w:val="0"/>
          <w:bCs/>
          <w:color w:val="auto"/>
          <w:szCs w:val="24"/>
          <w:highlight w:val="none"/>
        </w:rPr>
        <w:t>使用产品过程中因产品质量、产品缺陷及安装质量等造成人身伤亡、财产损失的，由</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负责解决并承担全部责任。</w:t>
      </w:r>
    </w:p>
    <w:p w14:paraId="33D676F8">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lang w:eastAsia="zh-CN"/>
        </w:rPr>
        <w:t>（</w:t>
      </w:r>
      <w:r>
        <w:rPr>
          <w:rFonts w:hint="eastAsia" w:ascii="宋体" w:hAnsi="宋体" w:eastAsia="宋体" w:cs="宋体"/>
          <w:b w:val="0"/>
          <w:bCs/>
          <w:color w:val="auto"/>
          <w:szCs w:val="24"/>
          <w:highlight w:val="none"/>
          <w:lang w:val="en-US" w:eastAsia="zh-CN"/>
        </w:rPr>
        <w:t>三</w:t>
      </w:r>
      <w:r>
        <w:rPr>
          <w:rFonts w:hint="eastAsia" w:ascii="宋体" w:hAnsi="宋体" w:eastAsia="宋体" w:cs="宋体"/>
          <w:b w:val="0"/>
          <w:bCs/>
          <w:color w:val="auto"/>
          <w:szCs w:val="24"/>
          <w:highlight w:val="none"/>
          <w:lang w:eastAsia="zh-CN"/>
        </w:rPr>
        <w:t>）</w:t>
      </w:r>
      <w:r>
        <w:rPr>
          <w:rFonts w:hint="eastAsia" w:ascii="宋体" w:hAnsi="宋体" w:eastAsia="宋体" w:cs="宋体"/>
          <w:b w:val="0"/>
          <w:bCs/>
          <w:color w:val="auto"/>
          <w:szCs w:val="24"/>
          <w:highlight w:val="none"/>
        </w:rPr>
        <w:t>免费维修或更换缺陷的货物或部件期限：设备出现故障时，</w:t>
      </w:r>
      <w:r>
        <w:rPr>
          <w:rFonts w:hint="eastAsia" w:hAnsi="宋体" w:cs="宋体"/>
          <w:b w:val="0"/>
          <w:bCs/>
          <w:color w:val="auto"/>
          <w:szCs w:val="24"/>
          <w:highlight w:val="none"/>
          <w:lang w:val="en-US" w:eastAsia="zh-CN"/>
        </w:rPr>
        <w:t>乙</w:t>
      </w:r>
      <w:r>
        <w:rPr>
          <w:rFonts w:hint="eastAsia" w:ascii="宋体" w:hAnsi="宋体" w:eastAsia="宋体" w:cs="宋体"/>
          <w:b w:val="0"/>
          <w:bCs/>
          <w:color w:val="auto"/>
          <w:szCs w:val="24"/>
          <w:highlight w:val="none"/>
        </w:rPr>
        <w:t>方必须在接到故障报告后在</w:t>
      </w:r>
      <w:r>
        <w:rPr>
          <w:rFonts w:hint="eastAsia" w:ascii="宋体" w:hAnsi="宋体" w:eastAsia="宋体" w:cs="宋体"/>
          <w:b w:val="0"/>
          <w:bCs/>
          <w:color w:val="auto"/>
          <w:szCs w:val="24"/>
          <w:highlight w:val="none"/>
          <w:lang w:val="zh-CN" w:eastAsia="zh-CN"/>
        </w:rPr>
        <w:t>2小时内远程响应，4小时内给出解决方案，若远程无法解决问题，24小时内</w:t>
      </w:r>
      <w:r>
        <w:rPr>
          <w:rFonts w:hint="eastAsia" w:ascii="宋体" w:hAnsi="宋体" w:eastAsia="宋体" w:cs="宋体"/>
          <w:b w:val="0"/>
          <w:bCs/>
          <w:color w:val="auto"/>
          <w:szCs w:val="24"/>
          <w:highlight w:val="none"/>
          <w:lang w:val="en-US" w:eastAsia="zh-CN"/>
        </w:rPr>
        <w:t>安排专人</w:t>
      </w:r>
      <w:r>
        <w:rPr>
          <w:rFonts w:hint="eastAsia" w:ascii="宋体" w:hAnsi="宋体" w:eastAsia="宋体" w:cs="宋体"/>
          <w:b w:val="0"/>
          <w:bCs/>
          <w:color w:val="auto"/>
          <w:szCs w:val="24"/>
          <w:highlight w:val="none"/>
          <w:lang w:val="zh-CN" w:eastAsia="zh-CN"/>
        </w:rPr>
        <w:t>到现场处理相关问题，费用由</w:t>
      </w:r>
      <w:r>
        <w:rPr>
          <w:rFonts w:hint="eastAsia" w:hAnsi="宋体" w:cs="宋体"/>
          <w:b w:val="0"/>
          <w:bCs/>
          <w:color w:val="auto"/>
          <w:szCs w:val="24"/>
          <w:highlight w:val="none"/>
          <w:lang w:val="en-US" w:eastAsia="zh-CN"/>
        </w:rPr>
        <w:t>乙</w:t>
      </w:r>
      <w:r>
        <w:rPr>
          <w:rFonts w:hint="eastAsia" w:ascii="宋体" w:hAnsi="宋体" w:eastAsia="宋体" w:cs="宋体"/>
          <w:b w:val="0"/>
          <w:bCs/>
          <w:color w:val="auto"/>
          <w:szCs w:val="24"/>
          <w:highlight w:val="none"/>
          <w:lang w:val="en-US" w:eastAsia="zh-CN"/>
        </w:rPr>
        <w:t>方</w:t>
      </w:r>
      <w:r>
        <w:rPr>
          <w:rFonts w:hint="eastAsia" w:ascii="宋体" w:hAnsi="宋体" w:eastAsia="宋体" w:cs="宋体"/>
          <w:b w:val="0"/>
          <w:bCs/>
          <w:color w:val="auto"/>
          <w:szCs w:val="24"/>
          <w:highlight w:val="none"/>
          <w:lang w:val="zh-CN" w:eastAsia="zh-CN"/>
        </w:rPr>
        <w:t>负责。</w:t>
      </w:r>
    </w:p>
    <w:p w14:paraId="0F98E5F1">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lang w:eastAsia="zh-CN"/>
        </w:rPr>
        <w:t>（</w:t>
      </w:r>
      <w:r>
        <w:rPr>
          <w:rFonts w:hint="eastAsia" w:ascii="宋体" w:hAnsi="宋体" w:eastAsia="宋体" w:cs="宋体"/>
          <w:b w:val="0"/>
          <w:bCs/>
          <w:color w:val="auto"/>
          <w:szCs w:val="24"/>
          <w:highlight w:val="none"/>
          <w:lang w:val="en-US" w:eastAsia="zh-CN"/>
        </w:rPr>
        <w:t>四</w:t>
      </w:r>
      <w:r>
        <w:rPr>
          <w:rFonts w:hint="eastAsia" w:ascii="宋体" w:hAnsi="宋体" w:eastAsia="宋体" w:cs="宋体"/>
          <w:b w:val="0"/>
          <w:bCs/>
          <w:color w:val="auto"/>
          <w:szCs w:val="24"/>
          <w:highlight w:val="none"/>
          <w:lang w:eastAsia="zh-CN"/>
        </w:rPr>
        <w:t>）</w:t>
      </w:r>
      <w:r>
        <w:rPr>
          <w:rFonts w:hint="eastAsia" w:ascii="宋体" w:hAnsi="宋体" w:eastAsia="宋体" w:cs="宋体"/>
          <w:b w:val="0"/>
          <w:bCs/>
          <w:color w:val="auto"/>
          <w:szCs w:val="24"/>
          <w:highlight w:val="none"/>
        </w:rPr>
        <w:t>服务方式：现场服务，产品按照国家三包规定执行，提供终身技术支持。在质保期内，如果发生故障，</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要调查故障原因，</w:t>
      </w:r>
      <w:r>
        <w:rPr>
          <w:rFonts w:hint="eastAsia" w:ascii="宋体" w:hAnsi="宋体" w:eastAsia="宋体" w:cs="宋体"/>
          <w:b w:val="0"/>
          <w:bCs/>
          <w:color w:val="auto"/>
          <w:szCs w:val="24"/>
          <w:highlight w:val="none"/>
          <w:lang w:val="en-US" w:eastAsia="zh-CN"/>
        </w:rPr>
        <w:t>由于</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提供的产品</w:t>
      </w:r>
      <w:r>
        <w:rPr>
          <w:rFonts w:hint="eastAsia" w:ascii="宋体" w:hAnsi="宋体" w:eastAsia="宋体" w:cs="宋体"/>
          <w:b w:val="0"/>
          <w:bCs/>
          <w:color w:val="auto"/>
          <w:szCs w:val="24"/>
          <w:highlight w:val="none"/>
          <w:lang w:val="en-US" w:eastAsia="zh-CN"/>
        </w:rPr>
        <w:t>质量</w:t>
      </w:r>
      <w:r>
        <w:rPr>
          <w:rFonts w:hint="eastAsia" w:ascii="宋体" w:hAnsi="宋体" w:eastAsia="宋体" w:cs="宋体"/>
          <w:b w:val="0"/>
          <w:bCs/>
          <w:color w:val="auto"/>
          <w:szCs w:val="24"/>
          <w:highlight w:val="none"/>
        </w:rPr>
        <w:t>出现的问题，</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须免费修复直至满足最终验收指标和性能。</w:t>
      </w:r>
    </w:p>
    <w:p w14:paraId="37306A13">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lang w:eastAsia="zh-CN"/>
        </w:rPr>
        <w:t>（</w:t>
      </w:r>
      <w:r>
        <w:rPr>
          <w:rFonts w:hint="eastAsia" w:ascii="宋体" w:hAnsi="宋体" w:eastAsia="宋体" w:cs="宋体"/>
          <w:b w:val="0"/>
          <w:bCs/>
          <w:color w:val="auto"/>
          <w:szCs w:val="24"/>
          <w:highlight w:val="none"/>
          <w:lang w:val="en-US" w:eastAsia="zh-CN"/>
        </w:rPr>
        <w:t>五</w:t>
      </w:r>
      <w:r>
        <w:rPr>
          <w:rFonts w:hint="eastAsia" w:ascii="宋体" w:hAnsi="宋体" w:eastAsia="宋体" w:cs="宋体"/>
          <w:b w:val="0"/>
          <w:bCs/>
          <w:color w:val="auto"/>
          <w:szCs w:val="24"/>
          <w:highlight w:val="none"/>
          <w:lang w:eastAsia="zh-CN"/>
        </w:rPr>
        <w:t>）</w:t>
      </w:r>
      <w:r>
        <w:rPr>
          <w:rFonts w:hint="eastAsia" w:ascii="宋体" w:hAnsi="宋体" w:eastAsia="宋体" w:cs="宋体"/>
          <w:b w:val="0"/>
          <w:bCs/>
          <w:color w:val="auto"/>
          <w:szCs w:val="24"/>
          <w:highlight w:val="none"/>
        </w:rPr>
        <w:t>在最终验收后的质量保证期内，</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应对设计、工艺或材料等的缺陷而产生的故障负责（负责解决并承担全部费用）。质保期满后如出现此类问题亦应负责。</w:t>
      </w:r>
    </w:p>
    <w:p w14:paraId="1CD93237">
      <w:pPr>
        <w:widowControl/>
        <w:tabs>
          <w:tab w:val="left" w:pos="480"/>
        </w:tabs>
        <w:spacing w:line="440" w:lineRule="exact"/>
        <w:ind w:firstLine="482" w:firstLineChars="200"/>
        <w:rPr>
          <w:rFonts w:hint="eastAsia" w:ascii="宋体" w:hAnsi="宋体" w:eastAsia="宋体" w:cs="宋体"/>
          <w:b/>
          <w:color w:val="auto"/>
          <w:szCs w:val="24"/>
          <w:highlight w:val="none"/>
        </w:rPr>
      </w:pPr>
      <w:r>
        <w:rPr>
          <w:rFonts w:hint="eastAsia" w:hAnsi="宋体" w:cs="宋体"/>
          <w:b/>
          <w:color w:val="auto"/>
          <w:szCs w:val="24"/>
          <w:highlight w:val="none"/>
          <w:lang w:val="en-US" w:eastAsia="zh-CN"/>
        </w:rPr>
        <w:t>八</w:t>
      </w:r>
      <w:r>
        <w:rPr>
          <w:rFonts w:hint="eastAsia" w:ascii="宋体" w:hAnsi="宋体" w:eastAsia="宋体" w:cs="宋体"/>
          <w:b/>
          <w:color w:val="auto"/>
          <w:szCs w:val="24"/>
          <w:highlight w:val="none"/>
        </w:rPr>
        <w:t>、</w:t>
      </w:r>
      <w:r>
        <w:rPr>
          <w:rFonts w:hint="eastAsia" w:hAnsi="宋体" w:cs="宋体"/>
          <w:b/>
          <w:color w:val="auto"/>
          <w:szCs w:val="24"/>
          <w:highlight w:val="none"/>
          <w:lang w:val="en-US" w:eastAsia="zh-CN"/>
        </w:rPr>
        <w:t>项目</w:t>
      </w:r>
      <w:r>
        <w:rPr>
          <w:rFonts w:hint="eastAsia" w:ascii="宋体" w:hAnsi="宋体" w:eastAsia="宋体" w:cs="宋体"/>
          <w:b/>
          <w:color w:val="auto"/>
          <w:szCs w:val="24"/>
          <w:highlight w:val="none"/>
        </w:rPr>
        <w:t>验收:</w:t>
      </w:r>
    </w:p>
    <w:p w14:paraId="241617F7">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由</w:t>
      </w:r>
      <w:r>
        <w:rPr>
          <w:rFonts w:hint="eastAsia" w:hAnsi="宋体" w:cs="宋体"/>
          <w:b w:val="0"/>
          <w:bCs/>
          <w:color w:val="auto"/>
          <w:szCs w:val="24"/>
          <w:highlight w:val="none"/>
          <w:lang w:eastAsia="zh-CN"/>
        </w:rPr>
        <w:t>甲方</w:t>
      </w:r>
      <w:r>
        <w:rPr>
          <w:rFonts w:hint="eastAsia" w:ascii="宋体" w:hAnsi="宋体" w:eastAsia="宋体" w:cs="宋体"/>
          <w:b w:val="0"/>
          <w:bCs/>
          <w:color w:val="auto"/>
          <w:szCs w:val="24"/>
          <w:highlight w:val="none"/>
        </w:rPr>
        <w:t>和</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共同对项目进行验收。其内容包括确认产品的产地、规格、型号和数量，对其产品技术指标、性能参数、样式、颜色，以及质量是否达到现行国家有关验收规范“合格”标准、是否按照</w:t>
      </w:r>
      <w:r>
        <w:rPr>
          <w:rFonts w:hint="eastAsia" w:hAnsi="宋体" w:cs="宋体"/>
          <w:b w:val="0"/>
          <w:bCs/>
          <w:color w:val="auto"/>
          <w:szCs w:val="24"/>
          <w:highlight w:val="none"/>
          <w:lang w:eastAsia="zh-CN"/>
        </w:rPr>
        <w:t>甲方</w:t>
      </w:r>
      <w:r>
        <w:rPr>
          <w:rFonts w:hint="eastAsia" w:ascii="宋体" w:hAnsi="宋体" w:eastAsia="宋体" w:cs="宋体"/>
          <w:b w:val="0"/>
          <w:bCs/>
          <w:color w:val="auto"/>
          <w:szCs w:val="24"/>
          <w:highlight w:val="none"/>
        </w:rPr>
        <w:t>要求安装到位、是否按照</w:t>
      </w:r>
      <w:r>
        <w:rPr>
          <w:rFonts w:hint="eastAsia" w:hAnsi="宋体" w:cs="宋体"/>
          <w:b w:val="0"/>
          <w:bCs/>
          <w:color w:val="auto"/>
          <w:szCs w:val="24"/>
          <w:highlight w:val="none"/>
          <w:lang w:eastAsia="zh-CN"/>
        </w:rPr>
        <w:t>甲方</w:t>
      </w:r>
      <w:r>
        <w:rPr>
          <w:rFonts w:hint="eastAsia" w:ascii="宋体" w:hAnsi="宋体" w:eastAsia="宋体" w:cs="宋体"/>
          <w:b w:val="0"/>
          <w:bCs/>
          <w:color w:val="auto"/>
          <w:szCs w:val="24"/>
          <w:highlight w:val="none"/>
        </w:rPr>
        <w:t>要求进行调试和提供相关培训、是否在规定时间内安装完毕、所有产品的配套包装是否完好无损等进行逐项检查。</w:t>
      </w:r>
    </w:p>
    <w:p w14:paraId="63FEEF53">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1.所验产品的指标、性能参数通过验收达不到招标文件要求和投标文件承诺的，或在使用中发现设计缺陷等，将视为产品验收不合格，</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应无条件免费更换或退货。</w:t>
      </w:r>
    </w:p>
    <w:p w14:paraId="7EB5453C">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2.若发现</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有弄虚作假的，在投标阶段故意或随意夸大产品技术性能，</w:t>
      </w:r>
      <w:r>
        <w:rPr>
          <w:rFonts w:hint="eastAsia" w:hAnsi="宋体" w:cs="宋体"/>
          <w:b w:val="0"/>
          <w:bCs/>
          <w:color w:val="auto"/>
          <w:szCs w:val="24"/>
          <w:highlight w:val="none"/>
          <w:lang w:eastAsia="zh-CN"/>
        </w:rPr>
        <w:t>乙方</w:t>
      </w:r>
      <w:r>
        <w:rPr>
          <w:rFonts w:hint="eastAsia" w:ascii="宋体" w:hAnsi="宋体" w:eastAsia="宋体" w:cs="宋体"/>
          <w:b w:val="0"/>
          <w:bCs/>
          <w:color w:val="auto"/>
          <w:szCs w:val="24"/>
          <w:highlight w:val="none"/>
        </w:rPr>
        <w:t>应无条件退货，并赔偿</w:t>
      </w:r>
      <w:r>
        <w:rPr>
          <w:rFonts w:hint="eastAsia" w:hAnsi="宋体" w:cs="宋体"/>
          <w:b w:val="0"/>
          <w:bCs/>
          <w:color w:val="auto"/>
          <w:szCs w:val="24"/>
          <w:highlight w:val="none"/>
          <w:lang w:eastAsia="zh-CN"/>
        </w:rPr>
        <w:t>甲方</w:t>
      </w:r>
      <w:r>
        <w:rPr>
          <w:rFonts w:hint="eastAsia" w:ascii="宋体" w:hAnsi="宋体" w:eastAsia="宋体" w:cs="宋体"/>
          <w:b w:val="0"/>
          <w:bCs/>
          <w:color w:val="auto"/>
          <w:szCs w:val="24"/>
          <w:highlight w:val="none"/>
        </w:rPr>
        <w:t>相应的损失。</w:t>
      </w:r>
    </w:p>
    <w:p w14:paraId="50D41134">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3.验收标准：按招标文件、投标文件及澄清函等技术指标进行验收。各项指标均应符合验收标准及要求。</w:t>
      </w:r>
    </w:p>
    <w:p w14:paraId="1B83D75B">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4.验收合格后，填写验收单，双方签字盖章后生效。</w:t>
      </w:r>
    </w:p>
    <w:p w14:paraId="7C5EA7F3">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5.验收依据：</w:t>
      </w:r>
    </w:p>
    <w:p w14:paraId="3E4BFF39">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1）合同文本；</w:t>
      </w:r>
    </w:p>
    <w:p w14:paraId="3F9DEFE8">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2）投标文件及澄清函、招标文件；</w:t>
      </w:r>
    </w:p>
    <w:p w14:paraId="362E7818">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3）国家和行业制定的相应的标准和规范；</w:t>
      </w:r>
    </w:p>
    <w:p w14:paraId="1339875F">
      <w:pPr>
        <w:widowControl/>
        <w:tabs>
          <w:tab w:val="left" w:pos="480"/>
        </w:tabs>
        <w:spacing w:line="440" w:lineRule="exact"/>
        <w:ind w:firstLine="480" w:firstLineChars="200"/>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4)产品验收清单（注明各部件的品名、数量、规格型号和原产地或生产厂家）。</w:t>
      </w:r>
    </w:p>
    <w:p w14:paraId="4EE09EA4">
      <w:pPr>
        <w:widowControl/>
        <w:spacing w:line="440" w:lineRule="exact"/>
        <w:ind w:firstLine="482" w:firstLineChars="200"/>
        <w:rPr>
          <w:rFonts w:hint="eastAsia" w:ascii="宋体" w:hAnsi="宋体" w:eastAsia="宋体" w:cs="宋体"/>
          <w:b/>
          <w:color w:val="auto"/>
          <w:szCs w:val="24"/>
          <w:highlight w:val="none"/>
        </w:rPr>
      </w:pPr>
      <w:r>
        <w:rPr>
          <w:rFonts w:hint="eastAsia" w:hAnsi="宋体" w:cs="宋体"/>
          <w:b/>
          <w:color w:val="auto"/>
          <w:szCs w:val="24"/>
          <w:highlight w:val="none"/>
          <w:lang w:val="en-US" w:eastAsia="zh-CN"/>
        </w:rPr>
        <w:t>九</w:t>
      </w:r>
      <w:r>
        <w:rPr>
          <w:rFonts w:hint="eastAsia" w:ascii="宋体" w:hAnsi="宋体" w:eastAsia="宋体" w:cs="宋体"/>
          <w:b/>
          <w:color w:val="auto"/>
          <w:szCs w:val="24"/>
          <w:highlight w:val="none"/>
        </w:rPr>
        <w:t>、售后服务</w:t>
      </w:r>
    </w:p>
    <w:p w14:paraId="5ADE8994">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乙方为所供货物提供以下售后服务：</w:t>
      </w:r>
    </w:p>
    <w:p w14:paraId="36086526">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（一）质保期内：</w:t>
      </w:r>
    </w:p>
    <w:p w14:paraId="31BC0B38">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1、设备出现故障时，</w:t>
      </w:r>
      <w:r>
        <w:rPr>
          <w:rFonts w:hint="eastAsia" w:hAnsi="宋体" w:cs="宋体"/>
          <w:color w:val="auto"/>
          <w:szCs w:val="24"/>
          <w:highlight w:val="none"/>
          <w:lang w:val="en-US" w:eastAsia="zh-CN"/>
        </w:rPr>
        <w:t>乙</w:t>
      </w:r>
      <w:r>
        <w:rPr>
          <w:rFonts w:hint="eastAsia" w:ascii="宋体" w:hAnsi="宋体" w:eastAsia="宋体" w:cs="宋体"/>
          <w:color w:val="auto"/>
          <w:szCs w:val="24"/>
          <w:highlight w:val="none"/>
        </w:rPr>
        <w:t>方必须在接到故障报告后在</w:t>
      </w:r>
      <w:r>
        <w:rPr>
          <w:rFonts w:hint="eastAsia" w:ascii="宋体" w:hAnsi="宋体" w:eastAsia="宋体" w:cs="宋体"/>
          <w:b w:val="0"/>
          <w:bCs/>
          <w:color w:val="auto"/>
          <w:szCs w:val="24"/>
          <w:highlight w:val="none"/>
        </w:rPr>
        <w:t>在</w:t>
      </w:r>
      <w:r>
        <w:rPr>
          <w:rFonts w:hint="eastAsia" w:ascii="宋体" w:hAnsi="宋体" w:eastAsia="宋体" w:cs="宋体"/>
          <w:b w:val="0"/>
          <w:bCs/>
          <w:color w:val="auto"/>
          <w:szCs w:val="24"/>
          <w:highlight w:val="none"/>
          <w:lang w:val="zh-CN" w:eastAsia="zh-CN"/>
        </w:rPr>
        <w:t>2小时内远程响应，4小时内给出解决方案，若远程无法解决问题，24小时内</w:t>
      </w:r>
      <w:r>
        <w:rPr>
          <w:rFonts w:hint="eastAsia" w:ascii="宋体" w:hAnsi="宋体" w:eastAsia="宋体" w:cs="宋体"/>
          <w:b w:val="0"/>
          <w:bCs/>
          <w:color w:val="auto"/>
          <w:szCs w:val="24"/>
          <w:highlight w:val="none"/>
          <w:lang w:val="en-US" w:eastAsia="zh-CN"/>
        </w:rPr>
        <w:t>安排专人</w:t>
      </w:r>
      <w:r>
        <w:rPr>
          <w:rFonts w:hint="eastAsia" w:ascii="宋体" w:hAnsi="宋体" w:eastAsia="宋体" w:cs="宋体"/>
          <w:b w:val="0"/>
          <w:bCs/>
          <w:color w:val="auto"/>
          <w:szCs w:val="24"/>
          <w:highlight w:val="none"/>
          <w:lang w:val="zh-CN" w:eastAsia="zh-CN"/>
        </w:rPr>
        <w:t>到现场处理相关问题，费用由</w:t>
      </w:r>
      <w:r>
        <w:rPr>
          <w:rFonts w:hint="eastAsia" w:hAnsi="宋体" w:cs="宋体"/>
          <w:b w:val="0"/>
          <w:bCs/>
          <w:color w:val="auto"/>
          <w:szCs w:val="24"/>
          <w:highlight w:val="none"/>
          <w:lang w:val="en-US" w:eastAsia="zh-CN"/>
        </w:rPr>
        <w:t>乙</w:t>
      </w:r>
      <w:r>
        <w:rPr>
          <w:rFonts w:hint="eastAsia" w:ascii="宋体" w:hAnsi="宋体" w:eastAsia="宋体" w:cs="宋体"/>
          <w:b w:val="0"/>
          <w:bCs/>
          <w:color w:val="auto"/>
          <w:szCs w:val="24"/>
          <w:highlight w:val="none"/>
          <w:lang w:val="en-US" w:eastAsia="zh-CN"/>
        </w:rPr>
        <w:t>方</w:t>
      </w:r>
      <w:r>
        <w:rPr>
          <w:rFonts w:hint="eastAsia" w:ascii="宋体" w:hAnsi="宋体" w:eastAsia="宋体" w:cs="宋体"/>
          <w:b w:val="0"/>
          <w:bCs/>
          <w:color w:val="auto"/>
          <w:szCs w:val="24"/>
          <w:highlight w:val="none"/>
          <w:lang w:val="zh-CN" w:eastAsia="zh-CN"/>
        </w:rPr>
        <w:t>负责。</w:t>
      </w:r>
      <w:r>
        <w:rPr>
          <w:rFonts w:hint="eastAsia" w:ascii="宋体" w:hAnsi="宋体" w:eastAsia="宋体" w:cs="宋体"/>
          <w:color w:val="auto"/>
          <w:szCs w:val="24"/>
          <w:highlight w:val="none"/>
        </w:rPr>
        <w:t>否则甲方有权指定第三方维修，维修费用由乙方承担。</w:t>
      </w:r>
    </w:p>
    <w:p w14:paraId="421022FB">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2、每年</w:t>
      </w:r>
      <w:r>
        <w:rPr>
          <w:rFonts w:hint="eastAsia" w:hAnsi="宋体" w:cs="宋体"/>
          <w:color w:val="auto"/>
          <w:szCs w:val="24"/>
          <w:highlight w:val="none"/>
          <w:lang w:val="en-US" w:eastAsia="zh-CN"/>
        </w:rPr>
        <w:t>至少</w:t>
      </w:r>
      <w:r>
        <w:rPr>
          <w:rFonts w:hint="eastAsia" w:ascii="宋体" w:hAnsi="宋体" w:eastAsia="宋体" w:cs="宋体"/>
          <w:color w:val="auto"/>
          <w:szCs w:val="24"/>
          <w:highlight w:val="none"/>
        </w:rPr>
        <w:t>四次派技术人员到现场走访，给予检查维护；</w:t>
      </w:r>
    </w:p>
    <w:p w14:paraId="3B71DA38">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（二）质保期结束前，乙方进行系统测试，全面保养维护，确保正常运行。</w:t>
      </w:r>
    </w:p>
    <w:p w14:paraId="3D6CD6AB">
      <w:pPr>
        <w:widowControl/>
        <w:spacing w:line="440" w:lineRule="exact"/>
        <w:ind w:firstLine="482" w:firstLineChars="200"/>
        <w:rPr>
          <w:rFonts w:hint="eastAsia" w:ascii="宋体" w:hAnsi="宋体" w:eastAsia="宋体" w:cs="宋体"/>
          <w:b/>
          <w:color w:val="auto"/>
          <w:szCs w:val="24"/>
          <w:highlight w:val="none"/>
        </w:rPr>
      </w:pPr>
      <w:r>
        <w:rPr>
          <w:rFonts w:hint="eastAsia" w:hAnsi="宋体" w:cs="宋体"/>
          <w:b/>
          <w:color w:val="auto"/>
          <w:szCs w:val="24"/>
          <w:highlight w:val="none"/>
          <w:lang w:val="en-US" w:eastAsia="zh-CN"/>
        </w:rPr>
        <w:t>十</w:t>
      </w:r>
      <w:r>
        <w:rPr>
          <w:rFonts w:hint="eastAsia" w:ascii="宋体" w:hAnsi="宋体" w:eastAsia="宋体" w:cs="宋体"/>
          <w:b/>
          <w:color w:val="auto"/>
          <w:szCs w:val="24"/>
          <w:highlight w:val="none"/>
        </w:rPr>
        <w:t>、合同实施：</w:t>
      </w:r>
    </w:p>
    <w:p w14:paraId="446D592F">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（一）中标单位应在合同签订后7个日历日内安排人员（项目组成人员简历表所列）与</w:t>
      </w:r>
      <w:r>
        <w:rPr>
          <w:rFonts w:hint="eastAsia" w:hAnsi="宋体" w:cs="宋体"/>
          <w:color w:val="auto"/>
          <w:szCs w:val="24"/>
          <w:highlight w:val="none"/>
          <w:lang w:eastAsia="zh-CN"/>
        </w:rPr>
        <w:t>甲方</w:t>
      </w:r>
      <w:r>
        <w:rPr>
          <w:rFonts w:hint="eastAsia" w:ascii="宋体" w:hAnsi="宋体" w:eastAsia="宋体" w:cs="宋体"/>
          <w:color w:val="auto"/>
          <w:szCs w:val="24"/>
          <w:highlight w:val="none"/>
        </w:rPr>
        <w:t>就送货、安装、调试、培训等工作进行安排、部署。</w:t>
      </w:r>
    </w:p>
    <w:p w14:paraId="3433AA3B">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（二）若未能在交货期内完成合同规定的义务，由此对采购方造成的延误和一切损失，由中标单位承担和赔偿。</w:t>
      </w:r>
    </w:p>
    <w:p w14:paraId="5E497035">
      <w:pPr>
        <w:widowControl/>
        <w:tabs>
          <w:tab w:val="left" w:pos="480"/>
        </w:tabs>
        <w:spacing w:line="440" w:lineRule="exact"/>
        <w:ind w:firstLine="482" w:firstLineChars="20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十</w:t>
      </w:r>
      <w:r>
        <w:rPr>
          <w:rFonts w:hint="eastAsia" w:hAnsi="宋体" w:cs="宋体"/>
          <w:b/>
          <w:color w:val="auto"/>
          <w:szCs w:val="24"/>
          <w:highlight w:val="none"/>
          <w:lang w:val="en-US" w:eastAsia="zh-CN"/>
        </w:rPr>
        <w:t>一</w:t>
      </w:r>
      <w:r>
        <w:rPr>
          <w:rFonts w:hint="eastAsia" w:ascii="宋体" w:hAnsi="宋体" w:eastAsia="宋体" w:cs="宋体"/>
          <w:b/>
          <w:color w:val="auto"/>
          <w:szCs w:val="24"/>
          <w:highlight w:val="none"/>
        </w:rPr>
        <w:t>、违约责任</w:t>
      </w:r>
    </w:p>
    <w:p w14:paraId="0015209A">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hAnsi="宋体" w:cs="宋体"/>
          <w:color w:val="auto"/>
          <w:szCs w:val="24"/>
          <w:highlight w:val="none"/>
          <w:lang w:eastAsia="zh-CN"/>
        </w:rPr>
        <w:t>（</w:t>
      </w:r>
      <w:r>
        <w:rPr>
          <w:rFonts w:hint="eastAsia" w:hAnsi="宋体" w:cs="宋体"/>
          <w:color w:val="auto"/>
          <w:szCs w:val="24"/>
          <w:highlight w:val="none"/>
          <w:lang w:val="en-US" w:eastAsia="zh-CN"/>
        </w:rPr>
        <w:t>一</w:t>
      </w:r>
      <w:r>
        <w:rPr>
          <w:rFonts w:hint="eastAsia" w:hAnsi="宋体" w:cs="宋体"/>
          <w:color w:val="auto"/>
          <w:szCs w:val="24"/>
          <w:highlight w:val="none"/>
          <w:lang w:eastAsia="zh-CN"/>
        </w:rPr>
        <w:t>）</w:t>
      </w:r>
      <w:r>
        <w:rPr>
          <w:rFonts w:hint="eastAsia" w:ascii="宋体" w:hAnsi="宋体" w:eastAsia="宋体" w:cs="宋体"/>
          <w:color w:val="auto"/>
          <w:szCs w:val="24"/>
          <w:highlight w:val="none"/>
        </w:rPr>
        <w:t>按《中华人民共和国民法典》中的相关条款执行；</w:t>
      </w:r>
    </w:p>
    <w:p w14:paraId="41CE91FA">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hAnsi="宋体" w:cs="宋体"/>
          <w:color w:val="auto"/>
          <w:szCs w:val="24"/>
          <w:highlight w:val="none"/>
          <w:lang w:eastAsia="zh-CN"/>
        </w:rPr>
        <w:t>（</w:t>
      </w:r>
      <w:r>
        <w:rPr>
          <w:rFonts w:hint="eastAsia" w:hAnsi="宋体" w:cs="宋体"/>
          <w:color w:val="auto"/>
          <w:szCs w:val="24"/>
          <w:highlight w:val="none"/>
          <w:lang w:val="en-US" w:eastAsia="zh-CN"/>
        </w:rPr>
        <w:t>二</w:t>
      </w:r>
      <w:r>
        <w:rPr>
          <w:rFonts w:hint="eastAsia" w:hAnsi="宋体" w:cs="宋体"/>
          <w:color w:val="auto"/>
          <w:szCs w:val="24"/>
          <w:highlight w:val="none"/>
          <w:lang w:eastAsia="zh-CN"/>
        </w:rPr>
        <w:t>）</w:t>
      </w:r>
      <w:r>
        <w:rPr>
          <w:rFonts w:hint="eastAsia" w:ascii="宋体" w:hAnsi="宋体" w:eastAsia="宋体" w:cs="宋体"/>
          <w:color w:val="auto"/>
          <w:szCs w:val="24"/>
          <w:highlight w:val="none"/>
        </w:rPr>
        <w:t>乙方未能按期履行合同或乙方未按合同要求提供货物或货物质量不能满足甲方要求，甲方有权单方面解除合同，乙方除应返还甲方已支付的款项外，还应承担本合同总金额20%的违约金，违约金不足以弥补损失的，乙方应予补足；</w:t>
      </w:r>
    </w:p>
    <w:p w14:paraId="37695B52">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hAnsi="宋体" w:cs="宋体"/>
          <w:color w:val="auto"/>
          <w:szCs w:val="24"/>
          <w:highlight w:val="none"/>
          <w:lang w:eastAsia="zh-CN"/>
        </w:rPr>
        <w:t>（</w:t>
      </w:r>
      <w:r>
        <w:rPr>
          <w:rFonts w:hint="eastAsia" w:hAnsi="宋体" w:cs="宋体"/>
          <w:color w:val="auto"/>
          <w:szCs w:val="24"/>
          <w:highlight w:val="none"/>
          <w:lang w:val="en-US" w:eastAsia="zh-CN"/>
        </w:rPr>
        <w:t>三</w:t>
      </w:r>
      <w:r>
        <w:rPr>
          <w:rFonts w:hint="eastAsia" w:hAnsi="宋体" w:cs="宋体"/>
          <w:color w:val="auto"/>
          <w:szCs w:val="24"/>
          <w:highlight w:val="none"/>
          <w:lang w:eastAsia="zh-CN"/>
        </w:rPr>
        <w:t>）</w:t>
      </w:r>
      <w:r>
        <w:rPr>
          <w:rFonts w:hint="eastAsia" w:ascii="宋体" w:hAnsi="宋体" w:eastAsia="宋体" w:cs="宋体"/>
          <w:color w:val="auto"/>
          <w:szCs w:val="24"/>
          <w:highlight w:val="none"/>
        </w:rPr>
        <w:t>交货期每逾期一天，乙方应向甲方支付合同总价款的5‰违约金。逾期超过15日的，甲方有权单方面解除本合同，乙方除退还甲方已支付全部费用外还应按照合同总价的20%向甲方支付违约金。违约金不足以弥补损失的，乙方应予以补足。</w:t>
      </w:r>
    </w:p>
    <w:p w14:paraId="366B4A23">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hAnsi="宋体" w:cs="宋体"/>
          <w:color w:val="auto"/>
          <w:szCs w:val="24"/>
          <w:highlight w:val="none"/>
          <w:lang w:eastAsia="zh-CN"/>
        </w:rPr>
        <w:t>（</w:t>
      </w:r>
      <w:r>
        <w:rPr>
          <w:rFonts w:hint="eastAsia" w:hAnsi="宋体" w:cs="宋体"/>
          <w:color w:val="auto"/>
          <w:szCs w:val="24"/>
          <w:highlight w:val="none"/>
          <w:lang w:val="en-US" w:eastAsia="zh-CN"/>
        </w:rPr>
        <w:t>四</w:t>
      </w:r>
      <w:r>
        <w:rPr>
          <w:rFonts w:hint="eastAsia" w:hAnsi="宋体" w:cs="宋体"/>
          <w:color w:val="auto"/>
          <w:szCs w:val="24"/>
          <w:highlight w:val="none"/>
          <w:lang w:eastAsia="zh-CN"/>
        </w:rPr>
        <w:t>）</w:t>
      </w:r>
      <w:r>
        <w:rPr>
          <w:rFonts w:hint="eastAsia" w:ascii="宋体" w:hAnsi="宋体" w:eastAsia="宋体" w:cs="宋体"/>
          <w:color w:val="auto"/>
          <w:szCs w:val="24"/>
          <w:highlight w:val="none"/>
        </w:rPr>
        <w:t>未按合同要求提供产品或设备质量不能满足技术要求，采购方有权终止合同，并对中标单位违约行为进行追究，同时按《政府采购法》的有关规定进行处罚。</w:t>
      </w:r>
    </w:p>
    <w:p w14:paraId="58BC4AEB">
      <w:pPr>
        <w:widowControl/>
        <w:tabs>
          <w:tab w:val="left" w:pos="480"/>
        </w:tabs>
        <w:spacing w:line="440" w:lineRule="exact"/>
        <w:ind w:firstLine="482" w:firstLineChars="20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十</w:t>
      </w:r>
      <w:r>
        <w:rPr>
          <w:rFonts w:hint="eastAsia" w:hAnsi="宋体" w:cs="宋体"/>
          <w:b/>
          <w:color w:val="auto"/>
          <w:szCs w:val="24"/>
          <w:highlight w:val="none"/>
          <w:lang w:val="en-US" w:eastAsia="zh-CN"/>
        </w:rPr>
        <w:t>二</w:t>
      </w:r>
      <w:r>
        <w:rPr>
          <w:rFonts w:hint="eastAsia" w:ascii="宋体" w:hAnsi="宋体" w:eastAsia="宋体" w:cs="宋体"/>
          <w:b/>
          <w:color w:val="auto"/>
          <w:szCs w:val="24"/>
          <w:highlight w:val="none"/>
        </w:rPr>
        <w:t>、合同争议解决的方式</w:t>
      </w:r>
    </w:p>
    <w:p w14:paraId="6A1794F1">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本合同在履行过程中发生的争议，由甲、乙双方当事人协商解决，协商不成的依法向甲方所在地人民法院起诉。</w:t>
      </w:r>
    </w:p>
    <w:p w14:paraId="57767D67">
      <w:pPr>
        <w:widowControl/>
        <w:tabs>
          <w:tab w:val="left" w:pos="480"/>
        </w:tabs>
        <w:spacing w:line="440" w:lineRule="exact"/>
        <w:ind w:firstLine="482" w:firstLineChars="20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十</w:t>
      </w:r>
      <w:r>
        <w:rPr>
          <w:rFonts w:hint="eastAsia" w:hAnsi="宋体" w:cs="宋体"/>
          <w:b/>
          <w:color w:val="auto"/>
          <w:szCs w:val="24"/>
          <w:highlight w:val="none"/>
          <w:lang w:val="en-US" w:eastAsia="zh-CN"/>
        </w:rPr>
        <w:t>三</w:t>
      </w:r>
      <w:r>
        <w:rPr>
          <w:rFonts w:hint="eastAsia" w:ascii="宋体" w:hAnsi="宋体" w:eastAsia="宋体" w:cs="宋体"/>
          <w:b/>
          <w:color w:val="auto"/>
          <w:szCs w:val="24"/>
          <w:highlight w:val="none"/>
        </w:rPr>
        <w:t>、合同生效</w:t>
      </w:r>
    </w:p>
    <w:p w14:paraId="60E0DA16">
      <w:pPr>
        <w:widowControl/>
        <w:tabs>
          <w:tab w:val="left" w:pos="480"/>
        </w:tabs>
        <w:spacing w:line="440" w:lineRule="exact"/>
        <w:ind w:firstLine="480" w:firstLineChars="200"/>
        <w:rPr>
          <w:rFonts w:hint="eastAsia" w:ascii="宋体" w:hAnsi="宋体" w:eastAsia="宋体" w:cs="宋体"/>
          <w:color w:val="auto"/>
          <w:szCs w:val="24"/>
          <w:highlight w:val="none"/>
        </w:rPr>
      </w:pPr>
      <w:bookmarkStart w:id="1" w:name="_Hlk527448041"/>
      <w:r>
        <w:rPr>
          <w:rFonts w:hint="eastAsia" w:ascii="宋体" w:hAnsi="宋体" w:eastAsia="宋体" w:cs="宋体"/>
          <w:color w:val="auto"/>
          <w:szCs w:val="24"/>
          <w:highlight w:val="none"/>
        </w:rPr>
        <w:t>本合同一式四份，甲、乙双方各两份，本合同自甲、乙双方签字盖章之日起生效，质保期结束后，自动终止（但合同的服务承诺除外）。</w:t>
      </w:r>
    </w:p>
    <w:bookmarkEnd w:id="1"/>
    <w:p w14:paraId="5B6C24DA">
      <w:pPr>
        <w:widowControl/>
        <w:tabs>
          <w:tab w:val="left" w:pos="480"/>
        </w:tabs>
        <w:spacing w:line="440" w:lineRule="exact"/>
        <w:ind w:firstLine="482" w:firstLineChars="20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十</w:t>
      </w:r>
      <w:r>
        <w:rPr>
          <w:rFonts w:hint="eastAsia" w:hAnsi="宋体" w:cs="宋体"/>
          <w:b/>
          <w:color w:val="auto"/>
          <w:szCs w:val="24"/>
          <w:highlight w:val="none"/>
          <w:lang w:val="en-US" w:eastAsia="zh-CN"/>
        </w:rPr>
        <w:t>四</w:t>
      </w:r>
      <w:r>
        <w:rPr>
          <w:rFonts w:hint="eastAsia" w:ascii="宋体" w:hAnsi="宋体" w:eastAsia="宋体" w:cs="宋体"/>
          <w:b/>
          <w:color w:val="auto"/>
          <w:szCs w:val="24"/>
          <w:highlight w:val="none"/>
        </w:rPr>
        <w:t>、其他事项</w:t>
      </w:r>
    </w:p>
    <w:p w14:paraId="2DBEB225">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（一）</w:t>
      </w:r>
      <w:r>
        <w:rPr>
          <w:rFonts w:hint="eastAsia" w:hAnsi="宋体" w:cs="宋体"/>
          <w:color w:val="auto"/>
          <w:szCs w:val="24"/>
          <w:highlight w:val="none"/>
          <w:lang w:val="en-US" w:eastAsia="zh-CN"/>
        </w:rPr>
        <w:t>渭南高新区</w:t>
      </w:r>
      <w:r>
        <w:rPr>
          <w:rFonts w:hint="eastAsia" w:ascii="宋体" w:hAnsi="宋体" w:eastAsia="宋体" w:cs="宋体"/>
          <w:color w:val="auto"/>
          <w:szCs w:val="24"/>
          <w:highlight w:val="none"/>
        </w:rPr>
        <w:t>财政局在合同的履行期间以及履行期后，可以随时检查项目的执行情况，对采购内容、标准进行调查核实，并对发现的问题进行处理。</w:t>
      </w:r>
    </w:p>
    <w:p w14:paraId="2F589365">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r>
        <w:rPr>
          <w:rFonts w:hint="eastAsia" w:hAnsi="宋体" w:cs="宋体"/>
          <w:color w:val="auto"/>
          <w:szCs w:val="24"/>
          <w:highlight w:val="none"/>
          <w:lang w:val="en-US" w:eastAsia="zh-CN"/>
        </w:rPr>
        <w:t>二</w:t>
      </w:r>
      <w:r>
        <w:rPr>
          <w:rFonts w:hint="eastAsia" w:ascii="宋体" w:hAnsi="宋体" w:eastAsia="宋体" w:cs="宋体"/>
          <w:color w:val="auto"/>
          <w:szCs w:val="24"/>
          <w:highlight w:val="none"/>
        </w:rPr>
        <w:t>）招标文件、投标文件、澄清表（函）、中标通知书、合同附件均成为合同不可分割的部分。</w:t>
      </w:r>
    </w:p>
    <w:p w14:paraId="7AAEB3FE">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r>
        <w:rPr>
          <w:rFonts w:hint="eastAsia" w:hAnsi="宋体" w:cs="宋体"/>
          <w:color w:val="auto"/>
          <w:szCs w:val="24"/>
          <w:highlight w:val="none"/>
          <w:lang w:val="en-US" w:eastAsia="zh-CN"/>
        </w:rPr>
        <w:t>三</w:t>
      </w:r>
      <w:r>
        <w:rPr>
          <w:rFonts w:hint="eastAsia" w:ascii="宋体" w:hAnsi="宋体" w:eastAsia="宋体" w:cs="宋体"/>
          <w:color w:val="auto"/>
          <w:szCs w:val="24"/>
          <w:highlight w:val="none"/>
        </w:rPr>
        <w:t>）合同未尽事宜，由甲、乙双方协商，经见证方确认后，签订补充协议，与本合同具有同等法律效力。补充协议与本合同不一致的，以补充协议为准。</w:t>
      </w:r>
    </w:p>
    <w:p w14:paraId="0228C0ED">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r>
        <w:rPr>
          <w:rFonts w:hint="eastAsia" w:hAnsi="宋体" w:cs="宋体"/>
          <w:color w:val="auto"/>
          <w:szCs w:val="24"/>
          <w:highlight w:val="none"/>
          <w:lang w:val="en-US" w:eastAsia="zh-CN"/>
        </w:rPr>
        <w:t>四</w:t>
      </w:r>
      <w:r>
        <w:rPr>
          <w:rFonts w:hint="eastAsia" w:ascii="宋体" w:hAnsi="宋体" w:eastAsia="宋体" w:cs="宋体"/>
          <w:color w:val="auto"/>
          <w:szCs w:val="24"/>
          <w:highlight w:val="none"/>
        </w:rPr>
        <w:t>）合同一经签订，不得擅自变更、中止或终止合同。对确需变更、调整或中止、终止合同的，有法律规定的按照法律规定，除合同约定外，由甲、乙双方再行协商，协商一致前，原合同或条款继续履行。</w:t>
      </w:r>
    </w:p>
    <w:p w14:paraId="7F28E771">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r>
        <w:rPr>
          <w:rFonts w:hint="eastAsia" w:hAnsi="宋体" w:cs="宋体"/>
          <w:color w:val="auto"/>
          <w:szCs w:val="24"/>
          <w:highlight w:val="none"/>
          <w:lang w:val="en-US" w:eastAsia="zh-CN"/>
        </w:rPr>
        <w:t>五</w:t>
      </w:r>
      <w:r>
        <w:rPr>
          <w:rFonts w:hint="eastAsia" w:ascii="宋体" w:hAnsi="宋体" w:eastAsia="宋体" w:cs="宋体"/>
          <w:color w:val="auto"/>
          <w:szCs w:val="24"/>
          <w:highlight w:val="none"/>
        </w:rPr>
        <w:t>）本合同按照中华人民共和国的现行法律进行解释。</w:t>
      </w:r>
    </w:p>
    <w:p w14:paraId="67C4D1F4">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r>
        <w:rPr>
          <w:rFonts w:hint="eastAsia" w:hAnsi="宋体" w:cs="宋体"/>
          <w:color w:val="auto"/>
          <w:szCs w:val="24"/>
          <w:highlight w:val="none"/>
          <w:lang w:val="en-US" w:eastAsia="zh-CN"/>
        </w:rPr>
        <w:t>六</w:t>
      </w:r>
      <w:r>
        <w:rPr>
          <w:rFonts w:hint="eastAsia" w:ascii="宋体" w:hAnsi="宋体" w:eastAsia="宋体" w:cs="宋体"/>
          <w:color w:val="auto"/>
          <w:szCs w:val="24"/>
          <w:highlight w:val="none"/>
        </w:rPr>
        <w:t>）本合同附件作为本合同的组成部分，与本合同具有同等法律效力。</w:t>
      </w:r>
    </w:p>
    <w:p w14:paraId="11DE0A7F">
      <w:pPr>
        <w:rPr>
          <w:rFonts w:hint="eastAsia" w:ascii="宋体" w:hAnsi="宋体" w:eastAsia="宋体" w:cs="宋体"/>
          <w:color w:val="auto"/>
          <w:szCs w:val="24"/>
          <w:highlight w:val="none"/>
        </w:rPr>
      </w:pPr>
    </w:p>
    <w:p w14:paraId="2720C115">
      <w:pPr>
        <w:widowControl/>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（以下无正文）</w:t>
      </w:r>
    </w:p>
    <w:p w14:paraId="5246641B">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甲  方（法人公章）                  乙  方（法人公章）</w:t>
      </w:r>
    </w:p>
    <w:p w14:paraId="701136FE">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单位名称：                         单位名称:</w:t>
      </w:r>
    </w:p>
    <w:p w14:paraId="5AD7E21B">
      <w:pPr>
        <w:widowControl/>
        <w:tabs>
          <w:tab w:val="left" w:pos="480"/>
        </w:tabs>
        <w:spacing w:line="440" w:lineRule="exact"/>
        <w:ind w:firstLine="1680" w:firstLineChars="700"/>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w:t>
      </w:r>
    </w:p>
    <w:p w14:paraId="6F8ECB57">
      <w:pPr>
        <w:widowControl/>
        <w:tabs>
          <w:tab w:val="left" w:pos="480"/>
        </w:tabs>
        <w:spacing w:line="440" w:lineRule="exact"/>
        <w:ind w:left="4800" w:leftChars="200" w:hanging="4320" w:hangingChars="1800"/>
        <w:rPr>
          <w:rFonts w:hint="eastAsia" w:ascii="宋体" w:hAnsi="宋体" w:eastAsia="宋体" w:cs="宋体"/>
          <w:color w:val="auto"/>
          <w:szCs w:val="24"/>
          <w:highlight w:val="none"/>
        </w:rPr>
      </w:pPr>
      <w:r>
        <w:rPr>
          <w:rFonts w:hint="eastAsia" w:ascii="宋体" w:hAnsi="宋体" w:eastAsia="宋体" w:cs="宋体"/>
          <w:color w:val="auto"/>
          <w:szCs w:val="24"/>
          <w:highlight w:val="none"/>
        </w:rPr>
        <w:t>地 址：                             地  址：</w:t>
      </w:r>
    </w:p>
    <w:p w14:paraId="3228FC7B">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法定代表人：（签章）                法定代表人：（签章） </w:t>
      </w:r>
    </w:p>
    <w:p w14:paraId="4DD49DE9">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开户银行:</w:t>
      </w:r>
    </w:p>
    <w:p w14:paraId="6533B9C5">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账   号：</w:t>
      </w:r>
    </w:p>
    <w:p w14:paraId="0189B775">
      <w:pPr>
        <w:widowControl/>
        <w:tabs>
          <w:tab w:val="left" w:pos="480"/>
        </w:tabs>
        <w:spacing w:line="440" w:lineRule="exact"/>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签订日期：年  月  日                签订日期：年  月  日</w:t>
      </w:r>
    </w:p>
    <w:p w14:paraId="01AE3B2C">
      <w:pPr>
        <w:widowControl/>
        <w:tabs>
          <w:tab w:val="left" w:pos="480"/>
        </w:tabs>
        <w:spacing w:line="440" w:lineRule="exact"/>
        <w:ind w:firstLine="480" w:firstLineChars="200"/>
        <w:rPr>
          <w:rFonts w:hint="eastAsia" w:ascii="宋体" w:hAnsi="宋体" w:eastAsia="宋体" w:cs="宋体"/>
          <w:color w:val="auto"/>
          <w:szCs w:val="24"/>
          <w:highlight w:val="none"/>
        </w:rPr>
      </w:pPr>
    </w:p>
    <w:p w14:paraId="726259C8">
      <w:pPr>
        <w:tabs>
          <w:tab w:val="left" w:pos="480"/>
        </w:tabs>
        <w:spacing w:line="360" w:lineRule="auto"/>
        <w:rPr>
          <w:rFonts w:hint="eastAsia" w:ascii="宋体" w:hAnsi="宋体" w:eastAsia="宋体" w:cs="宋体"/>
          <w:color w:val="auto"/>
          <w:szCs w:val="24"/>
          <w:highlight w:val="none"/>
        </w:rPr>
      </w:pPr>
    </w:p>
    <w:p w14:paraId="573154B1">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附件一：配置清单</w:t>
      </w:r>
    </w:p>
    <w:p w14:paraId="65687D0D">
      <w:pPr>
        <w:tabs>
          <w:tab w:val="left" w:pos="480"/>
        </w:tabs>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附件二：设备参数</w:t>
      </w:r>
    </w:p>
    <w:p w14:paraId="6DE8C5CA">
      <w:pPr>
        <w:spacing w:line="360" w:lineRule="auto"/>
        <w:ind w:left="926" w:leftChars="236" w:hanging="360" w:hangingChars="100"/>
        <w:jc w:val="center"/>
        <w:outlineLvl w:val="0"/>
        <w:rPr>
          <w:rFonts w:hint="eastAsia" w:ascii="宋体" w:hAnsi="宋体" w:eastAsia="宋体" w:cs="宋体"/>
          <w:bCs/>
          <w:color w:val="auto"/>
          <w:sz w:val="36"/>
          <w:szCs w:val="36"/>
          <w:highlight w:val="none"/>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4B0700"/>
    <w:multiLevelType w:val="singleLevel"/>
    <w:tmpl w:val="FB4B070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16AE2"/>
    <w:rsid w:val="008D3AB8"/>
    <w:rsid w:val="060B4517"/>
    <w:rsid w:val="153A4831"/>
    <w:rsid w:val="1D364789"/>
    <w:rsid w:val="29C47474"/>
    <w:rsid w:val="2A5F6871"/>
    <w:rsid w:val="36470B9C"/>
    <w:rsid w:val="3BBB7372"/>
    <w:rsid w:val="5AE002D5"/>
    <w:rsid w:val="5CE16AE2"/>
    <w:rsid w:val="5FD00F73"/>
    <w:rsid w:val="6B306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1"/>
    <w:pPr>
      <w:keepNext/>
      <w:keepLines/>
      <w:spacing w:before="340" w:after="330" w:line="560" w:lineRule="exact"/>
      <w:jc w:val="center"/>
      <w:outlineLvl w:val="0"/>
    </w:pPr>
    <w:rPr>
      <w:b/>
      <w:bCs/>
      <w:kern w:val="44"/>
      <w:sz w:val="36"/>
      <w:szCs w:val="44"/>
    </w:rPr>
  </w:style>
  <w:style w:type="paragraph" w:styleId="4">
    <w:name w:val="heading 3"/>
    <w:basedOn w:val="1"/>
    <w:next w:val="1"/>
    <w:qFormat/>
    <w:uiPriority w:val="0"/>
    <w:pPr>
      <w:keepNext/>
      <w:spacing w:beforeLines="200" w:line="400" w:lineRule="exact"/>
      <w:jc w:val="center"/>
      <w:outlineLvl w:val="2"/>
    </w:pPr>
    <w:rPr>
      <w:rFonts w:ascii="Times New Roman"/>
      <w:b/>
      <w:bCs/>
      <w:kern w:val="2"/>
      <w:szCs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szCs w:val="24"/>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3329</Words>
  <Characters>3378</Characters>
  <Lines>0</Lines>
  <Paragraphs>0</Paragraphs>
  <TotalTime>3</TotalTime>
  <ScaleCrop>false</ScaleCrop>
  <LinksUpToDate>false</LinksUpToDate>
  <CharactersWithSpaces>3560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2025-11-20T08:18:00Z</dcterms:created>
  <dc:creator>A</dc:creator>
  <cp:lastModifiedBy>工作中</cp:lastModifiedBy>
  <cp:lastPrinted>2025-12-20T01:22:00Z</cp:lastPrinted>
  <dcterms:modified xsi:type="dcterms:W3CDTF">2026-04-07T03:42:02Z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FCA3953504154C429D99CBB4BE73DB9A_13</vt:lpwstr>
  </property>
  <property fmtid="{D5CDD505-2E9C-101B-9397-08002B2CF9AE}" pid="4" name="KSOTemplateDocerSaveRecord">
    <vt:lpwstr>eyJoZGlkIjoiMDhlYjQwNDllYWE2NTc5N2JhZGI4ZTEzODc4OGVhOWMiLCJ1c2VySWQiOiIyNjg5OTA5NTAifQ==</vt:lpwstr>
  </property>
</Properties>
</file>