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版本号：SXLZ-2026-12620260704001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陕西水利建设项目现状图规划图和项目库编制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SXLZ-2026-126</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陕西水利建设项目现状图规划图和项目库编制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陕西水利建设项目现状图规划图和项目库编制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梳理形成现状图，科学编制规划图，建立动态项目库，开发建立陕西水利建设两图一库管理平台。通过现状图、规划图、项目库、计划库等相关业务流程所需数据库设计（库、表、视图），并匹配地理信息关系，完成陕西水利建设“两图一库”管理平台开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1、信用查询截图：供应商未被列入信用中国网站(www.creditchina.gov.cn)“重大税收违法失信主体”；未被列入中国执行信息公开网(https://zxgk.court.gov.cn)“失信被执行人”；不处于中国政府采购网(www.ccgp.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2、法定代表人证明书或授权委托书：提供法定代表人授权书（附法定代表人、被授权人身份证复印件），法定代表人直接参加磋商，须提供法定代表人身份证明及身份证复印件）。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15309270789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与采购单位协商，根据成交⾦额，参照国家计委颁发的《招标代理服务收费管理暂⾏办法》(计价格〔2002〕1980号)、国家发展和改⾰委员会办公厅颁发的《关于招标代理服务费收费有关问题的通知》及《调整后的招标代理服务收费标准》(发改价格〔2011〕〕534号)规定的95%计取。2.采购代理服务费由成交供应商⽀付，成交供应商领取成交通知书时，须⼀次性向采购代理机构交纳采购代理服务费。3.采购代理服务费账户：公司名称：陕西⻰泽项⽬咨询管理有限公司；账 号: 61050111583800000087；开户⾏：中国建设银⾏股份有限公司西安雁塔南路南段⽀⾏。</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2.供应商将在采购项⽬实施过程中采⽤⾃有或者第三⽅知识成果的，使⽤该知识成果后，供应商需提供开发接⼝和开发⼿册等技术资料，并承诺提供⽆限期⽀持，采购⼈享有使⽤权（含采购⼈委托第三⽅在该项⽬后续开发的使⽤权）。3.如采⽤供应商所不拥有的知识产权，则在报价中必须包括合法使⽤该知识产权的相关费⽤。4.构成本采购⽂件的各组成部分，未经采购⼈书⾯同意，供应商不得擅⾃复印或⽤于⾮本采购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联系人：郭佳星</w:t>
      </w:r>
    </w:p>
    <w:p>
      <w:pPr>
        <w:pStyle w:val="null3"/>
      </w:pPr>
      <w:r>
        <w:rPr>
          <w:rFonts w:ascii="仿宋_GB2312" w:hAnsi="仿宋_GB2312" w:cs="仿宋_GB2312" w:eastAsia="仿宋_GB2312"/>
        </w:rPr>
        <w:t>联系电话：15309270789</w:t>
      </w:r>
    </w:p>
    <w:p>
      <w:pPr>
        <w:pStyle w:val="null3"/>
      </w:pPr>
      <w:r>
        <w:rPr>
          <w:rFonts w:ascii="仿宋_GB2312" w:hAnsi="仿宋_GB2312" w:cs="仿宋_GB2312" w:eastAsia="仿宋_GB2312"/>
        </w:rPr>
        <w:t>地址：陕西省西安市国家⺠⽤航天产业基地神⾈五路与东⻓安街交汇处东南⻆航天城中⼼⼴场1号楼708</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梳理形成现状图，科学编制规划图，建立动态项目库，开发建立陕西水利建设两图一库管理平台。通过现状图、规划图、项目库、计划库等相关业务流程所需数据库设计（库、表、视图），并匹配地理信息关系，完成陕西水利建设“两图一库”管理平台开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陕西水利建设项目现状图规划图和项目库编制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标的名称：陕西水利建设项目现状图规划图和项目库编制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60A26"/>
                <w:shd w:fill="FFFFFF" w:val="clear"/>
              </w:rPr>
              <w:t xml:space="preserve">          一、总体建设目标</w:t>
            </w:r>
          </w:p>
          <w:p>
            <w:pPr>
              <w:pStyle w:val="null3"/>
              <w:ind w:firstLine="440"/>
              <w:jc w:val="left"/>
            </w:pPr>
            <w:r>
              <w:rPr>
                <w:rFonts w:ascii="仿宋_GB2312" w:hAnsi="仿宋_GB2312" w:cs="仿宋_GB2312" w:eastAsia="仿宋_GB2312"/>
                <w:sz w:val="21"/>
                <w:color w:val="060A26"/>
                <w:shd w:fill="FFFFFF" w:val="clear"/>
              </w:rPr>
              <w:t>本项目旨在梳理形成陕西水利建设项目现状图，科学编制规划图，建立动态项目库，并开发建立陕西水利建设</w:t>
            </w:r>
            <w:r>
              <w:rPr>
                <w:rFonts w:ascii="仿宋_GB2312" w:hAnsi="仿宋_GB2312" w:cs="仿宋_GB2312" w:eastAsia="仿宋_GB2312"/>
                <w:sz w:val="21"/>
                <w:color w:val="060A26"/>
                <w:shd w:fill="FFFFFF" w:val="clear"/>
              </w:rPr>
              <w:t>“两图一库”管理平台。通过信息化手段，实现水利项目谋划、储备、安排、管理的科学化与可视化，为全省水利基础设施体系完善提供坚实的数据支撑和决策依据。</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0"/>
              <w:jc w:val="left"/>
            </w:pPr>
            <w:r>
              <w:rPr>
                <w:rFonts w:ascii="仿宋_GB2312" w:hAnsi="仿宋_GB2312" w:cs="仿宋_GB2312" w:eastAsia="仿宋_GB2312"/>
                <w:sz w:val="21"/>
                <w:color w:val="060A26"/>
                <w:shd w:fill="FFFFFF" w:val="clear"/>
              </w:rPr>
              <w:t>二、具体业务内容要求</w:t>
            </w:r>
          </w:p>
          <w:p>
            <w:pPr>
              <w:pStyle w:val="null3"/>
              <w:ind w:firstLine="420"/>
              <w:jc w:val="left"/>
            </w:pPr>
            <w:r>
              <w:rPr>
                <w:rFonts w:ascii="仿宋_GB2312" w:hAnsi="仿宋_GB2312" w:cs="仿宋_GB2312" w:eastAsia="仿宋_GB2312"/>
                <w:sz w:val="21"/>
                <w:color w:val="060A26"/>
                <w:shd w:fill="FFFFFF" w:val="clear"/>
              </w:rPr>
              <w:t>1、梳理形成现状图：在国土空间“一张图”基础上，基于水利普查成果和工程矢量数据，系统梳理全省水利各要素布局、管理权责、资源分布等信息，精准标注现有水利设施情况和资源禀赋，形成“家底清”的可视化现状图。</w:t>
            </w:r>
          </w:p>
          <w:p>
            <w:pPr>
              <w:pStyle w:val="null3"/>
              <w:ind w:firstLine="420"/>
              <w:jc w:val="left"/>
            </w:pPr>
            <w:r>
              <w:rPr>
                <w:rFonts w:ascii="仿宋_GB2312" w:hAnsi="仿宋_GB2312" w:cs="仿宋_GB2312" w:eastAsia="仿宋_GB2312"/>
                <w:sz w:val="21"/>
                <w:color w:val="060A26"/>
                <w:shd w:fill="FFFFFF" w:val="clear"/>
              </w:rPr>
              <w:t>2、科学编制规划图：以现状图为基础，依据全省水安全保障规划、水网规划、流域综合规划和相关专项规划确定的目标任务，结合全省水利中长期高质量发展目标，科学谋划项目空间布局。将规划各类要素矢量数据、关键指标标识、预期效果展望上图，形成支撑水利现代化目标的蓝图。</w:t>
            </w:r>
          </w:p>
          <w:p>
            <w:pPr>
              <w:pStyle w:val="null3"/>
              <w:ind w:firstLine="420"/>
              <w:jc w:val="left"/>
            </w:pPr>
            <w:r>
              <w:rPr>
                <w:rFonts w:ascii="仿宋_GB2312" w:hAnsi="仿宋_GB2312" w:cs="仿宋_GB2312" w:eastAsia="仿宋_GB2312"/>
                <w:sz w:val="21"/>
                <w:color w:val="060A26"/>
                <w:shd w:fill="FFFFFF" w:val="clear"/>
              </w:rPr>
              <w:t>3、建立动态项目库：坚持“讲政治、守底线、补短板、创亮点”的原则，建立层级化、分类化、公开化管理的动态项目库储备体系。明确项目入库流程，依据前期工作进展和要素保障情况，实施容缺入库制度，促使各市县明确治理重点和任务，形成规模科学、功能清晰、分布合理、动态更新的项目库。</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0"/>
              <w:jc w:val="left"/>
            </w:pPr>
            <w:r>
              <w:rPr>
                <w:rFonts w:ascii="仿宋_GB2312" w:hAnsi="仿宋_GB2312" w:cs="仿宋_GB2312" w:eastAsia="仿宋_GB2312"/>
                <w:sz w:val="21"/>
                <w:color w:val="060A26"/>
                <w:shd w:fill="FFFFFF" w:val="clear"/>
              </w:rPr>
              <w:t>三、平台开发与数据库设计要求</w:t>
            </w:r>
          </w:p>
          <w:p>
            <w:pPr>
              <w:pStyle w:val="null3"/>
              <w:ind w:firstLine="420"/>
              <w:jc w:val="left"/>
            </w:pPr>
            <w:r>
              <w:rPr>
                <w:rFonts w:ascii="仿宋_GB2312" w:hAnsi="仿宋_GB2312" w:cs="仿宋_GB2312" w:eastAsia="仿宋_GB2312"/>
                <w:sz w:val="21"/>
                <w:color w:val="060A26"/>
                <w:shd w:fill="FFFFFF" w:val="clear"/>
              </w:rPr>
              <w:t>1、数据库架构设计：供应商需针对现状图、规划图、项目库、计划库等相关业务流程，完成底层数据库的全面设计，包括但不限于数据库、数据表、视图等，确保数据存储的安全、高效与可扩展。</w:t>
            </w:r>
          </w:p>
          <w:p>
            <w:pPr>
              <w:pStyle w:val="null3"/>
              <w:ind w:firstLine="420"/>
              <w:jc w:val="left"/>
            </w:pPr>
            <w:r>
              <w:rPr>
                <w:rFonts w:ascii="仿宋_GB2312" w:hAnsi="仿宋_GB2312" w:cs="仿宋_GB2312" w:eastAsia="仿宋_GB2312"/>
                <w:sz w:val="21"/>
                <w:color w:val="060A26"/>
                <w:shd w:fill="FFFFFF" w:val="clear"/>
              </w:rPr>
              <w:t>2、地理信息匹配：系统需具备强大的空间数据处理能力，将业务数据与地理信息（GIS）进行精准匹配与挂接，实现水利要素的空间可视化分析。</w:t>
            </w:r>
          </w:p>
          <w:p>
            <w:pPr>
              <w:pStyle w:val="null3"/>
              <w:ind w:firstLine="420"/>
              <w:jc w:val="left"/>
            </w:pPr>
            <w:r>
              <w:rPr>
                <w:rFonts w:ascii="仿宋_GB2312" w:hAnsi="仿宋_GB2312" w:cs="仿宋_GB2312" w:eastAsia="仿宋_GB2312"/>
                <w:sz w:val="21"/>
                <w:color w:val="060A26"/>
                <w:shd w:fill="FFFFFF" w:val="clear"/>
              </w:rPr>
              <w:t>3、管理平台开发：完成陕西水利建设“两图一库”管理平台的整体开发工作，平台需支持多源数据整合、项目全生命周期管理、动态更新及多维度的统计查询等功能。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0"/>
              <w:jc w:val="left"/>
            </w:pPr>
            <w:r>
              <w:rPr>
                <w:rFonts w:ascii="仿宋_GB2312" w:hAnsi="仿宋_GB2312" w:cs="仿宋_GB2312" w:eastAsia="仿宋_GB2312"/>
                <w:sz w:val="21"/>
                <w:color w:val="060A26"/>
                <w:shd w:fill="FFFFFF" w:val="clear"/>
              </w:rPr>
              <w:t>四、质量与验收要求</w:t>
            </w:r>
          </w:p>
          <w:p>
            <w:pPr>
              <w:pStyle w:val="null3"/>
              <w:ind w:firstLine="420"/>
              <w:jc w:val="left"/>
            </w:pPr>
            <w:r>
              <w:rPr>
                <w:rFonts w:ascii="仿宋_GB2312" w:hAnsi="仿宋_GB2312" w:cs="仿宋_GB2312" w:eastAsia="仿宋_GB2312"/>
                <w:sz w:val="21"/>
                <w:color w:val="060A26"/>
                <w:shd w:fill="FFFFFF" w:val="clear"/>
              </w:rPr>
              <w:t>1、合规性要求：所有交付成果（包括图件、数据库、管理平台等）必须满足国家及水利行业相关技术规范、标准以及采购人的具体要求。</w:t>
            </w:r>
          </w:p>
          <w:p>
            <w:pPr>
              <w:pStyle w:val="null3"/>
              <w:ind w:firstLine="420"/>
              <w:jc w:val="left"/>
            </w:pPr>
            <w:r>
              <w:rPr>
                <w:rFonts w:ascii="仿宋_GB2312" w:hAnsi="仿宋_GB2312" w:cs="仿宋_GB2312" w:eastAsia="仿宋_GB2312"/>
                <w:sz w:val="21"/>
                <w:color w:val="060A26"/>
                <w:shd w:fill="FFFFFF" w:val="clear"/>
              </w:rPr>
              <w:t>2、审查与验收：项目完成后，需通过采购人或相关权威机构组织的专家审查与验收。若验收未通过，供应商需无条件按要求进行修改完善，直至通过验收为止。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进度款，提交初步成果并经采购人确认后，达到付款条件起10个工作日内，支付合同总金额的60.0%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进度款，全部工作完成并通过验收后，达到付款条件起10个工作日内，支付合同总金额的10.0%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采购⽂件要求及合同约定执⾏；事业单位参与投标时，可不提供社会保障资⾦和税收缴纳证明；依法免税或不需要缴纳社会保障资⾦的供应商，应提供相应证明⽂件，证明其依法免税或不需要缴纳社会保障资⾦；⾃然⼈（仅限中国公⺠）参与投标时，只须提供⾝份证复印件。2.为顺利推进政府采购电⼦化交易平台应⽤⼯作，供应商需要在线提交所有通过电⼦化交易平台实施的政府采购项⽬的响应⽂件，确定成交后，根据采购⼈要求，成交供应商向代理机构提交纸质版磋商响应⽂件⽤于项⽬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 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供应商提供的复印件在本次投标中予以认可 (即不因 “复印无效 ”字样而认定资信证明复印件无效）。③银行出具的存款证明不能替代银行资信证明。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应符合“竞争性磋商响应⽂件格式”要求（不得因⽂件排序限制和影响供应商响应）。</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磋商响应⽂件的签署盖章 应符合竞争性磋商响应⽂件要求。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响应⽂件报价</w:t>
            </w:r>
          </w:p>
        </w:tc>
        <w:tc>
          <w:tcPr>
            <w:tcW w:type="dxa" w:w="3322"/>
          </w:tcPr>
          <w:p>
            <w:pPr>
              <w:pStyle w:val="null3"/>
            </w:pPr>
            <w:r>
              <w:rPr>
                <w:rFonts w:ascii="仿宋_GB2312" w:hAnsi="仿宋_GB2312" w:cs="仿宋_GB2312" w:eastAsia="仿宋_GB2312"/>
              </w:rPr>
              <w:t>报价唯⼀，磋商报价符合唯⼀性要求、响应报价表填写符合要求、报价货币符合磋商⽂件要求、报价数量与要求符合并未出现漏项、未超出采购预算和磋商⽂件规定的各分项最⾼限价；只能有⼀个有效报价，不得提交选择性报价，按要求提交⼆次或多次报价，且每轮报价不超过采购预算⾦额或最⾼限价或磋商⼩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磋商响应⽂件内容</w:t>
            </w:r>
          </w:p>
        </w:tc>
        <w:tc>
          <w:tcPr>
            <w:tcW w:type="dxa" w:w="3322"/>
          </w:tcPr>
          <w:p>
            <w:pPr>
              <w:pStyle w:val="null3"/>
            </w:pPr>
            <w:r>
              <w:rPr>
                <w:rFonts w:ascii="仿宋_GB2312" w:hAnsi="仿宋_GB2312" w:cs="仿宋_GB2312" w:eastAsia="仿宋_GB2312"/>
              </w:rPr>
              <w:t>磋商响应⽂件内容符合磋商⽂件要求； 磋商响应⽂件中项⽬名称、项⽬编号与本项⽬⼀致；磋商响应⽂件⾄少包括：（1）响应函、（2）响应报价表、（3）供应商资格证明、（4）采购需求偏离表、（5）供应商承诺书。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应满⾜磋商⽂件中的规定。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应满⾜磋商⽂件中要求的服务期限。</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对磋商⽂件条款响应</w:t>
            </w:r>
          </w:p>
        </w:tc>
        <w:tc>
          <w:tcPr>
            <w:tcW w:type="dxa" w:w="3322"/>
          </w:tcPr>
          <w:p>
            <w:pPr>
              <w:pStyle w:val="null3"/>
            </w:pPr>
            <w:r>
              <w:rPr>
                <w:rFonts w:ascii="仿宋_GB2312" w:hAnsi="仿宋_GB2312" w:cs="仿宋_GB2312" w:eastAsia="仿宋_GB2312"/>
              </w:rPr>
              <w:t>要求实质性条款全部响应，不能有采购⼈不能接受的附加条件，未有负偏离且响应的内容未含有采购⼈不能接受的附加条件。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项目的理解和认识</w:t>
            </w:r>
          </w:p>
        </w:tc>
        <w:tc>
          <w:tcPr>
            <w:tcW w:type="dxa" w:w="2492"/>
          </w:tcPr>
          <w:p>
            <w:pPr>
              <w:pStyle w:val="null3"/>
            </w:pPr>
            <w:r>
              <w:rPr>
                <w:rFonts w:ascii="仿宋_GB2312" w:hAnsi="仿宋_GB2312" w:cs="仿宋_GB2312" w:eastAsia="仿宋_GB2312"/>
              </w:rPr>
              <w:t>根据供应商提供项目理解及需求分析进行评审：1.对本项目服务内容了解全面完整、准确充分， 对本项目的系统服务需求理解表述准确清楚的，得8分；2.对本项目服务内容了解较为全面、充分，对本项目的系统服务需求理解表述较为准确清楚的， 得5分；3.对本项目服务内容了解不全面， 对本项目系统服务需求理解表述不准确的， 得3分；4.未提供的不得分。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根据供应商提供的总体服务方案进行评审： 1.总体服务方案详细完善、针对性强、可行性高，依据的行业技术规范与标准准确、完整，技术路线、工作思路与方法全面、科学合理，完全满足项目采购要求的，得10分； 2.总体服务方案比较详细完善、针对性较强、可行性较高，依据的行业技术规范与标准准确、完整，技术路线、工作思路与方法较为全面、科学合理，满足项目采购要求的，得6分；3.总体服务方案不够详细完善，针对性、可行性较差，依据的行业技术规范与标准不够准确、完整，技术路线、工作思路与方法不够全面、合理，部分满足项目采购要求的，得3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进度保障服务方案</w:t>
            </w:r>
          </w:p>
        </w:tc>
        <w:tc>
          <w:tcPr>
            <w:tcW w:type="dxa" w:w="2492"/>
          </w:tcPr>
          <w:p>
            <w:pPr>
              <w:pStyle w:val="null3"/>
            </w:pPr>
            <w:r>
              <w:rPr>
                <w:rFonts w:ascii="仿宋_GB2312" w:hAnsi="仿宋_GB2312" w:cs="仿宋_GB2312" w:eastAsia="仿宋_GB2312"/>
              </w:rPr>
              <w:t>根据供应商提供的服务进度保障方案进行评审：1.有合理的阶段划分，各阶段有明确的工作目标、有可行的时间进度保障措施，保障方案科学合理且具有实际的可行性，得8分；2.有各阶段工作安排及进度保障措施，方案内容基本完整、合理可行的，得5分；3.方案内容不完整、 阐述不清晰的， 得3分；4.未提供的不得分。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根据供应商提供的质量保障措施进行评审：1.项目质量保障措施内容详尽、完善、有针对性，完全满足成果等要求的，得8分；2.项目质量保障措施比较详尽、完善、比较有针对性，能够满足成果等要求的，得5分； 3.项目质量保障措施较差，合理性、可行性较差，不能满足成果等要求的，得3分； 4.未提供或其他情况不得分。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根据供应商提供的保密措施进行评审：1.保密制度全面、具体、合理，保密措施详细、可行、有针对性，得5分；2.保密制度较为全面、具体、合理，保密措施较为详细、可行，比较有针对性，得3分； 3.保密制度不够全面、具体、合理，保密措施不够详细，可行性、针对性较差，得1分； 4.未提供或其他不得分。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1.技术职称（4分）：拟派项目负责人具备相关专业（相关专业包括但不限于水利水电、水文水资源、规划、地理信息等）高级职称得4分；具备中级职称的得2分，其余不得分。 2.专业能力（2分）：拟派项目负责人具备咨询工程师（投资）（水利水电）或注册土木工程师（水利水电工程）证书的得2分，其余不得分。 【注：响应文件中须提供项目负责人相关职称证书、注册执业证书等证明材料复印件并加盖单位公章。】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1.技术职称（8分）：拟派项目团队具备相关专业（包括但不限于水利水电、水文水资源、规划、地理信息、软件开发等）高级职称每配备1人得2分；中级职称每配备1人得1分，其余不得分。 2.专业能力（6分）：项目团队具备咨询工程师（投资）（水利水电）或注册土木工程师（水利水电工程）证书的，每配备1人得2分，其余不得分。 【注：响应文件中须提供项目团队人员相关职称证书、注册执业证书等证明材料复印件并加盖单位公章。同一人可重复得分。】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成果文件错漏、专家评审在即、行政主管部门核查）（4分）：承诺1小时内专人对接响应，提供7×12小时联络热线、项目专属工作群，满足得满分4分；仅承诺2小时及以内响应得50%分值2分；承诺超过2小时不得分；未提供固定联络渠道证明扣全部分值。2.一般咨询、资料修正需求（2分）：承诺2小时内出具修改思路/回复意见得满分2分；承诺4小时及以内得50%分值1分，超出4小时不得分。3.现场技术支撑服务（2分）：承诺市区4小时、县域12小时技术人员到场服务，满足得满分2分；到场时限标准放宽得1分；未承诺现场应急服务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1.服务质量目标承诺（3分）：供应商提供针对本项目的服务质量管控标准、质量目标、质量验收、整改保障等专项承诺，承诺完整并加盖公章得3分，未提供或不完整不得分。 2. 服务进度目标承诺（3分）：供应商提供针对本项目的服务服务期限节点、进度管控、进度保障、逾期补救措施等专项承诺，承诺完整并加盖公章得3分，未提供或不完整不得分。 3. 服务安全目标承诺（2分）：投标人提供针对本项目的作业安全、人员安全、风险防控等专项承诺，承诺完整并加盖公章得2分，未提供或不完整不得分。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2023 年 1 月 1 日至响应文件递交截止之日供应商完成的类似项目，每提供一份得2分，满分10分。 【注：以合同协议书关键页或中标通知书证明为准，提供扫描件并加盖鲜章。】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1.经资格审查、符合性审查合格的响应文件，其投标报价为有效投标报价，对符合政策性扣减的供应商的有效投标价格进行政策性扣减，并依据扣减后的价格（评审价格）进行价格评审。 2.满足磋商文件要求且投标报价最低的为评标基准价，其价格分为满分。 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详见附件：磋商方案.pdf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