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578D3">
      <w:pPr>
        <w:jc w:val="center"/>
        <w:rPr>
          <w:rFonts w:hint="eastAsia"/>
          <w:b/>
          <w:bCs/>
          <w:sz w:val="36"/>
          <w:szCs w:val="44"/>
          <w:lang w:val="en-US" w:eastAsia="zh-CN"/>
        </w:rPr>
      </w:pPr>
      <w:r>
        <w:rPr>
          <w:rFonts w:hint="eastAsia"/>
          <w:b/>
          <w:bCs/>
          <w:sz w:val="36"/>
          <w:szCs w:val="44"/>
          <w:lang w:val="en-US" w:eastAsia="zh-CN"/>
        </w:rPr>
        <w:t>采购需求</w:t>
      </w:r>
    </w:p>
    <w:p w14:paraId="31810CA7">
      <w:pPr>
        <w:pStyle w:val="4"/>
        <w:numPr>
          <w:ilvl w:val="0"/>
          <w:numId w:val="0"/>
        </w:numPr>
        <w:spacing w:line="360" w:lineRule="auto"/>
        <w:ind w:firstLine="402" w:firstLineChars="200"/>
        <w:jc w:val="both"/>
        <w:rPr>
          <w:rFonts w:hint="eastAsia" w:ascii="宋体" w:hAnsi="宋体" w:eastAsia="宋体" w:cs="宋体"/>
          <w:b/>
          <w:bCs/>
          <w:color w:val="auto"/>
          <w:sz w:val="20"/>
          <w:szCs w:val="20"/>
          <w:highlight w:val="none"/>
          <w:lang w:val="en-US" w:eastAsia="zh-CN"/>
        </w:rPr>
      </w:pPr>
      <w:r>
        <w:rPr>
          <w:rFonts w:hint="eastAsia" w:ascii="宋体" w:hAnsi="宋体" w:eastAsia="宋体" w:cs="宋体"/>
          <w:b/>
          <w:bCs/>
          <w:color w:val="auto"/>
          <w:sz w:val="20"/>
          <w:szCs w:val="20"/>
          <w:highlight w:val="none"/>
          <w:lang w:val="en-US" w:eastAsia="zh-CN"/>
        </w:rPr>
        <w:t>一、</w:t>
      </w:r>
      <w:r>
        <w:rPr>
          <w:rFonts w:hint="eastAsia" w:ascii="宋体" w:hAnsi="宋体" w:eastAsia="宋体" w:cs="宋体"/>
          <w:b/>
          <w:bCs/>
          <w:color w:val="auto"/>
          <w:sz w:val="20"/>
          <w:szCs w:val="20"/>
          <w:highlight w:val="none"/>
        </w:rPr>
        <w:t>采购内容</w:t>
      </w:r>
      <w:r>
        <w:rPr>
          <w:rFonts w:hint="eastAsia" w:ascii="宋体" w:hAnsi="宋体" w:eastAsia="宋体" w:cs="宋体"/>
          <w:b/>
          <w:bCs/>
          <w:color w:val="auto"/>
          <w:sz w:val="20"/>
          <w:szCs w:val="20"/>
          <w:highlight w:val="none"/>
          <w:lang w:val="en-US" w:eastAsia="zh-CN"/>
        </w:rPr>
        <w:t>及要求</w:t>
      </w:r>
    </w:p>
    <w:p w14:paraId="502D0F70">
      <w:pPr>
        <w:pStyle w:val="4"/>
        <w:spacing w:line="360" w:lineRule="auto"/>
        <w:ind w:firstLine="402"/>
        <w:jc w:val="both"/>
        <w:rPr>
          <w:rFonts w:hint="eastAsia" w:eastAsia="宋体"/>
          <w:color w:val="auto"/>
          <w:highlight w:val="none"/>
          <w:lang w:val="en-US" w:eastAsia="zh-CN"/>
        </w:rPr>
      </w:pPr>
      <w:r>
        <w:rPr>
          <w:rFonts w:hint="eastAsia" w:ascii="宋体" w:hAnsi="宋体" w:eastAsia="宋体" w:cs="宋体"/>
          <w:b/>
          <w:bCs/>
          <w:color w:val="auto"/>
          <w:sz w:val="20"/>
          <w:szCs w:val="20"/>
          <w:highlight w:val="none"/>
          <w:lang w:val="en-US" w:eastAsia="zh-CN"/>
        </w:rPr>
        <w:t>本项目</w:t>
      </w:r>
      <w:r>
        <w:rPr>
          <w:rFonts w:ascii="宋体" w:hAnsi="宋体" w:eastAsia="宋体" w:cs="宋体"/>
          <w:b/>
          <w:color w:val="auto"/>
          <w:sz w:val="20"/>
          <w:highlight w:val="none"/>
        </w:rPr>
        <w:t>核心产品名称：</w:t>
      </w:r>
      <w:r>
        <w:rPr>
          <w:rFonts w:ascii="宋体" w:hAnsi="宋体" w:eastAsia="宋体" w:cs="宋体"/>
          <w:b/>
          <w:color w:val="auto"/>
          <w:sz w:val="20"/>
          <w:highlight w:val="none"/>
          <w:u w:val="single"/>
        </w:rPr>
        <w:t xml:space="preserve"> </w:t>
      </w:r>
      <w:r>
        <w:rPr>
          <w:rFonts w:hint="eastAsia" w:ascii="宋体" w:hAnsi="宋体" w:eastAsia="宋体" w:cs="宋体"/>
          <w:b/>
          <w:color w:val="auto"/>
          <w:sz w:val="20"/>
          <w:highlight w:val="none"/>
          <w:u w:val="single"/>
        </w:rPr>
        <w:t>识别卡</w:t>
      </w:r>
      <w:r>
        <w:rPr>
          <w:rFonts w:hint="eastAsia" w:ascii="宋体" w:hAnsi="宋体" w:eastAsia="宋体" w:cs="宋体"/>
          <w:b/>
          <w:color w:val="auto"/>
          <w:sz w:val="20"/>
          <w:highlight w:val="none"/>
          <w:u w:val="single"/>
          <w:lang w:val="en-US" w:eastAsia="zh-CN"/>
        </w:rPr>
        <w:t xml:space="preserve"> </w:t>
      </w:r>
    </w:p>
    <w:p w14:paraId="78284560">
      <w:pPr>
        <w:pStyle w:val="4"/>
        <w:spacing w:line="360" w:lineRule="auto"/>
        <w:ind w:firstLine="402" w:firstLineChars="200"/>
        <w:jc w:val="both"/>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★1.皮夹</w:t>
      </w:r>
    </w:p>
    <w:p w14:paraId="671DD4D1">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1.1皮夹为黑色通用牛皮夹，</w:t>
      </w:r>
      <w:r>
        <w:rPr>
          <w:rFonts w:hint="eastAsia" w:ascii="宋体" w:hAnsi="宋体" w:eastAsia="宋体" w:cs="宋体"/>
          <w:color w:val="auto"/>
          <w:sz w:val="20"/>
          <w:szCs w:val="20"/>
          <w:highlight w:val="none"/>
          <w:lang w:eastAsia="zh-CN"/>
        </w:rPr>
        <w:t>采用</w:t>
      </w:r>
      <w:r>
        <w:rPr>
          <w:rFonts w:hint="eastAsia" w:ascii="宋体" w:hAnsi="宋体" w:eastAsia="宋体" w:cs="宋体"/>
          <w:color w:val="auto"/>
          <w:sz w:val="20"/>
          <w:szCs w:val="20"/>
          <w:highlight w:val="none"/>
        </w:rPr>
        <w:t>牛皮革或牛剖层皮革（可根据使用年限需求选择）以黑色涤纶线缝制而成；</w:t>
      </w:r>
    </w:p>
    <w:p w14:paraId="6D1B8634">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1.2封面凹痕压印中华人民共和国国徽，国徽下方凹痕压印“中华人民共和国行政执法证”，字体“执法证件专用1”（为提升防伪效果，行政执法证件所用中文、英文、数字均</w:t>
      </w:r>
      <w:r>
        <w:rPr>
          <w:rFonts w:hint="eastAsia" w:ascii="宋体" w:hAnsi="宋体" w:eastAsia="宋体" w:cs="宋体"/>
          <w:color w:val="auto"/>
          <w:sz w:val="20"/>
          <w:szCs w:val="20"/>
          <w:highlight w:val="none"/>
          <w:lang w:eastAsia="zh-CN"/>
        </w:rPr>
        <w:t>采用</w:t>
      </w:r>
      <w:r>
        <w:rPr>
          <w:rFonts w:hint="eastAsia" w:ascii="宋体" w:hAnsi="宋体" w:eastAsia="宋体" w:cs="宋体"/>
          <w:color w:val="auto"/>
          <w:sz w:val="20"/>
          <w:szCs w:val="20"/>
          <w:highlight w:val="none"/>
        </w:rPr>
        <w:t>专用字体，专用字体库附后）；</w:t>
      </w:r>
    </w:p>
    <w:p w14:paraId="26C06345">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1.3皮夹打开上侧装订金属立体国徽徽记，正面表层滴塑，直径36.5mm（公差±0.2mm）,厚度2.2mm （公差±0.2mm）；</w:t>
      </w:r>
    </w:p>
    <w:p w14:paraId="6062A869">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1.4国徽徽记下方装订金属字“行政执法”，字体“执法证件专用3”,长宽10*10mm（公差±0.2mm）,厚度1.5mm（公差±0.2mm）,基础笔画宽度（“法”字笔画“竖”的宽度）1.8mm（公差±0.1mm）</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各字间距离2.5mm,总长47.5mm；颜色同国徽徽记金色；</w:t>
      </w:r>
    </w:p>
    <w:p w14:paraId="599E6A52">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1.5皮夹打开下侧为PVC或PETG透明膜可视窗，长宽51*76mm,厚度0.3mm（公差±0.1mm）,内嵌识别卡；</w:t>
      </w:r>
    </w:p>
    <w:p w14:paraId="6F2FE113">
      <w:pPr>
        <w:pStyle w:val="4"/>
        <w:numPr>
          <w:ilvl w:val="0"/>
          <w:numId w:val="0"/>
        </w:numPr>
        <w:spacing w:line="360" w:lineRule="auto"/>
        <w:ind w:firstLine="400" w:firstLineChars="20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1.6所有要素无特别说明均水平居中排布（下同）。</w:t>
      </w:r>
    </w:p>
    <w:p w14:paraId="15E16AD6">
      <w:pPr>
        <w:pStyle w:val="4"/>
        <w:spacing w:line="360" w:lineRule="auto"/>
        <w:ind w:firstLine="482"/>
        <w:jc w:val="both"/>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★2.识别卡</w:t>
      </w:r>
    </w:p>
    <w:p w14:paraId="34640DEA">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2.1识别卡为PVC或PETG材质，</w:t>
      </w:r>
      <w:r>
        <w:rPr>
          <w:rFonts w:hint="eastAsia" w:ascii="宋体" w:hAnsi="宋体" w:eastAsia="宋体" w:cs="宋体"/>
          <w:color w:val="auto"/>
          <w:sz w:val="20"/>
          <w:szCs w:val="20"/>
          <w:highlight w:val="none"/>
          <w:lang w:eastAsia="zh-CN"/>
        </w:rPr>
        <w:t>采用</w:t>
      </w:r>
      <w:r>
        <w:rPr>
          <w:rFonts w:hint="eastAsia" w:ascii="宋体" w:hAnsi="宋体" w:eastAsia="宋体" w:cs="宋体"/>
          <w:color w:val="auto"/>
          <w:sz w:val="20"/>
          <w:szCs w:val="20"/>
          <w:highlight w:val="none"/>
        </w:rPr>
        <w:t>专用底纹，底纹颜色PANTONE P 109-4C：字体颜色均为黑色；卡体宽高厚54*85.6*</w:t>
      </w: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.2mm（公差±0.1mm）；</w:t>
      </w:r>
    </w:p>
    <w:p w14:paraId="02A34D48">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2.2头像：宽高34*39mm,面部尺寸（头顶至下巴）约28mm；正面免冠，背景透明，着制服（未配发制服的着正装），分辨率不低于300DPI；</w:t>
      </w:r>
    </w:p>
    <w:p w14:paraId="6712CD15">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2.3姓名：字体“执法证件专用1”,字号18pt,加粗；两字姓名字间距1mm,三字（含）以上姓名字距默认；</w:t>
      </w:r>
    </w:p>
    <w:p w14:paraId="48110B4F">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2.4二维码：6*6mm正方形状，与姓名底端对齐；姓名和二维码整体较于卡面水平居中,两侧原则不超出头像宽，如超出可相应缩小字号，六字（含）以上姓名变双行排布；</w:t>
      </w:r>
    </w:p>
    <w:p w14:paraId="170EB252">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2.5单位：使用本单位正式全称或规范简称，字体“执法证件专用1”,加粗，不同字数的字号和排布方式详见下表：单位整体位于姓名和编号中间，且不超出图4红色虚线区域，原则上不小于编号宽（字数过少时可相应扩大字号或字距）；</w:t>
      </w:r>
    </w:p>
    <w:p w14:paraId="6BBE5500">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2.6编号：实行全国统一编码（编号规则附后），字体“执法证件专用1”:字号12pt,加粗；</w:t>
      </w:r>
    </w:p>
    <w:p w14:paraId="4AF8D9EC">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2.7中文“中华人民共和国行政执法证”，字号17pt,行距23pt,加粗；英文"Administrative Law Enforcement China",字号4pt,加粗；字体均为“执法证件专用1”；</w:t>
      </w:r>
    </w:p>
    <w:p w14:paraId="327C3E8B">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2.8发证机关、有效期：字体“执法证件专用2”,字号7.5pt,加粗，行距10pt。</w:t>
      </w:r>
    </w:p>
    <w:p w14:paraId="611C32E6">
      <w:pPr>
        <w:pStyle w:val="4"/>
        <w:spacing w:line="360" w:lineRule="auto"/>
        <w:ind w:firstLine="480"/>
        <w:jc w:val="both"/>
        <w:rPr>
          <w:rFonts w:hint="eastAsia" w:ascii="宋体" w:hAnsi="宋体" w:eastAsia="宋体" w:cs="宋体"/>
          <w:color w:val="auto"/>
          <w:sz w:val="20"/>
          <w:szCs w:val="20"/>
          <w:highlight w:val="none"/>
        </w:rPr>
      </w:pPr>
    </w:p>
    <w:tbl>
      <w:tblPr>
        <w:tblStyle w:val="2"/>
        <w:tblW w:w="0" w:type="auto"/>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315"/>
        <w:gridCol w:w="1932"/>
        <w:gridCol w:w="975"/>
        <w:gridCol w:w="684"/>
        <w:gridCol w:w="1932"/>
      </w:tblGrid>
      <w:tr w14:paraId="56A80E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315" w:type="dxa"/>
            <w:tcBorders>
              <w:top w:val="single" w:color="000000" w:sz="4" w:space="0"/>
              <w:left w:val="single" w:color="000000" w:sz="4" w:space="0"/>
              <w:bottom w:val="single" w:color="000000" w:sz="4" w:space="0"/>
              <w:right w:val="single" w:color="000000" w:sz="4" w:space="0"/>
            </w:tcBorders>
            <w:tcMar>
              <w:top w:w="0" w:type="dxa"/>
              <w:left w:w="10" w:type="dxa"/>
              <w:bottom w:w="0" w:type="dxa"/>
              <w:right w:w="10" w:type="dxa"/>
            </w:tcMar>
            <w:vAlign w:val="center"/>
          </w:tcPr>
          <w:p w14:paraId="796AEB1F">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字数</w:t>
            </w:r>
          </w:p>
        </w:tc>
        <w:tc>
          <w:tcPr>
            <w:tcW w:w="1932" w:type="dxa"/>
            <w:tcBorders>
              <w:top w:val="single" w:color="000000" w:sz="4" w:space="0"/>
              <w:left w:val="nil"/>
              <w:bottom w:val="single" w:color="000000" w:sz="4" w:space="0"/>
              <w:right w:val="single" w:color="000000" w:sz="4" w:space="0"/>
            </w:tcBorders>
            <w:tcMar>
              <w:top w:w="0" w:type="dxa"/>
              <w:left w:w="10" w:type="dxa"/>
              <w:bottom w:w="0" w:type="dxa"/>
              <w:right w:w="10" w:type="dxa"/>
            </w:tcMar>
            <w:vAlign w:val="center"/>
          </w:tcPr>
          <w:p w14:paraId="0410B78A">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排布方式</w:t>
            </w:r>
          </w:p>
        </w:tc>
        <w:tc>
          <w:tcPr>
            <w:tcW w:w="975" w:type="dxa"/>
            <w:tcBorders>
              <w:top w:val="single" w:color="000000" w:sz="4" w:space="0"/>
              <w:left w:val="nil"/>
              <w:bottom w:val="single" w:color="000000" w:sz="4" w:space="0"/>
              <w:right w:val="single" w:color="000000" w:sz="4" w:space="0"/>
            </w:tcBorders>
            <w:tcMar>
              <w:top w:w="0" w:type="dxa"/>
              <w:left w:w="10" w:type="dxa"/>
              <w:bottom w:w="0" w:type="dxa"/>
              <w:right w:w="10" w:type="dxa"/>
            </w:tcMar>
            <w:vAlign w:val="center"/>
          </w:tcPr>
          <w:p w14:paraId="2F1C329D">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字号</w:t>
            </w:r>
          </w:p>
        </w:tc>
        <w:tc>
          <w:tcPr>
            <w:tcW w:w="684" w:type="dxa"/>
            <w:tcBorders>
              <w:top w:val="single" w:color="000000" w:sz="4" w:space="0"/>
              <w:left w:val="nil"/>
              <w:bottom w:val="single" w:color="000000" w:sz="4" w:space="0"/>
              <w:right w:val="single" w:color="000000" w:sz="4" w:space="0"/>
            </w:tcBorders>
            <w:tcMar>
              <w:top w:w="0" w:type="dxa"/>
              <w:left w:w="10" w:type="dxa"/>
              <w:bottom w:w="0" w:type="dxa"/>
              <w:right w:w="10" w:type="dxa"/>
            </w:tcMar>
            <w:vAlign w:val="center"/>
          </w:tcPr>
          <w:p w14:paraId="4D9E7A83">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行距</w:t>
            </w:r>
          </w:p>
        </w:tc>
        <w:tc>
          <w:tcPr>
            <w:tcW w:w="1932" w:type="dxa"/>
            <w:tcBorders>
              <w:top w:val="single" w:color="000000" w:sz="4" w:space="0"/>
              <w:left w:val="nil"/>
              <w:bottom w:val="single" w:color="000000" w:sz="4" w:space="0"/>
              <w:right w:val="single" w:color="000000" w:sz="4" w:space="0"/>
            </w:tcBorders>
            <w:tcMar>
              <w:top w:w="0" w:type="dxa"/>
              <w:left w:w="10" w:type="dxa"/>
              <w:bottom w:w="0" w:type="dxa"/>
              <w:right w:w="10" w:type="dxa"/>
            </w:tcMar>
            <w:vAlign w:val="center"/>
          </w:tcPr>
          <w:p w14:paraId="43AA1B34">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断行规则</w:t>
            </w:r>
          </w:p>
        </w:tc>
      </w:tr>
      <w:tr w14:paraId="468185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1315" w:type="dxa"/>
            <w:tcBorders>
              <w:top w:val="nil"/>
              <w:left w:val="single" w:color="000000" w:sz="4" w:space="0"/>
              <w:bottom w:val="single" w:color="000000" w:sz="4" w:space="0"/>
              <w:right w:val="single" w:color="000000" w:sz="4" w:space="0"/>
            </w:tcBorders>
            <w:tcMar>
              <w:top w:w="0" w:type="dxa"/>
              <w:left w:w="10" w:type="dxa"/>
              <w:bottom w:w="0" w:type="dxa"/>
              <w:right w:w="10" w:type="dxa"/>
            </w:tcMar>
            <w:vAlign w:val="center"/>
          </w:tcPr>
          <w:p w14:paraId="062220AB">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W9个</w:t>
            </w:r>
          </w:p>
        </w:tc>
        <w:tc>
          <w:tcPr>
            <w:tcW w:w="1932" w:type="dxa"/>
            <w:tcBorders>
              <w:top w:val="nil"/>
              <w:left w:val="nil"/>
              <w:bottom w:val="single" w:color="000000" w:sz="4" w:space="0"/>
              <w:right w:val="single" w:color="000000" w:sz="4" w:space="0"/>
            </w:tcBorders>
            <w:tcMar>
              <w:top w:w="0" w:type="dxa"/>
              <w:left w:w="10" w:type="dxa"/>
              <w:bottom w:w="0" w:type="dxa"/>
              <w:right w:w="10" w:type="dxa"/>
            </w:tcMar>
            <w:vAlign w:val="center"/>
          </w:tcPr>
          <w:p w14:paraId="29E238B1">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单行排布</w:t>
            </w:r>
          </w:p>
        </w:tc>
        <w:tc>
          <w:tcPr>
            <w:tcW w:w="975" w:type="dxa"/>
            <w:tcBorders>
              <w:top w:val="nil"/>
              <w:left w:val="nil"/>
              <w:bottom w:val="single" w:color="000000" w:sz="4" w:space="0"/>
              <w:right w:val="single" w:color="000000" w:sz="4" w:space="0"/>
            </w:tcBorders>
            <w:tcMar>
              <w:top w:w="0" w:type="dxa"/>
              <w:left w:w="10" w:type="dxa"/>
              <w:bottom w:w="0" w:type="dxa"/>
              <w:right w:w="10" w:type="dxa"/>
            </w:tcMar>
            <w:vAlign w:val="center"/>
          </w:tcPr>
          <w:p w14:paraId="476C5560">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12pt</w:t>
            </w:r>
          </w:p>
        </w:tc>
        <w:tc>
          <w:tcPr>
            <w:tcW w:w="684" w:type="dxa"/>
            <w:tcBorders>
              <w:top w:val="nil"/>
              <w:left w:val="nil"/>
              <w:bottom w:val="single" w:color="000000" w:sz="4" w:space="0"/>
              <w:right w:val="single" w:color="000000" w:sz="4" w:space="0"/>
            </w:tcBorders>
            <w:tcMar>
              <w:top w:w="0" w:type="dxa"/>
              <w:left w:w="10" w:type="dxa"/>
              <w:bottom w:w="0" w:type="dxa"/>
              <w:right w:w="10" w:type="dxa"/>
            </w:tcMar>
            <w:vAlign w:val="center"/>
          </w:tcPr>
          <w:p w14:paraId="27919C0F">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无</w:t>
            </w:r>
          </w:p>
        </w:tc>
        <w:tc>
          <w:tcPr>
            <w:tcW w:w="1932" w:type="dxa"/>
            <w:tcBorders>
              <w:top w:val="nil"/>
              <w:left w:val="nil"/>
              <w:bottom w:val="single" w:color="000000" w:sz="4" w:space="0"/>
              <w:right w:val="single" w:color="000000" w:sz="4" w:space="0"/>
            </w:tcBorders>
            <w:tcMar>
              <w:top w:w="0" w:type="dxa"/>
              <w:left w:w="10" w:type="dxa"/>
              <w:bottom w:w="0" w:type="dxa"/>
              <w:right w:w="10" w:type="dxa"/>
            </w:tcMar>
            <w:vAlign w:val="center"/>
          </w:tcPr>
          <w:p w14:paraId="3901F92A">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原则上不断行</w:t>
            </w:r>
          </w:p>
        </w:tc>
      </w:tr>
      <w:tr w14:paraId="2C1481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1315" w:type="dxa"/>
            <w:tcBorders>
              <w:top w:val="nil"/>
              <w:left w:val="single" w:color="000000" w:sz="4" w:space="0"/>
              <w:bottom w:val="single" w:color="000000" w:sz="4" w:space="0"/>
              <w:right w:val="single" w:color="000000" w:sz="4" w:space="0"/>
            </w:tcBorders>
            <w:tcMar>
              <w:top w:w="0" w:type="dxa"/>
              <w:left w:w="10" w:type="dxa"/>
              <w:bottom w:w="0" w:type="dxa"/>
              <w:right w:w="10" w:type="dxa"/>
            </w:tcMar>
            <w:vAlign w:val="center"/>
          </w:tcPr>
          <w:p w14:paraId="76D2A6EE">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10-18个</w:t>
            </w:r>
          </w:p>
        </w:tc>
        <w:tc>
          <w:tcPr>
            <w:tcW w:w="1932" w:type="dxa"/>
            <w:tcBorders>
              <w:top w:val="nil"/>
              <w:left w:val="nil"/>
              <w:bottom w:val="single" w:color="000000" w:sz="4" w:space="0"/>
              <w:right w:val="single" w:color="000000" w:sz="4" w:space="0"/>
            </w:tcBorders>
            <w:tcMar>
              <w:top w:w="0" w:type="dxa"/>
              <w:left w:w="10" w:type="dxa"/>
              <w:bottom w:w="0" w:type="dxa"/>
              <w:right w:w="10" w:type="dxa"/>
            </w:tcMar>
            <w:vAlign w:val="center"/>
          </w:tcPr>
          <w:p w14:paraId="10A9212A">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双行排布</w:t>
            </w:r>
          </w:p>
        </w:tc>
        <w:tc>
          <w:tcPr>
            <w:tcW w:w="975" w:type="dxa"/>
            <w:tcBorders>
              <w:top w:val="nil"/>
              <w:left w:val="nil"/>
              <w:bottom w:val="single" w:color="000000" w:sz="4" w:space="0"/>
              <w:right w:val="single" w:color="000000" w:sz="4" w:space="0"/>
            </w:tcBorders>
            <w:tcMar>
              <w:top w:w="0" w:type="dxa"/>
              <w:left w:w="10" w:type="dxa"/>
              <w:bottom w:w="0" w:type="dxa"/>
              <w:right w:w="10" w:type="dxa"/>
            </w:tcMar>
            <w:vAlign w:val="center"/>
          </w:tcPr>
          <w:p w14:paraId="1C0E0072">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1Ipt</w:t>
            </w:r>
          </w:p>
        </w:tc>
        <w:tc>
          <w:tcPr>
            <w:tcW w:w="684" w:type="dxa"/>
            <w:tcBorders>
              <w:top w:val="nil"/>
              <w:left w:val="nil"/>
              <w:bottom w:val="single" w:color="000000" w:sz="4" w:space="0"/>
              <w:right w:val="single" w:color="000000" w:sz="4" w:space="0"/>
            </w:tcBorders>
            <w:tcMar>
              <w:top w:w="0" w:type="dxa"/>
              <w:left w:w="10" w:type="dxa"/>
              <w:bottom w:w="0" w:type="dxa"/>
              <w:right w:w="10" w:type="dxa"/>
            </w:tcMar>
            <w:vAlign w:val="center"/>
          </w:tcPr>
          <w:p w14:paraId="1DA52E4D">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15pt</w:t>
            </w:r>
          </w:p>
        </w:tc>
        <w:tc>
          <w:tcPr>
            <w:tcW w:w="1932" w:type="dxa"/>
            <w:tcBorders>
              <w:top w:val="nil"/>
              <w:left w:val="nil"/>
              <w:bottom w:val="single" w:color="000000" w:sz="4" w:space="0"/>
              <w:right w:val="single" w:color="000000" w:sz="4" w:space="0"/>
            </w:tcBorders>
            <w:tcMar>
              <w:top w:w="0" w:type="dxa"/>
              <w:left w:w="10" w:type="dxa"/>
              <w:bottom w:w="0" w:type="dxa"/>
              <w:right w:w="10" w:type="dxa"/>
            </w:tcMar>
            <w:vAlign w:val="center"/>
          </w:tcPr>
          <w:p w14:paraId="4A1780B9">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原则上两行排布</w:t>
            </w:r>
          </w:p>
        </w:tc>
      </w:tr>
      <w:tr w14:paraId="6D3C5D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1315" w:type="dxa"/>
            <w:tcBorders>
              <w:top w:val="nil"/>
              <w:left w:val="single" w:color="000000" w:sz="4" w:space="0"/>
              <w:bottom w:val="single" w:color="000000" w:sz="4" w:space="0"/>
              <w:right w:val="single" w:color="000000" w:sz="4" w:space="0"/>
            </w:tcBorders>
            <w:tcMar>
              <w:top w:w="0" w:type="dxa"/>
              <w:left w:w="10" w:type="dxa"/>
              <w:bottom w:w="0" w:type="dxa"/>
              <w:right w:w="10" w:type="dxa"/>
            </w:tcMar>
            <w:vAlign w:val="center"/>
          </w:tcPr>
          <w:p w14:paraId="0EA5FCA3">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19-27个</w:t>
            </w:r>
          </w:p>
        </w:tc>
        <w:tc>
          <w:tcPr>
            <w:tcW w:w="1932" w:type="dxa"/>
            <w:tcBorders>
              <w:top w:val="nil"/>
              <w:left w:val="nil"/>
              <w:bottom w:val="single" w:color="000000" w:sz="4" w:space="0"/>
              <w:right w:val="single" w:color="000000" w:sz="4" w:space="0"/>
            </w:tcBorders>
            <w:tcMar>
              <w:top w:w="0" w:type="dxa"/>
              <w:left w:w="10" w:type="dxa"/>
              <w:bottom w:w="0" w:type="dxa"/>
              <w:right w:w="10" w:type="dxa"/>
            </w:tcMar>
            <w:vAlign w:val="center"/>
          </w:tcPr>
          <w:p w14:paraId="570D91D2">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三行排布</w:t>
            </w:r>
          </w:p>
        </w:tc>
        <w:tc>
          <w:tcPr>
            <w:tcW w:w="975" w:type="dxa"/>
            <w:tcBorders>
              <w:top w:val="nil"/>
              <w:left w:val="nil"/>
              <w:bottom w:val="single" w:color="000000" w:sz="4" w:space="0"/>
              <w:right w:val="single" w:color="000000" w:sz="4" w:space="0"/>
            </w:tcBorders>
            <w:tcMar>
              <w:top w:w="0" w:type="dxa"/>
              <w:left w:w="10" w:type="dxa"/>
              <w:bottom w:w="0" w:type="dxa"/>
              <w:right w:w="10" w:type="dxa"/>
            </w:tcMar>
            <w:vAlign w:val="center"/>
          </w:tcPr>
          <w:p w14:paraId="56B643A2">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10pt</w:t>
            </w:r>
          </w:p>
        </w:tc>
        <w:tc>
          <w:tcPr>
            <w:tcW w:w="684" w:type="dxa"/>
            <w:tcBorders>
              <w:top w:val="nil"/>
              <w:left w:val="nil"/>
              <w:bottom w:val="single" w:color="000000" w:sz="4" w:space="0"/>
              <w:right w:val="single" w:color="000000" w:sz="4" w:space="0"/>
            </w:tcBorders>
            <w:tcMar>
              <w:top w:w="0" w:type="dxa"/>
              <w:left w:w="10" w:type="dxa"/>
              <w:bottom w:w="0" w:type="dxa"/>
              <w:right w:w="10" w:type="dxa"/>
            </w:tcMar>
            <w:vAlign w:val="center"/>
          </w:tcPr>
          <w:p w14:paraId="5C954EDE">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12pt</w:t>
            </w:r>
          </w:p>
        </w:tc>
        <w:tc>
          <w:tcPr>
            <w:tcW w:w="1932" w:type="dxa"/>
            <w:tcBorders>
              <w:top w:val="nil"/>
              <w:left w:val="nil"/>
              <w:bottom w:val="single" w:color="000000" w:sz="4" w:space="0"/>
              <w:right w:val="single" w:color="000000" w:sz="4" w:space="0"/>
            </w:tcBorders>
            <w:tcMar>
              <w:top w:w="0" w:type="dxa"/>
              <w:left w:w="10" w:type="dxa"/>
              <w:bottom w:w="0" w:type="dxa"/>
              <w:right w:w="10" w:type="dxa"/>
            </w:tcMar>
            <w:vAlign w:val="center"/>
          </w:tcPr>
          <w:p w14:paraId="559569F4">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原则上三行排布</w:t>
            </w:r>
          </w:p>
        </w:tc>
      </w:tr>
    </w:tbl>
    <w:p w14:paraId="35E50B07">
      <w:pPr>
        <w:pStyle w:val="4"/>
        <w:spacing w:line="360" w:lineRule="auto"/>
        <w:ind w:firstLine="482"/>
        <w:jc w:val="both"/>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★3.防伪标识</w:t>
      </w:r>
    </w:p>
    <w:p w14:paraId="34833041">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无色荧光防伪：正常光照下，目视不可见，紫外线灯照射呈蓝色荧光，内容为大写英文字母“XZZF”，字体“执法证件专用1”,字号12pt,加粗；</w:t>
      </w:r>
    </w:p>
    <w:p w14:paraId="25D3BA37">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激光全息防伪：正常视角不可见，不呈现色彩，变换角度可见，旋转卡体呈黄绿紫三色渐变交替，图案为正方形边框内嵌“行政执法”，于边框内水平和垂直居中，字体“执法证件专用4”,字号43pt，加粗；</w:t>
      </w:r>
    </w:p>
    <w:p w14:paraId="23A18C29">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缩微字：肉眼不可见，借助放大镜可见，内容为“XING ZHENG ZHIFA”循环排列。</w:t>
      </w:r>
    </w:p>
    <w:p w14:paraId="1AAD4775">
      <w:pPr>
        <w:pStyle w:val="4"/>
        <w:spacing w:line="360" w:lineRule="auto"/>
        <w:ind w:firstLine="482"/>
        <w:jc w:val="both"/>
        <w:rPr>
          <w:rFonts w:hint="eastAsia" w:ascii="宋体" w:hAnsi="宋体" w:eastAsia="宋体" w:cs="宋体"/>
          <w:color w:val="auto"/>
          <w:sz w:val="20"/>
          <w:szCs w:val="20"/>
          <w:highlight w:val="none"/>
          <w:lang w:eastAsia="zh-CN"/>
        </w:rPr>
      </w:pPr>
      <w:r>
        <w:rPr>
          <w:rFonts w:hint="eastAsia" w:ascii="宋体" w:hAnsi="宋体" w:eastAsia="宋体" w:cs="宋体"/>
          <w:b/>
          <w:color w:val="auto"/>
          <w:sz w:val="20"/>
          <w:szCs w:val="20"/>
          <w:highlight w:val="none"/>
        </w:rPr>
        <w:t>★4.</w:t>
      </w:r>
      <w:r>
        <w:rPr>
          <w:rFonts w:hint="eastAsia" w:ascii="宋体" w:hAnsi="宋体" w:eastAsia="宋体" w:cs="宋体"/>
          <w:b/>
          <w:color w:val="auto"/>
          <w:sz w:val="20"/>
          <w:szCs w:val="20"/>
          <w:highlight w:val="none"/>
          <w:lang w:eastAsia="zh-CN"/>
        </w:rPr>
        <w:t>佩戴式卡套</w:t>
      </w:r>
    </w:p>
    <w:p w14:paraId="36D50DB3">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卡套为黑色通用皮质卡套，双面PVC或PETG透明膜可视窗，内嵌识别卡；</w:t>
      </w:r>
    </w:p>
    <w:p w14:paraId="3E3F70AE">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挂绳为深蓝色涤纶挂绳，绳圈内（不含接头）总长840/870/900mm （可视执法人员身材状况选择），宽15mm；</w:t>
      </w:r>
    </w:p>
    <w:p w14:paraId="45AFE9B9">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挂绳从距接头40/45/50mm</w:t>
      </w:r>
      <w:r>
        <w:rPr>
          <w:rFonts w:hint="eastAsia" w:ascii="宋体" w:hAnsi="宋体" w:eastAsia="宋体" w:cs="宋体"/>
          <w:color w:val="auto"/>
          <w:sz w:val="20"/>
          <w:szCs w:val="20"/>
          <w:highlight w:val="none"/>
          <w:lang w:eastAsia="zh-CN"/>
        </w:rPr>
        <w:t>处开</w:t>
      </w:r>
      <w:r>
        <w:rPr>
          <w:rFonts w:hint="eastAsia" w:ascii="宋体" w:hAnsi="宋体" w:eastAsia="宋体" w:cs="宋体"/>
          <w:color w:val="auto"/>
          <w:sz w:val="20"/>
          <w:szCs w:val="20"/>
          <w:highlight w:val="none"/>
        </w:rPr>
        <w:t>始，按照“中文、英文、中文、英文、中文”的顺序，双面打印五组白色文字,字体垂直居中排布：各组间距离 40/45/50mm；</w:t>
      </w:r>
    </w:p>
    <w:p w14:paraId="2C9655FC">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中文“中华人民共和国行政执法证”，字体“执法证件专用4”,字号29pt,加粗；英文“Administrative Law Enforcement China</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字体</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执法证件专用I</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,字号16pt,加粗。</w:t>
      </w:r>
    </w:p>
    <w:p w14:paraId="79CA640E">
      <w:pPr>
        <w:pStyle w:val="4"/>
        <w:numPr>
          <w:ilvl w:val="0"/>
          <w:numId w:val="0"/>
        </w:numPr>
        <w:spacing w:line="360" w:lineRule="auto"/>
        <w:jc w:val="both"/>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lang w:val="en-US" w:eastAsia="zh-CN"/>
        </w:rPr>
        <w:t>5.</w:t>
      </w:r>
      <w:r>
        <w:rPr>
          <w:rFonts w:hint="eastAsia" w:ascii="宋体" w:hAnsi="宋体" w:eastAsia="宋体" w:cs="宋体"/>
          <w:b/>
          <w:color w:val="auto"/>
          <w:sz w:val="20"/>
          <w:szCs w:val="20"/>
          <w:highlight w:val="none"/>
        </w:rPr>
        <w:t>质量要求</w:t>
      </w:r>
    </w:p>
    <w:p w14:paraId="21DF9E8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b/>
          <w:color w:val="auto"/>
          <w:sz w:val="20"/>
          <w:szCs w:val="20"/>
          <w:highlight w:val="none"/>
        </w:rPr>
      </w:pPr>
      <w:r>
        <w:rPr>
          <w:rFonts w:hint="eastAsia" w:ascii="宋体" w:hAnsi="宋体" w:eastAsia="宋体" w:cs="宋体"/>
          <w:color w:val="auto"/>
          <w:kern w:val="0"/>
          <w:sz w:val="20"/>
          <w:szCs w:val="20"/>
          <w:highlight w:val="none"/>
          <w:lang w:val="en-US" w:eastAsia="zh-CN"/>
        </w:rPr>
        <w:t>符合《司法部办公厅关于做好全国统一行政执法证件标准样式实施工作的通知》(司办通(2020)78号)关于质量要求中“整体外观、国徽徽记、金属字、无色荧光防伪、激光全息防伪、缩微字、坐标和尺寸、国徽徽记颜色、国徽徽记和金属字耐腐蚀、皮革材质...皮革拉伸强度、皮革断裂伸长率、皮革耐折牢度识别卡粘连或并块”等技术标准规定。</w:t>
      </w:r>
    </w:p>
    <w:tbl>
      <w:tblPr>
        <w:tblStyle w:val="2"/>
        <w:tblW w:w="0" w:type="auto"/>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264"/>
        <w:gridCol w:w="4318"/>
        <w:gridCol w:w="2220"/>
      </w:tblGrid>
      <w:tr w14:paraId="44F9E6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666432E">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项目</w:t>
            </w:r>
          </w:p>
        </w:tc>
        <w:tc>
          <w:tcPr>
            <w:tcW w:w="431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CFD0684">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要求（指标）</w:t>
            </w:r>
          </w:p>
        </w:tc>
        <w:tc>
          <w:tcPr>
            <w:tcW w:w="2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587D432">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检验方法</w:t>
            </w:r>
          </w:p>
        </w:tc>
      </w:tr>
      <w:tr w14:paraId="1D34C5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0BF4488">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整体外观</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7549B8E">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皮革手感柔软、触感细腻、厚薄均匀，无裂面、裂浆、脱色等现象，革面平整，无严重折痕、刀伤</w:t>
            </w:r>
          </w:p>
        </w:tc>
        <w:tc>
          <w:tcPr>
            <w:tcW w:w="2220" w:type="dxa"/>
            <w:vMerge w:val="restart"/>
            <w:tcBorders>
              <w:top w:val="nil"/>
              <w:left w:val="nil"/>
              <w:bottom w:val="single" w:color="000000" w:sz="4" w:space="0"/>
              <w:right w:val="single" w:color="000000" w:sz="4" w:space="0"/>
            </w:tcBorders>
            <w:tcMar>
              <w:top w:w="0" w:type="dxa"/>
              <w:left w:w="105" w:type="dxa"/>
              <w:bottom w:w="0" w:type="dxa"/>
              <w:right w:w="105" w:type="dxa"/>
            </w:tcMar>
            <w:vAlign w:val="center"/>
          </w:tcPr>
          <w:p w14:paraId="2706BE32">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参照标准样品，目视观 察、手感触摸，同标准样品无明显差别</w:t>
            </w:r>
          </w:p>
        </w:tc>
      </w:tr>
      <w:tr w14:paraId="1DC68E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vMerge w:val="continue"/>
            <w:tcBorders>
              <w:top w:val="nil"/>
              <w:left w:val="single" w:color="000000" w:sz="4" w:space="0"/>
              <w:bottom w:val="single" w:color="000000" w:sz="4" w:space="0"/>
              <w:right w:val="single" w:color="000000" w:sz="4" w:space="0"/>
            </w:tcBorders>
            <w:vAlign w:val="center"/>
          </w:tcPr>
          <w:p w14:paraId="0D191873">
            <w:pPr>
              <w:spacing w:line="360" w:lineRule="auto"/>
              <w:jc w:val="both"/>
              <w:rPr>
                <w:rFonts w:hint="eastAsia" w:ascii="宋体" w:hAnsi="宋体" w:eastAsia="宋体" w:cs="宋体"/>
                <w:color w:val="auto"/>
                <w:sz w:val="20"/>
                <w:szCs w:val="20"/>
                <w:highlight w:val="none"/>
              </w:rPr>
            </w:pP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FF655DB">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里料平服周正、整洁干净，无裂面、断经、断纬、跳纱、裂匹、散边等缺陷</w:t>
            </w:r>
          </w:p>
        </w:tc>
        <w:tc>
          <w:tcPr>
            <w:tcW w:w="2220" w:type="dxa"/>
            <w:vMerge w:val="continue"/>
            <w:tcBorders>
              <w:top w:val="nil"/>
              <w:left w:val="nil"/>
              <w:bottom w:val="single" w:color="000000" w:sz="4" w:space="0"/>
              <w:right w:val="single" w:color="000000" w:sz="4" w:space="0"/>
            </w:tcBorders>
            <w:vAlign w:val="center"/>
          </w:tcPr>
          <w:p w14:paraId="134899B8">
            <w:pPr>
              <w:spacing w:line="360" w:lineRule="auto"/>
              <w:jc w:val="both"/>
              <w:rPr>
                <w:rFonts w:hint="eastAsia" w:ascii="宋体" w:hAnsi="宋体" w:eastAsia="宋体" w:cs="宋体"/>
                <w:color w:val="auto"/>
                <w:sz w:val="20"/>
                <w:szCs w:val="20"/>
                <w:highlight w:val="none"/>
              </w:rPr>
            </w:pPr>
          </w:p>
        </w:tc>
      </w:tr>
      <w:tr w14:paraId="7DE218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vMerge w:val="continue"/>
            <w:tcBorders>
              <w:top w:val="nil"/>
              <w:left w:val="single" w:color="000000" w:sz="4" w:space="0"/>
              <w:bottom w:val="single" w:color="000000" w:sz="4" w:space="0"/>
              <w:right w:val="single" w:color="000000" w:sz="4" w:space="0"/>
            </w:tcBorders>
            <w:vAlign w:val="center"/>
          </w:tcPr>
          <w:p w14:paraId="587E8BFC">
            <w:pPr>
              <w:spacing w:line="360" w:lineRule="auto"/>
              <w:jc w:val="both"/>
              <w:rPr>
                <w:rFonts w:hint="eastAsia" w:ascii="宋体" w:hAnsi="宋体" w:eastAsia="宋体" w:cs="宋体"/>
                <w:color w:val="auto"/>
                <w:sz w:val="20"/>
                <w:szCs w:val="20"/>
                <w:highlight w:val="none"/>
              </w:rPr>
            </w:pP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ADF84CA">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缝制线迹上下线吻合、线迹平直，主要部位不应有空针、漏针、跳针</w:t>
            </w:r>
          </w:p>
        </w:tc>
        <w:tc>
          <w:tcPr>
            <w:tcW w:w="2220" w:type="dxa"/>
            <w:vMerge w:val="continue"/>
            <w:tcBorders>
              <w:top w:val="nil"/>
              <w:left w:val="nil"/>
              <w:bottom w:val="single" w:color="000000" w:sz="4" w:space="0"/>
              <w:right w:val="single" w:color="000000" w:sz="4" w:space="0"/>
            </w:tcBorders>
            <w:vAlign w:val="center"/>
          </w:tcPr>
          <w:p w14:paraId="5F1991B4">
            <w:pPr>
              <w:spacing w:line="360" w:lineRule="auto"/>
              <w:jc w:val="both"/>
              <w:rPr>
                <w:rFonts w:hint="eastAsia" w:ascii="宋体" w:hAnsi="宋体" w:eastAsia="宋体" w:cs="宋体"/>
                <w:color w:val="auto"/>
                <w:sz w:val="20"/>
                <w:szCs w:val="20"/>
                <w:highlight w:val="none"/>
              </w:rPr>
            </w:pPr>
          </w:p>
        </w:tc>
      </w:tr>
      <w:tr w14:paraId="3158CE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vMerge w:val="continue"/>
            <w:tcBorders>
              <w:top w:val="nil"/>
              <w:left w:val="single" w:color="000000" w:sz="4" w:space="0"/>
              <w:bottom w:val="single" w:color="000000" w:sz="4" w:space="0"/>
              <w:right w:val="single" w:color="000000" w:sz="4" w:space="0"/>
            </w:tcBorders>
            <w:vAlign w:val="center"/>
          </w:tcPr>
          <w:p w14:paraId="481E6207">
            <w:pPr>
              <w:spacing w:line="360" w:lineRule="auto"/>
              <w:jc w:val="both"/>
              <w:rPr>
                <w:rFonts w:hint="eastAsia" w:ascii="宋体" w:hAnsi="宋体" w:eastAsia="宋体" w:cs="宋体"/>
                <w:color w:val="auto"/>
                <w:sz w:val="20"/>
                <w:szCs w:val="20"/>
                <w:highlight w:val="none"/>
              </w:rPr>
            </w:pP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0008602">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黏合部位牢固，不脱胶：配件安装平服、牢固</w:t>
            </w:r>
          </w:p>
        </w:tc>
        <w:tc>
          <w:tcPr>
            <w:tcW w:w="2220" w:type="dxa"/>
            <w:vMerge w:val="continue"/>
            <w:tcBorders>
              <w:top w:val="nil"/>
              <w:left w:val="nil"/>
              <w:bottom w:val="single" w:color="000000" w:sz="4" w:space="0"/>
              <w:right w:val="single" w:color="000000" w:sz="4" w:space="0"/>
            </w:tcBorders>
            <w:vAlign w:val="center"/>
          </w:tcPr>
          <w:p w14:paraId="34BBC1EB">
            <w:pPr>
              <w:spacing w:line="360" w:lineRule="auto"/>
              <w:jc w:val="both"/>
              <w:rPr>
                <w:rFonts w:hint="eastAsia" w:ascii="宋体" w:hAnsi="宋体" w:eastAsia="宋体" w:cs="宋体"/>
                <w:color w:val="auto"/>
                <w:sz w:val="20"/>
                <w:szCs w:val="20"/>
                <w:highlight w:val="none"/>
              </w:rPr>
            </w:pPr>
          </w:p>
        </w:tc>
      </w:tr>
      <w:tr w14:paraId="302572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vMerge w:val="continue"/>
            <w:tcBorders>
              <w:top w:val="nil"/>
              <w:left w:val="single" w:color="000000" w:sz="4" w:space="0"/>
              <w:bottom w:val="single" w:color="000000" w:sz="4" w:space="0"/>
              <w:right w:val="single" w:color="000000" w:sz="4" w:space="0"/>
            </w:tcBorders>
            <w:vAlign w:val="center"/>
          </w:tcPr>
          <w:p w14:paraId="6CA3B794">
            <w:pPr>
              <w:spacing w:line="360" w:lineRule="auto"/>
              <w:jc w:val="both"/>
              <w:rPr>
                <w:rFonts w:hint="eastAsia" w:ascii="宋体" w:hAnsi="宋体" w:eastAsia="宋体" w:cs="宋体"/>
                <w:color w:val="auto"/>
                <w:sz w:val="20"/>
                <w:szCs w:val="20"/>
                <w:highlight w:val="none"/>
              </w:rPr>
            </w:pP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A2BF5E2">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凹痕压印图案深刻、清晰、醒目，字体规范、直顺</w:t>
            </w:r>
          </w:p>
        </w:tc>
        <w:tc>
          <w:tcPr>
            <w:tcW w:w="2220" w:type="dxa"/>
            <w:vMerge w:val="continue"/>
            <w:tcBorders>
              <w:top w:val="nil"/>
              <w:left w:val="nil"/>
              <w:bottom w:val="single" w:color="000000" w:sz="4" w:space="0"/>
              <w:right w:val="single" w:color="000000" w:sz="4" w:space="0"/>
            </w:tcBorders>
            <w:vAlign w:val="center"/>
          </w:tcPr>
          <w:p w14:paraId="3CE2A782">
            <w:pPr>
              <w:spacing w:line="360" w:lineRule="auto"/>
              <w:jc w:val="both"/>
              <w:rPr>
                <w:rFonts w:hint="eastAsia" w:ascii="宋体" w:hAnsi="宋体" w:eastAsia="宋体" w:cs="宋体"/>
                <w:color w:val="auto"/>
                <w:sz w:val="20"/>
                <w:szCs w:val="20"/>
                <w:highlight w:val="none"/>
              </w:rPr>
            </w:pPr>
          </w:p>
        </w:tc>
      </w:tr>
      <w:tr w14:paraId="35BA5E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vMerge w:val="continue"/>
            <w:tcBorders>
              <w:top w:val="nil"/>
              <w:left w:val="single" w:color="000000" w:sz="4" w:space="0"/>
              <w:bottom w:val="single" w:color="000000" w:sz="4" w:space="0"/>
              <w:right w:val="single" w:color="000000" w:sz="4" w:space="0"/>
            </w:tcBorders>
            <w:vAlign w:val="center"/>
          </w:tcPr>
          <w:p w14:paraId="08D604D6">
            <w:pPr>
              <w:spacing w:line="360" w:lineRule="auto"/>
              <w:jc w:val="both"/>
              <w:rPr>
                <w:rFonts w:hint="eastAsia" w:ascii="宋体" w:hAnsi="宋体" w:eastAsia="宋体" w:cs="宋体"/>
                <w:color w:val="auto"/>
                <w:sz w:val="20"/>
                <w:szCs w:val="20"/>
                <w:highlight w:val="none"/>
              </w:rPr>
            </w:pP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163E648">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识别卡表面平整，无明显划痕，边缘无明显毛刺，印刷无明显瑕疵；底纹色彩自然渐变：头像尺寸和面部比例规范、色彩自然；字体规范、清晰</w:t>
            </w:r>
          </w:p>
        </w:tc>
        <w:tc>
          <w:tcPr>
            <w:tcW w:w="2220" w:type="dxa"/>
            <w:vMerge w:val="continue"/>
            <w:tcBorders>
              <w:top w:val="nil"/>
              <w:left w:val="nil"/>
              <w:bottom w:val="single" w:color="000000" w:sz="4" w:space="0"/>
              <w:right w:val="single" w:color="000000" w:sz="4" w:space="0"/>
            </w:tcBorders>
            <w:vAlign w:val="center"/>
          </w:tcPr>
          <w:p w14:paraId="2BAACC36">
            <w:pPr>
              <w:spacing w:line="360" w:lineRule="auto"/>
              <w:jc w:val="both"/>
              <w:rPr>
                <w:rFonts w:hint="eastAsia" w:ascii="宋体" w:hAnsi="宋体" w:eastAsia="宋体" w:cs="宋体"/>
                <w:color w:val="auto"/>
                <w:sz w:val="20"/>
                <w:szCs w:val="20"/>
                <w:highlight w:val="none"/>
              </w:rPr>
            </w:pPr>
          </w:p>
        </w:tc>
      </w:tr>
      <w:tr w14:paraId="731685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vMerge w:val="continue"/>
            <w:tcBorders>
              <w:top w:val="nil"/>
              <w:left w:val="single" w:color="000000" w:sz="4" w:space="0"/>
              <w:bottom w:val="single" w:color="000000" w:sz="4" w:space="0"/>
              <w:right w:val="single" w:color="000000" w:sz="4" w:space="0"/>
            </w:tcBorders>
            <w:vAlign w:val="center"/>
          </w:tcPr>
          <w:p w14:paraId="3788919E">
            <w:pPr>
              <w:spacing w:line="360" w:lineRule="auto"/>
              <w:jc w:val="both"/>
              <w:rPr>
                <w:rFonts w:hint="eastAsia" w:ascii="宋体" w:hAnsi="宋体" w:eastAsia="宋体" w:cs="宋体"/>
                <w:color w:val="auto"/>
                <w:sz w:val="20"/>
                <w:szCs w:val="20"/>
                <w:highlight w:val="none"/>
              </w:rPr>
            </w:pP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9457E7C">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各要素颜色同标准样品无明显色差</w:t>
            </w:r>
          </w:p>
        </w:tc>
        <w:tc>
          <w:tcPr>
            <w:tcW w:w="2220" w:type="dxa"/>
            <w:vMerge w:val="continue"/>
            <w:tcBorders>
              <w:top w:val="nil"/>
              <w:left w:val="nil"/>
              <w:bottom w:val="single" w:color="000000" w:sz="4" w:space="0"/>
              <w:right w:val="single" w:color="000000" w:sz="4" w:space="0"/>
            </w:tcBorders>
            <w:vAlign w:val="center"/>
          </w:tcPr>
          <w:p w14:paraId="1204F375">
            <w:pPr>
              <w:spacing w:line="360" w:lineRule="auto"/>
              <w:jc w:val="both"/>
              <w:rPr>
                <w:rFonts w:hint="eastAsia" w:ascii="宋体" w:hAnsi="宋体" w:eastAsia="宋体" w:cs="宋体"/>
                <w:color w:val="auto"/>
                <w:sz w:val="20"/>
                <w:szCs w:val="20"/>
                <w:highlight w:val="none"/>
              </w:rPr>
            </w:pPr>
          </w:p>
        </w:tc>
      </w:tr>
      <w:tr w14:paraId="0735F6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CB88CF8">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国徽徽记</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1329994">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整体和各要素平面及纵断面尺寸比例符合《中华人民共和国国徽法》《中华人民共和国国徽制作说明》以及本标准规定，花纹完整、纹路清晰、棱角分明、有立体感</w:t>
            </w:r>
          </w:p>
        </w:tc>
        <w:tc>
          <w:tcPr>
            <w:tcW w:w="222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5C4888F">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根据前述规定，对照法定国徽图案，参照标准样品，以肉眼、放大镜观察，以数显游标卡尺测量</w:t>
            </w:r>
          </w:p>
        </w:tc>
      </w:tr>
      <w:tr w14:paraId="14DB64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6143DB4">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金属字</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A10FF84">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整体尺寸和厚度，以及基础笔画宽度符合本标准规定；颜色同国徽金色无明显色差</w:t>
            </w:r>
          </w:p>
        </w:tc>
        <w:tc>
          <w:tcPr>
            <w:tcW w:w="222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B3B7E94">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肉眼观察，以数显游标卡尺测量</w:t>
            </w:r>
          </w:p>
        </w:tc>
      </w:tr>
      <w:tr w14:paraId="2028C8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E3C806E">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无色荧光防伪</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B068F19">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正常光照下，目视不可见，紫外线灯照射呈蓝色荧光，图案规范，色彩鲜艳</w:t>
            </w:r>
          </w:p>
        </w:tc>
        <w:tc>
          <w:tcPr>
            <w:tcW w:w="222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F11168B">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目视观察，紫外线灯照射</w:t>
            </w:r>
          </w:p>
        </w:tc>
      </w:tr>
      <w:tr w14:paraId="6319D4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0DB607B">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激光全息防伪</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3F1D279">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正常视角不可见，不呈现色彩，变换角度可见，旋转卡体呈黄绿紫三色渐变交替，色彩鲜艳，图案规范</w:t>
            </w:r>
          </w:p>
        </w:tc>
        <w:tc>
          <w:tcPr>
            <w:tcW w:w="222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8EC96A5">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目视观察，以数显游标卡尺测量</w:t>
            </w:r>
          </w:p>
        </w:tc>
      </w:tr>
      <w:tr w14:paraId="2771B0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30D83DE">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缩微字</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92ADB30">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缩微字隐藏融入底纹，色彩自然，不突兀，肉眼不可见；以放大镜观察，字迹完整清晰</w:t>
            </w:r>
          </w:p>
        </w:tc>
        <w:tc>
          <w:tcPr>
            <w:tcW w:w="222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F9F8A55">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以肉眼、放大镜观察</w:t>
            </w:r>
          </w:p>
        </w:tc>
      </w:tr>
      <w:tr w14:paraId="50425D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ECD10A3">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坐标和尺寸</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2126C67">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未注公差符合GB/T 1804-2000《一般公差未注公差的线性和角度尺寸的公差》中V级以上要求</w:t>
            </w:r>
          </w:p>
        </w:tc>
        <w:tc>
          <w:tcPr>
            <w:tcW w:w="222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08C8823">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以数显游标卡尺测量</w:t>
            </w:r>
          </w:p>
        </w:tc>
      </w:tr>
      <w:tr w14:paraId="4E633C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FD4C80E">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国徽徽记颜色</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06ED7BC">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符合GB 15093-2008《国徽》规</w:t>
            </w:r>
            <w:r>
              <w:rPr>
                <w:rFonts w:hint="eastAsia" w:ascii="宋体" w:hAnsi="宋体" w:eastAsia="宋体" w:cs="宋体"/>
                <w:color w:val="auto"/>
                <w:sz w:val="20"/>
                <w:szCs w:val="20"/>
                <w:highlight w:val="none"/>
                <w:lang w:eastAsia="zh-CN"/>
              </w:rPr>
              <w:t>定的</w:t>
            </w:r>
            <w:r>
              <w:rPr>
                <w:rFonts w:hint="eastAsia" w:ascii="宋体" w:hAnsi="宋体" w:eastAsia="宋体" w:cs="宋体"/>
                <w:color w:val="auto"/>
                <w:sz w:val="20"/>
                <w:szCs w:val="20"/>
                <w:highlight w:val="none"/>
              </w:rPr>
              <w:t>误差范围</w:t>
            </w:r>
          </w:p>
        </w:tc>
        <w:tc>
          <w:tcPr>
            <w:tcW w:w="222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9F14ACB">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GB 15093-2008《国徽》</w:t>
            </w:r>
          </w:p>
        </w:tc>
      </w:tr>
      <w:tr w14:paraId="269D06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A7CC8B0">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国徽徽记和金属 字耐腐蚀</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4E1A598">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正面和侧面24小时主要表面无锈蚀</w:t>
            </w:r>
          </w:p>
        </w:tc>
        <w:tc>
          <w:tcPr>
            <w:tcW w:w="222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290A47D">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GB/T 10125-2021</w:t>
            </w:r>
            <w:r>
              <w:rPr>
                <w:rFonts w:hint="eastAsia" w:ascii="宋体" w:hAnsi="宋体" w:eastAsia="宋体" w:cs="宋体"/>
                <w:color w:val="auto"/>
                <w:sz w:val="20"/>
                <w:szCs w:val="20"/>
                <w:highlight w:val="none"/>
              </w:rPr>
              <w:t>《人造气氛腐蚀试验盐雾试验》</w:t>
            </w:r>
          </w:p>
        </w:tc>
      </w:tr>
      <w:tr w14:paraId="4813F4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9C8BA15">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皮革材质</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566D672">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牛皮革或牛剖层皮革≥t 1.0mm</w:t>
            </w:r>
          </w:p>
        </w:tc>
        <w:tc>
          <w:tcPr>
            <w:tcW w:w="222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7A20D36">
            <w:pPr>
              <w:pStyle w:val="4"/>
              <w:spacing w:after="75"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GB/T 38408-2019《皮革</w:t>
            </w:r>
          </w:p>
          <w:p w14:paraId="1298F261">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材质鉴别显微镜法》</w:t>
            </w:r>
          </w:p>
        </w:tc>
      </w:tr>
      <w:tr w14:paraId="2F078E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11F194C">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皮革耐摩擦色牢 度（干摩、湿摩）</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B89B705">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≥4级</w:t>
            </w:r>
          </w:p>
        </w:tc>
        <w:tc>
          <w:tcPr>
            <w:tcW w:w="222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13E5AAC">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GJB 2589.8-1996《军用皮革毛皮理化性能试验方法颜色牢度的测定》</w:t>
            </w:r>
          </w:p>
        </w:tc>
      </w:tr>
      <w:tr w14:paraId="4D7CB6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590435D">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皮革撕裂强度</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7573504">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≥30N</w:t>
            </w:r>
          </w:p>
        </w:tc>
        <w:tc>
          <w:tcPr>
            <w:tcW w:w="222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0F6BEB0">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GJB 2589.4-1996《军用皮革毛皮理化性能试验方法撕裂强度的测定》</w:t>
            </w:r>
          </w:p>
        </w:tc>
      </w:tr>
      <w:tr w14:paraId="7465A5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B26F33D">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皮革拉伸强度</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B1D7786">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≥3N/mm2</w:t>
            </w:r>
          </w:p>
        </w:tc>
        <w:tc>
          <w:tcPr>
            <w:tcW w:w="222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64B0052">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QB/T 2710-2018</w:t>
            </w:r>
            <w:r>
              <w:rPr>
                <w:rFonts w:hint="eastAsia" w:ascii="宋体" w:hAnsi="宋体" w:eastAsia="宋体" w:cs="宋体"/>
                <w:color w:val="auto"/>
                <w:sz w:val="20"/>
                <w:szCs w:val="20"/>
                <w:highlight w:val="none"/>
              </w:rPr>
              <w:t>《皮革物理和机械试验抗张强度和伸长率的测定》</w:t>
            </w:r>
          </w:p>
        </w:tc>
      </w:tr>
      <w:tr w14:paraId="60F861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566FD93">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皮革断裂伸长率</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0903699">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≥50%</w:t>
            </w:r>
          </w:p>
        </w:tc>
        <w:tc>
          <w:tcPr>
            <w:tcW w:w="222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1011ECC">
            <w:pPr>
              <w:pStyle w:val="4"/>
              <w:spacing w:line="360" w:lineRule="auto"/>
              <w:jc w:val="both"/>
              <w:rPr>
                <w:rFonts w:hint="eastAsia" w:ascii="宋体" w:hAnsi="宋体" w:eastAsia="宋体" w:cs="宋体"/>
                <w:color w:val="auto"/>
                <w:sz w:val="20"/>
                <w:szCs w:val="20"/>
                <w:highlight w:val="none"/>
              </w:rPr>
            </w:pPr>
          </w:p>
        </w:tc>
      </w:tr>
      <w:tr w14:paraId="37AC3E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2EBFE70">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皮革耐折牢度 （纵向、横向）</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6004DA3">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50000次无异常</w:t>
            </w:r>
          </w:p>
        </w:tc>
        <w:tc>
          <w:tcPr>
            <w:tcW w:w="222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E938877">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QB/T 2714-2018</w:t>
            </w:r>
            <w:r>
              <w:rPr>
                <w:rFonts w:hint="eastAsia" w:ascii="宋体" w:hAnsi="宋体" w:eastAsia="宋体" w:cs="宋体"/>
                <w:color w:val="auto"/>
                <w:sz w:val="20"/>
                <w:szCs w:val="20"/>
                <w:highlight w:val="none"/>
              </w:rPr>
              <w:t>《皮革物理和机械试验耐折牢度的测定》</w:t>
            </w:r>
          </w:p>
        </w:tc>
      </w:tr>
      <w:tr w14:paraId="1E4ADB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5A962FC">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涤纶缝纫线断裂强力阻力</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3DB1595">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≥2.9X10</w:t>
            </w:r>
            <w:r>
              <w:rPr>
                <w:rFonts w:hint="eastAsia" w:ascii="宋体" w:hAnsi="宋体" w:eastAsia="宋体" w:cs="宋体"/>
                <w:color w:val="auto"/>
                <w:sz w:val="20"/>
                <w:szCs w:val="20"/>
                <w:highlight w:val="none"/>
                <w:vertAlign w:val="superscript"/>
              </w:rPr>
              <w:t>3</w:t>
            </w:r>
            <w:r>
              <w:rPr>
                <w:rFonts w:hint="eastAsia" w:ascii="宋体" w:hAnsi="宋体" w:eastAsia="宋体" w:cs="宋体"/>
                <w:color w:val="auto"/>
                <w:sz w:val="20"/>
                <w:szCs w:val="20"/>
                <w:highlight w:val="none"/>
              </w:rPr>
              <w:t xml:space="preserve"> cN</w:t>
            </w:r>
          </w:p>
        </w:tc>
        <w:tc>
          <w:tcPr>
            <w:tcW w:w="222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E924D02">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GB/T 3916-2013《纺织品卷装纱单根纱线断裂强力和断裂伸长率的测定（CRE法）》</w:t>
            </w:r>
          </w:p>
        </w:tc>
      </w:tr>
      <w:tr w14:paraId="2A2A04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7174305">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有害物质限量</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C3A72B9">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达到B类（直接接触皮肤的产品）限量标准</w:t>
            </w:r>
          </w:p>
        </w:tc>
        <w:tc>
          <w:tcPr>
            <w:tcW w:w="222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EF2981B">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GB 20400-2006《皮革和皮毛有害物质限量》</w:t>
            </w:r>
          </w:p>
        </w:tc>
      </w:tr>
      <w:tr w14:paraId="02C569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8865D2D">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卡外观</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9306C14">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卡片外观没有明显形变、凹凸不平，卡片上没有孔、坑、损伤、破裂、划伤、磨毛、热合亮斑等；印刷表面没有明显色斑、条纹，图案或文字没有明显重影、毛刺或缺损</w:t>
            </w:r>
          </w:p>
        </w:tc>
        <w:tc>
          <w:tcPr>
            <w:tcW w:w="2220" w:type="dxa"/>
            <w:vMerge w:val="restart"/>
            <w:tcBorders>
              <w:top w:val="nil"/>
              <w:left w:val="nil"/>
              <w:bottom w:val="single" w:color="000000" w:sz="4" w:space="0"/>
              <w:right w:val="single" w:color="000000" w:sz="4" w:space="0"/>
            </w:tcBorders>
            <w:tcMar>
              <w:top w:w="0" w:type="dxa"/>
              <w:left w:w="105" w:type="dxa"/>
              <w:bottom w:w="0" w:type="dxa"/>
              <w:right w:w="105" w:type="dxa"/>
            </w:tcMar>
            <w:vAlign w:val="center"/>
          </w:tcPr>
          <w:p w14:paraId="461C5496">
            <w:pPr>
              <w:pStyle w:val="4"/>
              <w:spacing w:after="75" w:line="360" w:lineRule="auto"/>
              <w:jc w:val="both"/>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GB/T 14916-2022</w:t>
            </w:r>
          </w:p>
          <w:p w14:paraId="1ECAA601">
            <w:pPr>
              <w:pStyle w:val="4"/>
              <w:spacing w:after="75"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《识别卡物理特性》；</w:t>
            </w:r>
          </w:p>
          <w:p w14:paraId="08809FE7">
            <w:pPr>
              <w:pStyle w:val="4"/>
              <w:spacing w:after="75"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GB/T 17554.1-2006</w:t>
            </w:r>
          </w:p>
          <w:p w14:paraId="6ADC30C6">
            <w:pPr>
              <w:pStyle w:val="4"/>
              <w:spacing w:after="75" w:line="360" w:lineRule="auto"/>
              <w:ind w:firstLine="1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《识别卡测试方法第</w:t>
            </w:r>
          </w:p>
          <w:p w14:paraId="55245290">
            <w:pPr>
              <w:pStyle w:val="4"/>
              <w:spacing w:after="75"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1部分：一般特性测试》</w:t>
            </w:r>
          </w:p>
        </w:tc>
      </w:tr>
      <w:tr w14:paraId="728DBB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175EF01">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识别卡宽度</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83DDF27">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53.92mm-54.03mm</w:t>
            </w:r>
          </w:p>
        </w:tc>
        <w:tc>
          <w:tcPr>
            <w:tcW w:w="2220" w:type="dxa"/>
            <w:vMerge w:val="continue"/>
            <w:tcBorders>
              <w:top w:val="nil"/>
              <w:left w:val="nil"/>
              <w:bottom w:val="single" w:color="000000" w:sz="4" w:space="0"/>
              <w:right w:val="single" w:color="000000" w:sz="4" w:space="0"/>
            </w:tcBorders>
            <w:vAlign w:val="center"/>
          </w:tcPr>
          <w:p w14:paraId="79251237">
            <w:pPr>
              <w:spacing w:line="360" w:lineRule="auto"/>
              <w:jc w:val="both"/>
              <w:rPr>
                <w:rFonts w:hint="eastAsia" w:ascii="宋体" w:hAnsi="宋体" w:eastAsia="宋体" w:cs="宋体"/>
                <w:color w:val="auto"/>
                <w:sz w:val="20"/>
                <w:szCs w:val="20"/>
                <w:highlight w:val="none"/>
              </w:rPr>
            </w:pPr>
          </w:p>
        </w:tc>
      </w:tr>
      <w:tr w14:paraId="0B5C24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EF3EC06">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识别卡高度</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5DDB22F">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85.47mm-85.72mm</w:t>
            </w:r>
          </w:p>
        </w:tc>
        <w:tc>
          <w:tcPr>
            <w:tcW w:w="2220" w:type="dxa"/>
            <w:vMerge w:val="continue"/>
            <w:tcBorders>
              <w:top w:val="nil"/>
              <w:left w:val="nil"/>
              <w:bottom w:val="single" w:color="000000" w:sz="4" w:space="0"/>
              <w:right w:val="single" w:color="000000" w:sz="4" w:space="0"/>
            </w:tcBorders>
            <w:vAlign w:val="center"/>
          </w:tcPr>
          <w:p w14:paraId="0FCF3D8B">
            <w:pPr>
              <w:spacing w:line="360" w:lineRule="auto"/>
              <w:jc w:val="both"/>
              <w:rPr>
                <w:rFonts w:hint="eastAsia" w:ascii="宋体" w:hAnsi="宋体" w:eastAsia="宋体" w:cs="宋体"/>
                <w:color w:val="auto"/>
                <w:sz w:val="20"/>
                <w:szCs w:val="20"/>
                <w:highlight w:val="none"/>
              </w:rPr>
            </w:pPr>
          </w:p>
        </w:tc>
      </w:tr>
      <w:tr w14:paraId="473B38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E654268">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识别卡厚度</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F8482B3">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1.0mm-1.3mm</w:t>
            </w:r>
          </w:p>
        </w:tc>
        <w:tc>
          <w:tcPr>
            <w:tcW w:w="2220" w:type="dxa"/>
            <w:vMerge w:val="continue"/>
            <w:tcBorders>
              <w:top w:val="nil"/>
              <w:left w:val="nil"/>
              <w:bottom w:val="single" w:color="000000" w:sz="4" w:space="0"/>
              <w:right w:val="single" w:color="000000" w:sz="4" w:space="0"/>
            </w:tcBorders>
            <w:vAlign w:val="center"/>
          </w:tcPr>
          <w:p w14:paraId="5A5F9E42">
            <w:pPr>
              <w:spacing w:line="360" w:lineRule="auto"/>
              <w:jc w:val="both"/>
              <w:rPr>
                <w:rFonts w:hint="eastAsia" w:ascii="宋体" w:hAnsi="宋体" w:eastAsia="宋体" w:cs="宋体"/>
                <w:color w:val="auto"/>
                <w:sz w:val="20"/>
                <w:szCs w:val="20"/>
                <w:highlight w:val="none"/>
              </w:rPr>
            </w:pPr>
          </w:p>
        </w:tc>
      </w:tr>
      <w:tr w14:paraId="1335130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1F88A08">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圆角尺寸</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33ECFC6">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卡的倒角为呈半径3.18±0.3mm的圆弧</w:t>
            </w:r>
          </w:p>
        </w:tc>
        <w:tc>
          <w:tcPr>
            <w:tcW w:w="2220" w:type="dxa"/>
            <w:vMerge w:val="continue"/>
            <w:tcBorders>
              <w:top w:val="nil"/>
              <w:left w:val="nil"/>
              <w:bottom w:val="single" w:color="000000" w:sz="4" w:space="0"/>
              <w:right w:val="single" w:color="000000" w:sz="4" w:space="0"/>
            </w:tcBorders>
            <w:vAlign w:val="center"/>
          </w:tcPr>
          <w:p w14:paraId="6A6153D4">
            <w:pPr>
              <w:spacing w:line="360" w:lineRule="auto"/>
              <w:jc w:val="both"/>
              <w:rPr>
                <w:rFonts w:hint="eastAsia" w:ascii="宋体" w:hAnsi="宋体" w:eastAsia="宋体" w:cs="宋体"/>
                <w:color w:val="auto"/>
                <w:sz w:val="20"/>
                <w:szCs w:val="20"/>
                <w:highlight w:val="none"/>
              </w:rPr>
            </w:pPr>
          </w:p>
        </w:tc>
      </w:tr>
      <w:tr w14:paraId="0DF273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5106C9F">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标识卡边缘</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A178DE8">
            <w:pPr>
              <w:pStyle w:val="4"/>
              <w:spacing w:after="60"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卡表面的边缘毛刺不超过卡表面的0.08mm</w:t>
            </w:r>
          </w:p>
        </w:tc>
        <w:tc>
          <w:tcPr>
            <w:tcW w:w="2220" w:type="dxa"/>
            <w:vMerge w:val="continue"/>
            <w:tcBorders>
              <w:top w:val="nil"/>
              <w:left w:val="nil"/>
              <w:bottom w:val="single" w:color="000000" w:sz="4" w:space="0"/>
              <w:right w:val="single" w:color="000000" w:sz="4" w:space="0"/>
            </w:tcBorders>
            <w:vAlign w:val="center"/>
          </w:tcPr>
          <w:p w14:paraId="626858E4">
            <w:pPr>
              <w:spacing w:line="360" w:lineRule="auto"/>
              <w:jc w:val="both"/>
              <w:rPr>
                <w:rFonts w:hint="eastAsia" w:ascii="宋体" w:hAnsi="宋体" w:eastAsia="宋体" w:cs="宋体"/>
                <w:color w:val="auto"/>
                <w:sz w:val="20"/>
                <w:szCs w:val="20"/>
                <w:highlight w:val="none"/>
              </w:rPr>
            </w:pPr>
          </w:p>
        </w:tc>
      </w:tr>
      <w:tr w14:paraId="2130CE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CC6122F">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识别卡全卡</w:t>
            </w:r>
          </w:p>
          <w:p w14:paraId="05FF6BFB">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翘曲</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AB5F69E">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≤1.5mm （包括卡厚度）</w:t>
            </w:r>
          </w:p>
        </w:tc>
        <w:tc>
          <w:tcPr>
            <w:tcW w:w="2220" w:type="dxa"/>
            <w:vMerge w:val="continue"/>
            <w:tcBorders>
              <w:top w:val="nil"/>
              <w:left w:val="nil"/>
              <w:bottom w:val="single" w:color="000000" w:sz="4" w:space="0"/>
              <w:right w:val="single" w:color="000000" w:sz="4" w:space="0"/>
            </w:tcBorders>
            <w:vAlign w:val="center"/>
          </w:tcPr>
          <w:p w14:paraId="2F7F2B06">
            <w:pPr>
              <w:spacing w:line="360" w:lineRule="auto"/>
              <w:jc w:val="both"/>
              <w:rPr>
                <w:rFonts w:hint="eastAsia" w:ascii="宋体" w:hAnsi="宋体" w:eastAsia="宋体" w:cs="宋体"/>
                <w:color w:val="auto"/>
                <w:sz w:val="20"/>
                <w:szCs w:val="20"/>
                <w:highlight w:val="none"/>
              </w:rPr>
            </w:pPr>
          </w:p>
        </w:tc>
      </w:tr>
      <w:tr w14:paraId="769A68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9F8D88A">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识别卡弯曲</w:t>
            </w:r>
          </w:p>
          <w:p w14:paraId="18B4A311">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韧性</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AB533BE">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卡恢复初始平面状态（偏移≤1.5mm）</w:t>
            </w:r>
          </w:p>
        </w:tc>
        <w:tc>
          <w:tcPr>
            <w:tcW w:w="2220" w:type="dxa"/>
            <w:vMerge w:val="continue"/>
            <w:tcBorders>
              <w:top w:val="nil"/>
              <w:left w:val="nil"/>
              <w:bottom w:val="single" w:color="000000" w:sz="4" w:space="0"/>
              <w:right w:val="single" w:color="000000" w:sz="4" w:space="0"/>
            </w:tcBorders>
            <w:vAlign w:val="center"/>
          </w:tcPr>
          <w:p w14:paraId="3B3A3274">
            <w:pPr>
              <w:spacing w:line="360" w:lineRule="auto"/>
              <w:jc w:val="both"/>
              <w:rPr>
                <w:rFonts w:hint="eastAsia" w:ascii="宋体" w:hAnsi="宋体" w:eastAsia="宋体" w:cs="宋体"/>
                <w:color w:val="auto"/>
                <w:sz w:val="20"/>
                <w:szCs w:val="20"/>
                <w:highlight w:val="none"/>
              </w:rPr>
            </w:pPr>
          </w:p>
        </w:tc>
      </w:tr>
      <w:tr w14:paraId="0B3AD6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8D7F008">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识别卡剥离</w:t>
            </w:r>
          </w:p>
          <w:p w14:paraId="45F0044B">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强度</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0F301AF">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≥0.35N/mm</w:t>
            </w:r>
          </w:p>
        </w:tc>
        <w:tc>
          <w:tcPr>
            <w:tcW w:w="2220" w:type="dxa"/>
            <w:vMerge w:val="continue"/>
            <w:tcBorders>
              <w:top w:val="nil"/>
              <w:left w:val="nil"/>
              <w:bottom w:val="single" w:color="000000" w:sz="4" w:space="0"/>
              <w:right w:val="single" w:color="000000" w:sz="4" w:space="0"/>
            </w:tcBorders>
            <w:vAlign w:val="center"/>
          </w:tcPr>
          <w:p w14:paraId="447AA0AB">
            <w:pPr>
              <w:spacing w:line="360" w:lineRule="auto"/>
              <w:jc w:val="both"/>
              <w:rPr>
                <w:rFonts w:hint="eastAsia" w:ascii="宋体" w:hAnsi="宋体" w:eastAsia="宋体" w:cs="宋体"/>
                <w:color w:val="auto"/>
                <w:sz w:val="20"/>
                <w:szCs w:val="20"/>
                <w:highlight w:val="none"/>
              </w:rPr>
            </w:pPr>
          </w:p>
        </w:tc>
      </w:tr>
      <w:tr w14:paraId="655743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DD5EB52">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识别卡抗热度</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ABD75D5">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不表现出偏差大于10mm、分层或褪色   </w:t>
            </w:r>
            <w:r>
              <w:rPr>
                <w:rFonts w:hint="eastAsia" w:ascii="宋体" w:hAnsi="宋体" w:eastAsia="宋体" w:cs="宋体"/>
                <w:b/>
                <w:color w:val="auto"/>
                <w:sz w:val="20"/>
                <w:szCs w:val="20"/>
                <w:highlight w:val="none"/>
              </w:rPr>
              <w:t>≥100℃</w:t>
            </w:r>
          </w:p>
        </w:tc>
        <w:tc>
          <w:tcPr>
            <w:tcW w:w="2220" w:type="dxa"/>
            <w:vMerge w:val="continue"/>
            <w:tcBorders>
              <w:top w:val="nil"/>
              <w:left w:val="nil"/>
              <w:bottom w:val="single" w:color="000000" w:sz="4" w:space="0"/>
              <w:right w:val="single" w:color="000000" w:sz="4" w:space="0"/>
            </w:tcBorders>
            <w:vAlign w:val="center"/>
          </w:tcPr>
          <w:p w14:paraId="790FC624">
            <w:pPr>
              <w:spacing w:line="360" w:lineRule="auto"/>
              <w:jc w:val="both"/>
              <w:rPr>
                <w:rFonts w:hint="eastAsia" w:ascii="宋体" w:hAnsi="宋体" w:eastAsia="宋体" w:cs="宋体"/>
                <w:color w:val="auto"/>
                <w:sz w:val="20"/>
                <w:szCs w:val="20"/>
                <w:highlight w:val="none"/>
              </w:rPr>
            </w:pPr>
          </w:p>
        </w:tc>
      </w:tr>
      <w:tr w14:paraId="5D0466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245AF1E">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识别卡抗</w:t>
            </w:r>
          </w:p>
          <w:p w14:paraId="7B200D4F">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紫外线</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AA1ADFD">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无有害影响（外观完好）</w:t>
            </w:r>
          </w:p>
        </w:tc>
        <w:tc>
          <w:tcPr>
            <w:tcW w:w="2220" w:type="dxa"/>
            <w:vMerge w:val="continue"/>
            <w:tcBorders>
              <w:top w:val="nil"/>
              <w:left w:val="nil"/>
              <w:bottom w:val="single" w:color="000000" w:sz="4" w:space="0"/>
              <w:right w:val="single" w:color="000000" w:sz="4" w:space="0"/>
            </w:tcBorders>
            <w:vAlign w:val="center"/>
          </w:tcPr>
          <w:p w14:paraId="4BA60A1C">
            <w:pPr>
              <w:spacing w:line="360" w:lineRule="auto"/>
              <w:jc w:val="both"/>
              <w:rPr>
                <w:rFonts w:hint="eastAsia" w:ascii="宋体" w:hAnsi="宋体" w:eastAsia="宋体" w:cs="宋体"/>
                <w:color w:val="auto"/>
                <w:sz w:val="20"/>
                <w:szCs w:val="20"/>
                <w:highlight w:val="none"/>
              </w:rPr>
            </w:pPr>
          </w:p>
        </w:tc>
      </w:tr>
      <w:tr w14:paraId="6E0BC0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B08D7A7">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识别卡温度和湿 度条件下尺寸稳定性和翘曲</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A237B5B">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符合尺寸和翘曲</w:t>
            </w:r>
          </w:p>
        </w:tc>
        <w:tc>
          <w:tcPr>
            <w:tcW w:w="2220" w:type="dxa"/>
            <w:vMerge w:val="continue"/>
            <w:tcBorders>
              <w:top w:val="nil"/>
              <w:left w:val="nil"/>
              <w:bottom w:val="single" w:color="000000" w:sz="4" w:space="0"/>
              <w:right w:val="single" w:color="000000" w:sz="4" w:space="0"/>
            </w:tcBorders>
            <w:vAlign w:val="center"/>
          </w:tcPr>
          <w:p w14:paraId="53E8E851">
            <w:pPr>
              <w:spacing w:line="360" w:lineRule="auto"/>
              <w:jc w:val="both"/>
              <w:rPr>
                <w:rFonts w:hint="eastAsia" w:ascii="宋体" w:hAnsi="宋体" w:eastAsia="宋体" w:cs="宋体"/>
                <w:color w:val="auto"/>
                <w:sz w:val="20"/>
                <w:szCs w:val="20"/>
                <w:highlight w:val="none"/>
              </w:rPr>
            </w:pPr>
          </w:p>
        </w:tc>
      </w:tr>
      <w:tr w14:paraId="23400E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3D4055B">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识别卡粘连或并块</w:t>
            </w:r>
          </w:p>
        </w:tc>
        <w:tc>
          <w:tcPr>
            <w:tcW w:w="431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24A7929">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不显示出受到不利影响</w:t>
            </w:r>
          </w:p>
        </w:tc>
        <w:tc>
          <w:tcPr>
            <w:tcW w:w="2220" w:type="dxa"/>
            <w:vMerge w:val="continue"/>
            <w:tcBorders>
              <w:top w:val="nil"/>
              <w:left w:val="nil"/>
              <w:bottom w:val="single" w:color="000000" w:sz="4" w:space="0"/>
              <w:right w:val="single" w:color="000000" w:sz="4" w:space="0"/>
            </w:tcBorders>
            <w:vAlign w:val="center"/>
          </w:tcPr>
          <w:p w14:paraId="636F668A">
            <w:pPr>
              <w:spacing w:line="360" w:lineRule="auto"/>
              <w:jc w:val="both"/>
              <w:rPr>
                <w:rFonts w:hint="eastAsia" w:ascii="宋体" w:hAnsi="宋体" w:eastAsia="宋体" w:cs="宋体"/>
                <w:color w:val="auto"/>
                <w:sz w:val="20"/>
                <w:szCs w:val="20"/>
                <w:highlight w:val="none"/>
              </w:rPr>
            </w:pPr>
          </w:p>
        </w:tc>
      </w:tr>
    </w:tbl>
    <w:p w14:paraId="3D2478B9">
      <w:pPr>
        <w:pStyle w:val="4"/>
        <w:spacing w:line="360" w:lineRule="auto"/>
        <w:ind w:firstLine="482"/>
        <w:jc w:val="both"/>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6、样品要求</w:t>
      </w:r>
    </w:p>
    <w:p w14:paraId="39E8176A">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6.1 供应商须按采购内容及要求、评审内容及分值构成要求提供2套样品（每套包括1个皮夹、1个识别卡</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含防伪标识，投标人现场携带</w:t>
      </w:r>
      <w:r>
        <w:rPr>
          <w:rFonts w:hint="eastAsia" w:ascii="宋体" w:hAnsi="宋体" w:eastAsia="宋体" w:cs="宋体"/>
          <w:color w:val="auto"/>
          <w:sz w:val="20"/>
          <w:szCs w:val="20"/>
          <w:highlight w:val="none"/>
        </w:rPr>
        <w:t>紫外线灯</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、1个佩戴式卡套、1条挂绳）。</w:t>
      </w:r>
    </w:p>
    <w:p w14:paraId="71211A7B">
      <w:pPr>
        <w:pStyle w:val="4"/>
        <w:spacing w:line="360" w:lineRule="auto"/>
        <w:ind w:firstLine="48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6.2 样品</w:t>
      </w:r>
      <w:r>
        <w:rPr>
          <w:rFonts w:hint="eastAsia" w:ascii="宋体" w:hAnsi="宋体" w:eastAsia="宋体" w:cs="宋体"/>
          <w:color w:val="auto"/>
          <w:sz w:val="20"/>
          <w:szCs w:val="20"/>
          <w:highlight w:val="none"/>
          <w:lang w:val="en-US" w:eastAsia="zh-CN"/>
        </w:rPr>
        <w:t>递交</w:t>
      </w:r>
      <w:r>
        <w:rPr>
          <w:rFonts w:hint="eastAsia" w:ascii="宋体" w:hAnsi="宋体" w:eastAsia="宋体" w:cs="宋体"/>
          <w:color w:val="auto"/>
          <w:sz w:val="20"/>
          <w:szCs w:val="20"/>
          <w:highlight w:val="none"/>
        </w:rPr>
        <w:t>要求：</w:t>
      </w:r>
    </w:p>
    <w:p w14:paraId="0EC6319A">
      <w:pPr>
        <w:pStyle w:val="4"/>
        <w:spacing w:line="360" w:lineRule="auto"/>
        <w:ind w:firstLine="400" w:firstLineChars="200"/>
        <w:jc w:val="both"/>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val="en-US" w:eastAsia="zh-CN"/>
        </w:rPr>
        <w:t>递交</w:t>
      </w:r>
      <w:r>
        <w:rPr>
          <w:rFonts w:hint="eastAsia" w:ascii="宋体" w:hAnsi="宋体" w:eastAsia="宋体" w:cs="宋体"/>
          <w:color w:val="auto"/>
          <w:sz w:val="20"/>
          <w:szCs w:val="20"/>
          <w:highlight w:val="none"/>
        </w:rPr>
        <w:t>样品截止时间：投标文件截止时间</w:t>
      </w:r>
      <w:r>
        <w:rPr>
          <w:rFonts w:hint="eastAsia" w:ascii="宋体" w:hAnsi="宋体" w:eastAsia="宋体" w:cs="宋体"/>
          <w:color w:val="auto"/>
          <w:sz w:val="20"/>
          <w:szCs w:val="20"/>
          <w:highlight w:val="none"/>
          <w:lang w:val="en-US" w:eastAsia="zh-CN"/>
        </w:rPr>
        <w:t>当天</w:t>
      </w:r>
      <w:r>
        <w:rPr>
          <w:rFonts w:hint="eastAsia" w:ascii="宋体" w:hAnsi="宋体" w:eastAsia="宋体" w:cs="宋体"/>
          <w:color w:val="auto"/>
          <w:sz w:val="20"/>
          <w:szCs w:val="20"/>
          <w:highlight w:val="none"/>
        </w:rPr>
        <w:t>，逾期未交的，视为放弃递交样品</w:t>
      </w:r>
      <w:r>
        <w:rPr>
          <w:rFonts w:hint="eastAsia" w:ascii="宋体" w:hAnsi="宋体" w:eastAsia="宋体" w:cs="宋体"/>
          <w:color w:val="auto"/>
          <w:sz w:val="20"/>
          <w:szCs w:val="20"/>
          <w:highlight w:val="none"/>
          <w:lang w:eastAsia="zh-CN"/>
        </w:rPr>
        <w:t>；</w:t>
      </w:r>
    </w:p>
    <w:p w14:paraId="4A510678">
      <w:pPr>
        <w:pStyle w:val="4"/>
        <w:spacing w:line="360" w:lineRule="auto"/>
        <w:ind w:firstLine="400" w:firstLineChars="200"/>
        <w:jc w:val="both"/>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（2）样品递交地点：陕西省西安市雁塔区雁翔路111号赛格·中京坊公寓A一单元二层</w:t>
      </w:r>
      <w:r>
        <w:rPr>
          <w:rFonts w:hint="eastAsia" w:ascii="宋体" w:hAnsi="宋体" w:eastAsia="宋体" w:cs="宋体"/>
          <w:color w:val="auto"/>
          <w:sz w:val="20"/>
          <w:szCs w:val="20"/>
          <w:highlight w:val="none"/>
          <w:lang w:val="en-US" w:eastAsia="zh-CN"/>
        </w:rPr>
        <w:t>第二会议室</w:t>
      </w:r>
      <w:r>
        <w:rPr>
          <w:rFonts w:hint="eastAsia" w:ascii="宋体" w:hAnsi="宋体" w:eastAsia="宋体" w:cs="宋体"/>
          <w:color w:val="auto"/>
          <w:sz w:val="20"/>
          <w:szCs w:val="20"/>
          <w:highlight w:val="none"/>
          <w:lang w:eastAsia="zh-CN"/>
        </w:rPr>
        <w:t>；</w:t>
      </w:r>
    </w:p>
    <w:p w14:paraId="0C315421">
      <w:pPr>
        <w:pStyle w:val="4"/>
        <w:spacing w:line="360" w:lineRule="auto"/>
        <w:ind w:firstLine="400" w:firstLineChars="20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（3）样品需要统一密封在一个箱子或档案袋内（非透明、非易碎包装）</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外包装标识：项目名称、项目编号、投标人名称；</w:t>
      </w:r>
    </w:p>
    <w:p w14:paraId="25F0801C">
      <w:pPr>
        <w:pStyle w:val="4"/>
        <w:spacing w:line="360" w:lineRule="auto"/>
        <w:ind w:firstLine="400" w:firstLineChars="20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（4）投标人提供样品时，同时递交单独的纸质样品清单（格式见附件）；</w:t>
      </w:r>
    </w:p>
    <w:p w14:paraId="4D1918D6">
      <w:pPr>
        <w:pStyle w:val="4"/>
        <w:spacing w:after="120" w:line="360" w:lineRule="auto"/>
        <w:ind w:firstLine="400" w:firstLineChars="20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（5）样品在开标</w:t>
      </w:r>
      <w:r>
        <w:rPr>
          <w:rFonts w:hint="eastAsia" w:ascii="宋体" w:hAnsi="宋体" w:eastAsia="宋体" w:cs="宋体"/>
          <w:color w:val="auto"/>
          <w:sz w:val="20"/>
          <w:szCs w:val="20"/>
          <w:highlight w:val="none"/>
          <w:lang w:val="en-US" w:eastAsia="zh-CN"/>
        </w:rPr>
        <w:t>会议</w:t>
      </w:r>
      <w:r>
        <w:rPr>
          <w:rFonts w:hint="eastAsia" w:ascii="宋体" w:hAnsi="宋体" w:eastAsia="宋体" w:cs="宋体"/>
          <w:color w:val="auto"/>
          <w:sz w:val="20"/>
          <w:szCs w:val="20"/>
          <w:highlight w:val="none"/>
        </w:rPr>
        <w:t>结束后统一封存，公示期结束后，未中标单位可领取样品，中标人的样品由采购人保存，作为供货验收的依据。</w:t>
      </w:r>
    </w:p>
    <w:p w14:paraId="13B60676">
      <w:pPr>
        <w:pStyle w:val="4"/>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附件：</w:t>
      </w:r>
    </w:p>
    <w:p w14:paraId="4E0AC418">
      <w:pPr>
        <w:pStyle w:val="4"/>
        <w:spacing w:line="360" w:lineRule="auto"/>
        <w:ind w:firstLine="1004" w:firstLineChars="500"/>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陕西省司法厅2025年行政执法证件制作项目</w:t>
      </w:r>
    </w:p>
    <w:p w14:paraId="122F7C04">
      <w:pPr>
        <w:pStyle w:val="4"/>
        <w:spacing w:line="360" w:lineRule="auto"/>
        <w:ind w:firstLine="1004" w:firstLineChars="500"/>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样品清单</w:t>
      </w:r>
    </w:p>
    <w:tbl>
      <w:tblPr>
        <w:tblStyle w:val="2"/>
        <w:tblW w:w="0" w:type="auto"/>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284"/>
        <w:gridCol w:w="2940"/>
        <w:gridCol w:w="1915"/>
      </w:tblGrid>
      <w:tr w14:paraId="14D2D80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8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44822E8">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序号</w:t>
            </w:r>
          </w:p>
        </w:tc>
        <w:tc>
          <w:tcPr>
            <w:tcW w:w="2940"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4070832B">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产品名称</w:t>
            </w:r>
          </w:p>
        </w:tc>
        <w:tc>
          <w:tcPr>
            <w:tcW w:w="1915"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63AADBDD">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数量</w:t>
            </w:r>
          </w:p>
        </w:tc>
      </w:tr>
      <w:tr w14:paraId="4DCD4F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8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424871D">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p>
        </w:tc>
        <w:tc>
          <w:tcPr>
            <w:tcW w:w="2940" w:type="dxa"/>
            <w:tcBorders>
              <w:top w:val="nil"/>
              <w:left w:val="nil"/>
              <w:bottom w:val="single" w:color="000000" w:sz="4" w:space="0"/>
              <w:right w:val="single" w:color="000000" w:sz="4" w:space="0"/>
            </w:tcBorders>
            <w:tcMar>
              <w:top w:w="0" w:type="dxa"/>
              <w:left w:w="105" w:type="dxa"/>
              <w:bottom w:w="0" w:type="dxa"/>
              <w:right w:w="105" w:type="dxa"/>
            </w:tcMar>
          </w:tcPr>
          <w:p w14:paraId="3CD19BB8">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皮夹</w:t>
            </w:r>
          </w:p>
        </w:tc>
        <w:tc>
          <w:tcPr>
            <w:tcW w:w="1915" w:type="dxa"/>
            <w:tcBorders>
              <w:top w:val="nil"/>
              <w:left w:val="nil"/>
              <w:bottom w:val="single" w:color="000000" w:sz="4" w:space="0"/>
              <w:right w:val="single" w:color="000000" w:sz="4" w:space="0"/>
            </w:tcBorders>
            <w:tcMar>
              <w:top w:w="0" w:type="dxa"/>
              <w:left w:w="105" w:type="dxa"/>
              <w:bottom w:w="0" w:type="dxa"/>
              <w:right w:w="105" w:type="dxa"/>
            </w:tcMar>
          </w:tcPr>
          <w:p w14:paraId="5456884E">
            <w:pPr>
              <w:pStyle w:val="4"/>
              <w:spacing w:line="360" w:lineRule="auto"/>
              <w:jc w:val="both"/>
              <w:rPr>
                <w:rFonts w:hint="eastAsia" w:ascii="宋体" w:hAnsi="宋体" w:eastAsia="宋体" w:cs="宋体"/>
                <w:color w:val="auto"/>
                <w:sz w:val="20"/>
                <w:szCs w:val="20"/>
                <w:highlight w:val="none"/>
              </w:rPr>
            </w:pPr>
          </w:p>
        </w:tc>
      </w:tr>
      <w:tr w14:paraId="40539F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8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60D38FD">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p>
        </w:tc>
        <w:tc>
          <w:tcPr>
            <w:tcW w:w="2940" w:type="dxa"/>
            <w:tcBorders>
              <w:top w:val="nil"/>
              <w:left w:val="nil"/>
              <w:bottom w:val="single" w:color="000000" w:sz="4" w:space="0"/>
              <w:right w:val="single" w:color="000000" w:sz="4" w:space="0"/>
            </w:tcBorders>
            <w:tcMar>
              <w:top w:w="0" w:type="dxa"/>
              <w:left w:w="105" w:type="dxa"/>
              <w:bottom w:w="0" w:type="dxa"/>
              <w:right w:w="105" w:type="dxa"/>
            </w:tcMar>
          </w:tcPr>
          <w:p w14:paraId="6554AC15">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识别卡</w:t>
            </w:r>
          </w:p>
        </w:tc>
        <w:tc>
          <w:tcPr>
            <w:tcW w:w="1915" w:type="dxa"/>
            <w:tcBorders>
              <w:top w:val="nil"/>
              <w:left w:val="nil"/>
              <w:bottom w:val="single" w:color="000000" w:sz="4" w:space="0"/>
              <w:right w:val="single" w:color="000000" w:sz="4" w:space="0"/>
            </w:tcBorders>
            <w:tcMar>
              <w:top w:w="0" w:type="dxa"/>
              <w:left w:w="105" w:type="dxa"/>
              <w:bottom w:w="0" w:type="dxa"/>
              <w:right w:w="105" w:type="dxa"/>
            </w:tcMar>
          </w:tcPr>
          <w:p w14:paraId="2937296F">
            <w:pPr>
              <w:pStyle w:val="4"/>
              <w:spacing w:line="360" w:lineRule="auto"/>
              <w:jc w:val="both"/>
              <w:rPr>
                <w:rFonts w:hint="eastAsia" w:ascii="宋体" w:hAnsi="宋体" w:eastAsia="宋体" w:cs="宋体"/>
                <w:color w:val="auto"/>
                <w:sz w:val="20"/>
                <w:szCs w:val="20"/>
                <w:highlight w:val="none"/>
              </w:rPr>
            </w:pPr>
          </w:p>
        </w:tc>
      </w:tr>
      <w:tr w14:paraId="468724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8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022DF9B">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w:t>
            </w:r>
          </w:p>
        </w:tc>
        <w:tc>
          <w:tcPr>
            <w:tcW w:w="2940" w:type="dxa"/>
            <w:tcBorders>
              <w:top w:val="nil"/>
              <w:left w:val="nil"/>
              <w:bottom w:val="single" w:color="000000" w:sz="4" w:space="0"/>
              <w:right w:val="single" w:color="000000" w:sz="4" w:space="0"/>
            </w:tcBorders>
            <w:tcMar>
              <w:top w:w="0" w:type="dxa"/>
              <w:left w:w="105" w:type="dxa"/>
              <w:bottom w:w="0" w:type="dxa"/>
              <w:right w:w="105" w:type="dxa"/>
            </w:tcMar>
          </w:tcPr>
          <w:p w14:paraId="4C419AB4">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佩戴式卡套</w:t>
            </w:r>
          </w:p>
        </w:tc>
        <w:tc>
          <w:tcPr>
            <w:tcW w:w="1915" w:type="dxa"/>
            <w:tcBorders>
              <w:top w:val="nil"/>
              <w:left w:val="nil"/>
              <w:bottom w:val="single" w:color="000000" w:sz="4" w:space="0"/>
              <w:right w:val="single" w:color="000000" w:sz="4" w:space="0"/>
            </w:tcBorders>
            <w:tcMar>
              <w:top w:w="0" w:type="dxa"/>
              <w:left w:w="105" w:type="dxa"/>
              <w:bottom w:w="0" w:type="dxa"/>
              <w:right w:w="105" w:type="dxa"/>
            </w:tcMar>
          </w:tcPr>
          <w:p w14:paraId="42821353">
            <w:pPr>
              <w:pStyle w:val="4"/>
              <w:spacing w:line="360" w:lineRule="auto"/>
              <w:jc w:val="both"/>
              <w:rPr>
                <w:rFonts w:hint="eastAsia" w:ascii="宋体" w:hAnsi="宋体" w:eastAsia="宋体" w:cs="宋体"/>
                <w:color w:val="auto"/>
                <w:sz w:val="20"/>
                <w:szCs w:val="20"/>
                <w:highlight w:val="none"/>
              </w:rPr>
            </w:pPr>
          </w:p>
        </w:tc>
      </w:tr>
      <w:tr w14:paraId="504523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28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7E220D5">
            <w:pPr>
              <w:pStyle w:val="4"/>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w:t>
            </w:r>
          </w:p>
        </w:tc>
        <w:tc>
          <w:tcPr>
            <w:tcW w:w="2940" w:type="dxa"/>
            <w:tcBorders>
              <w:top w:val="nil"/>
              <w:left w:val="nil"/>
              <w:bottom w:val="single" w:color="000000" w:sz="4" w:space="0"/>
              <w:right w:val="single" w:color="000000" w:sz="4" w:space="0"/>
            </w:tcBorders>
            <w:tcMar>
              <w:top w:w="0" w:type="dxa"/>
              <w:left w:w="105" w:type="dxa"/>
              <w:bottom w:w="0" w:type="dxa"/>
              <w:right w:w="105" w:type="dxa"/>
            </w:tcMar>
          </w:tcPr>
          <w:p w14:paraId="2579A322">
            <w:pPr>
              <w:pStyle w:val="4"/>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挂绳</w:t>
            </w:r>
          </w:p>
        </w:tc>
        <w:tc>
          <w:tcPr>
            <w:tcW w:w="1915" w:type="dxa"/>
            <w:tcBorders>
              <w:top w:val="nil"/>
              <w:left w:val="nil"/>
              <w:bottom w:val="single" w:color="000000" w:sz="4" w:space="0"/>
              <w:right w:val="single" w:color="000000" w:sz="4" w:space="0"/>
            </w:tcBorders>
            <w:tcMar>
              <w:top w:w="0" w:type="dxa"/>
              <w:left w:w="105" w:type="dxa"/>
              <w:bottom w:w="0" w:type="dxa"/>
              <w:right w:w="105" w:type="dxa"/>
            </w:tcMar>
          </w:tcPr>
          <w:p w14:paraId="0955C154">
            <w:pPr>
              <w:pStyle w:val="4"/>
              <w:spacing w:line="360" w:lineRule="auto"/>
              <w:jc w:val="both"/>
              <w:rPr>
                <w:rFonts w:hint="eastAsia" w:ascii="宋体" w:hAnsi="宋体" w:eastAsia="宋体" w:cs="宋体"/>
                <w:color w:val="auto"/>
                <w:sz w:val="20"/>
                <w:szCs w:val="20"/>
                <w:highlight w:val="none"/>
              </w:rPr>
            </w:pPr>
          </w:p>
        </w:tc>
      </w:tr>
    </w:tbl>
    <w:p w14:paraId="3F3EEE5F">
      <w:pPr>
        <w:pStyle w:val="4"/>
        <w:spacing w:line="360" w:lineRule="auto"/>
        <w:ind w:firstLine="1004" w:firstLineChars="500"/>
        <w:jc w:val="both"/>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投标人全称（公章）：</w:t>
      </w:r>
      <w:r>
        <w:rPr>
          <w:rFonts w:hint="eastAsia" w:ascii="宋体" w:hAnsi="宋体" w:eastAsia="宋体" w:cs="宋体"/>
          <w:b/>
          <w:color w:val="auto"/>
          <w:sz w:val="20"/>
          <w:szCs w:val="20"/>
          <w:highlight w:val="none"/>
          <w:u w:val="single"/>
        </w:rPr>
        <w:t xml:space="preserve">        </w:t>
      </w:r>
      <w:r>
        <w:rPr>
          <w:rFonts w:hint="eastAsia" w:ascii="宋体" w:hAnsi="宋体" w:eastAsia="宋体" w:cs="宋体"/>
          <w:b/>
          <w:color w:val="auto"/>
          <w:sz w:val="20"/>
          <w:szCs w:val="20"/>
          <w:highlight w:val="none"/>
        </w:rPr>
        <w:t xml:space="preserve">   </w:t>
      </w:r>
    </w:p>
    <w:p w14:paraId="1E5D8A17">
      <w:pPr>
        <w:pStyle w:val="4"/>
        <w:spacing w:line="360" w:lineRule="auto"/>
        <w:ind w:firstLine="1004" w:firstLineChars="500"/>
        <w:jc w:val="both"/>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法定代表人或被授权人（签字或盖章）：</w:t>
      </w:r>
      <w:r>
        <w:rPr>
          <w:rFonts w:hint="eastAsia" w:ascii="宋体" w:hAnsi="宋体" w:eastAsia="宋体" w:cs="宋体"/>
          <w:b/>
          <w:color w:val="auto"/>
          <w:sz w:val="20"/>
          <w:szCs w:val="20"/>
          <w:highlight w:val="none"/>
          <w:u w:val="single"/>
        </w:rPr>
        <w:t xml:space="preserve">  </w:t>
      </w:r>
      <w:r>
        <w:rPr>
          <w:rFonts w:hint="eastAsia" w:ascii="宋体" w:hAnsi="宋体" w:eastAsia="宋体" w:cs="宋体"/>
          <w:b/>
          <w:color w:val="auto"/>
          <w:sz w:val="20"/>
          <w:szCs w:val="20"/>
          <w:highlight w:val="none"/>
          <w:u w:val="single"/>
          <w:lang w:val="en-US" w:eastAsia="zh-CN"/>
        </w:rPr>
        <w:t xml:space="preserve">    </w:t>
      </w:r>
      <w:r>
        <w:rPr>
          <w:rFonts w:hint="eastAsia" w:ascii="宋体" w:hAnsi="宋体" w:eastAsia="宋体" w:cs="宋体"/>
          <w:b/>
          <w:color w:val="auto"/>
          <w:sz w:val="20"/>
          <w:szCs w:val="20"/>
          <w:highlight w:val="none"/>
          <w:u w:val="single"/>
        </w:rPr>
        <w:t xml:space="preserve"> </w:t>
      </w:r>
      <w:r>
        <w:rPr>
          <w:rFonts w:hint="eastAsia" w:ascii="宋体" w:hAnsi="宋体" w:eastAsia="宋体" w:cs="宋体"/>
          <w:b/>
          <w:color w:val="auto"/>
          <w:sz w:val="20"/>
          <w:szCs w:val="20"/>
          <w:highlight w:val="none"/>
        </w:rPr>
        <w:t xml:space="preserve">              </w:t>
      </w:r>
    </w:p>
    <w:p w14:paraId="1F92F6E9">
      <w:pPr>
        <w:pStyle w:val="4"/>
        <w:spacing w:line="360" w:lineRule="auto"/>
        <w:ind w:firstLine="1004" w:firstLineChars="500"/>
        <w:jc w:val="both"/>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联系人电话（手机）：</w:t>
      </w:r>
      <w:r>
        <w:rPr>
          <w:rFonts w:hint="eastAsia" w:ascii="宋体" w:hAnsi="宋体" w:eastAsia="宋体" w:cs="宋体"/>
          <w:b/>
          <w:color w:val="auto"/>
          <w:sz w:val="20"/>
          <w:szCs w:val="20"/>
          <w:highlight w:val="none"/>
          <w:u w:val="single"/>
        </w:rPr>
        <w:t xml:space="preserve">            </w:t>
      </w:r>
    </w:p>
    <w:p w14:paraId="5EBBD12B">
      <w:pPr>
        <w:pStyle w:val="4"/>
        <w:numPr>
          <w:ilvl w:val="0"/>
          <w:numId w:val="0"/>
        </w:numPr>
        <w:spacing w:line="360" w:lineRule="auto"/>
        <w:ind w:firstLine="402" w:firstLineChars="200"/>
        <w:jc w:val="both"/>
        <w:rPr>
          <w:rFonts w:hint="eastAsia" w:ascii="宋体" w:hAnsi="宋体" w:eastAsia="宋体" w:cs="宋体"/>
          <w:color w:val="auto"/>
          <w:sz w:val="20"/>
          <w:szCs w:val="20"/>
          <w:highlight w:val="none"/>
          <w:lang w:eastAsia="zh-CN"/>
        </w:rPr>
      </w:pPr>
      <w:r>
        <w:rPr>
          <w:rFonts w:hint="eastAsia" w:ascii="宋体" w:hAnsi="宋体" w:eastAsia="宋体" w:cs="宋体"/>
          <w:b/>
          <w:bCs/>
          <w:color w:val="auto"/>
          <w:sz w:val="20"/>
          <w:szCs w:val="20"/>
          <w:highlight w:val="none"/>
          <w:lang w:val="en-US" w:eastAsia="zh-CN"/>
        </w:rPr>
        <w:t>二、</w:t>
      </w:r>
      <w:r>
        <w:rPr>
          <w:rFonts w:hint="eastAsia" w:ascii="宋体" w:hAnsi="宋体" w:eastAsia="宋体" w:cs="宋体"/>
          <w:b/>
          <w:bCs/>
          <w:color w:val="auto"/>
          <w:sz w:val="20"/>
          <w:szCs w:val="20"/>
          <w:highlight w:val="none"/>
        </w:rPr>
        <w:t>商务要求</w:t>
      </w:r>
    </w:p>
    <w:p w14:paraId="60C3C97D">
      <w:pPr>
        <w:pStyle w:val="4"/>
        <w:numPr>
          <w:ilvl w:val="0"/>
          <w:numId w:val="0"/>
        </w:numPr>
        <w:spacing w:line="360" w:lineRule="auto"/>
        <w:ind w:firstLine="400" w:firstLineChars="20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“三包”要求：货物（产品）属于国家规定的“三包产品”，产品制造商、经销代理商应遵守“三包”的规定，在产品发生质量问题时，及时对所提供产品实行“包退、包换、保修”服务。</w:t>
      </w:r>
    </w:p>
    <w:p w14:paraId="02D66A45">
      <w:pPr>
        <w:pStyle w:val="4"/>
        <w:numPr>
          <w:ilvl w:val="0"/>
          <w:numId w:val="0"/>
        </w:numPr>
        <w:spacing w:line="360" w:lineRule="auto"/>
        <w:ind w:firstLine="400" w:firstLineChars="20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2.人员要求：</w:t>
      </w:r>
      <w:r>
        <w:rPr>
          <w:rFonts w:hint="eastAsia" w:ascii="宋体" w:hAnsi="宋体" w:eastAsia="宋体" w:cs="宋体"/>
          <w:color w:val="auto"/>
          <w:sz w:val="20"/>
          <w:szCs w:val="20"/>
          <w:highlight w:val="none"/>
        </w:rPr>
        <w:t>针对本项目配备专业的服务团队，提供相关人员配备服务方案</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主要包含:（1）</w:t>
      </w:r>
      <w:r>
        <w:rPr>
          <w:rFonts w:hint="eastAsia" w:ascii="宋体" w:hAnsi="宋体" w:eastAsia="宋体" w:cs="宋体"/>
          <w:color w:val="auto"/>
          <w:sz w:val="20"/>
          <w:szCs w:val="20"/>
          <w:highlight w:val="none"/>
        </w:rPr>
        <w:t>具有专业技术人员进行排版、修图等技术指导</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2</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保证</w:t>
      </w:r>
      <w:r>
        <w:rPr>
          <w:rFonts w:hint="eastAsia" w:ascii="宋体" w:hAnsi="宋体" w:eastAsia="宋体" w:cs="宋体"/>
          <w:color w:val="auto"/>
          <w:sz w:val="20"/>
          <w:szCs w:val="20"/>
          <w:highlight w:val="none"/>
        </w:rPr>
        <w:t>项目参与人员的技术能力、技术资格、从业时间</w:t>
      </w:r>
      <w:r>
        <w:rPr>
          <w:rFonts w:hint="eastAsia" w:ascii="宋体" w:hAnsi="宋体" w:eastAsia="宋体" w:cs="宋体"/>
          <w:color w:val="auto"/>
          <w:sz w:val="20"/>
          <w:szCs w:val="20"/>
          <w:highlight w:val="none"/>
          <w:lang w:val="en-US" w:eastAsia="zh-CN"/>
        </w:rPr>
        <w:t>及为项目配备</w:t>
      </w:r>
      <w:r>
        <w:rPr>
          <w:rFonts w:hint="eastAsia" w:ascii="宋体" w:hAnsi="宋体" w:eastAsia="宋体" w:cs="宋体"/>
          <w:color w:val="auto"/>
          <w:sz w:val="20"/>
          <w:szCs w:val="20"/>
          <w:highlight w:val="none"/>
        </w:rPr>
        <w:t>人数</w:t>
      </w:r>
      <w:r>
        <w:rPr>
          <w:rFonts w:hint="eastAsia" w:ascii="宋体" w:hAnsi="宋体" w:eastAsia="宋体" w:cs="宋体"/>
          <w:color w:val="auto"/>
          <w:sz w:val="20"/>
          <w:szCs w:val="20"/>
          <w:highlight w:val="none"/>
          <w:lang w:val="en-US" w:eastAsia="zh-CN"/>
        </w:rPr>
        <w:t>能够匹配项目需求</w:t>
      </w:r>
      <w:r>
        <w:rPr>
          <w:rFonts w:hint="eastAsia" w:ascii="宋体" w:hAnsi="宋体" w:eastAsia="宋体" w:cs="宋体"/>
          <w:color w:val="auto"/>
          <w:sz w:val="20"/>
          <w:szCs w:val="20"/>
          <w:highlight w:val="none"/>
        </w:rPr>
        <w:t>。</w:t>
      </w:r>
    </w:p>
    <w:p w14:paraId="77C2490D">
      <w:pPr>
        <w:jc w:val="both"/>
        <w:rPr>
          <w:rFonts w:hint="default"/>
          <w:b/>
          <w:bCs/>
          <w:sz w:val="36"/>
          <w:szCs w:val="44"/>
          <w:lang w:val="en-US" w:eastAsia="zh-CN"/>
        </w:rPr>
      </w:pPr>
      <w:r>
        <w:rPr>
          <w:rFonts w:hint="eastAsia" w:ascii="宋体" w:hAnsi="宋体" w:eastAsia="宋体" w:cs="宋体"/>
          <w:color w:val="auto"/>
          <w:sz w:val="20"/>
          <w:szCs w:val="20"/>
          <w:highlight w:val="none"/>
          <w:lang w:val="en-US" w:eastAsia="zh-CN"/>
        </w:rPr>
        <w:t>3.保密要求：投标人提供完善的安全保密管理制度，对本项目全过程进行</w:t>
      </w:r>
      <w:r>
        <w:rPr>
          <w:rFonts w:hint="eastAsia" w:ascii="宋体" w:hAnsi="宋体" w:eastAsia="宋体" w:cs="宋体"/>
          <w:color w:val="auto"/>
          <w:sz w:val="20"/>
          <w:szCs w:val="20"/>
          <w:highlight w:val="none"/>
        </w:rPr>
        <w:t>严格保密</w:t>
      </w:r>
      <w:r>
        <w:rPr>
          <w:rFonts w:hint="eastAsia" w:ascii="宋体" w:hAnsi="宋体" w:eastAsia="宋体" w:cs="宋体"/>
          <w:color w:val="auto"/>
          <w:sz w:val="20"/>
          <w:szCs w:val="20"/>
          <w:highlight w:val="none"/>
          <w:lang w:val="en-US"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097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2026-05-21T14:15:31Z</dcterms:created>
  <dc:creator>Administrator</dc:creator>
  <cp:lastModifiedBy>Lenovo</cp:lastModifiedBy>
  <dcterms:modified xsi:type="dcterms:W3CDTF">2026-05-21T14:16:25Z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eyJoZGlkIjoiYzZkZTVhZDhmYjRjMGEwYTQwZWQ4YmZkZjE5MDQ2MzAiLCJ1c2VySWQiOiI0NDgyMTE1NDUifQ==</vt:lpwstr>
  </property>
  <property fmtid="{D5CDD505-2E9C-101B-9397-08002B2CF9AE}" pid="4" name="ICV">
    <vt:lpwstr>93F0BE7814D24422B2087EB56E86441F_12</vt:lpwstr>
  </property>
</Properties>
</file>